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proofErr w:type="gramStart"/>
      <w:r>
        <w:t>August</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307][</w:t>
      </w:r>
      <w:proofErr w:type="gramEnd"/>
      <w:r w:rsidR="006A6222" w:rsidRPr="006A6222">
        <w:rPr>
          <w:sz w:val="22"/>
          <w:szCs w:val="22"/>
        </w:rPr>
        <w:t>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77777777" w:rsidR="009079CF" w:rsidRPr="0047642A" w:rsidRDefault="009079CF" w:rsidP="009079CF">
            <w:pPr>
              <w:pStyle w:val="BodyText"/>
            </w:pPr>
          </w:p>
        </w:tc>
        <w:tc>
          <w:tcPr>
            <w:tcW w:w="2405" w:type="dxa"/>
          </w:tcPr>
          <w:p w14:paraId="61EEBAA4" w14:textId="77777777" w:rsidR="009079CF" w:rsidRPr="0047642A" w:rsidRDefault="009079CF" w:rsidP="009079CF">
            <w:pPr>
              <w:pStyle w:val="BodyText"/>
            </w:pPr>
          </w:p>
        </w:tc>
        <w:tc>
          <w:tcPr>
            <w:tcW w:w="4766" w:type="dxa"/>
          </w:tcPr>
          <w:p w14:paraId="1E7B0052" w14:textId="77777777" w:rsidR="009079CF" w:rsidRPr="0047642A" w:rsidRDefault="009079CF" w:rsidP="009079CF">
            <w:pPr>
              <w:pStyle w:val="BodyText"/>
            </w:pPr>
          </w:p>
        </w:tc>
      </w:tr>
      <w:tr w:rsidR="009079CF" w:rsidRPr="0047642A" w14:paraId="25DCD5CF" w14:textId="77777777" w:rsidTr="009079CF">
        <w:tc>
          <w:tcPr>
            <w:tcW w:w="2458" w:type="dxa"/>
          </w:tcPr>
          <w:p w14:paraId="6DD8AF7B" w14:textId="77777777" w:rsidR="009079CF" w:rsidRPr="0047642A" w:rsidRDefault="009079CF" w:rsidP="009079CF">
            <w:pPr>
              <w:pStyle w:val="BodyText"/>
            </w:pPr>
          </w:p>
        </w:tc>
        <w:tc>
          <w:tcPr>
            <w:tcW w:w="2405" w:type="dxa"/>
          </w:tcPr>
          <w:p w14:paraId="2CD0FEAA" w14:textId="77777777" w:rsidR="009079CF" w:rsidRPr="0047642A" w:rsidRDefault="009079CF" w:rsidP="009079CF">
            <w:pPr>
              <w:pStyle w:val="BodyText"/>
            </w:pPr>
          </w:p>
        </w:tc>
        <w:tc>
          <w:tcPr>
            <w:tcW w:w="4766" w:type="dxa"/>
          </w:tcPr>
          <w:p w14:paraId="68C698B2" w14:textId="77777777" w:rsidR="009079CF" w:rsidRPr="0047642A" w:rsidRDefault="009079CF" w:rsidP="009079CF">
            <w:pPr>
              <w:pStyle w:val="BodyText"/>
            </w:pPr>
          </w:p>
        </w:tc>
      </w:tr>
      <w:tr w:rsidR="009079CF" w:rsidRPr="0047642A" w14:paraId="53990AFD" w14:textId="77777777" w:rsidTr="009079CF">
        <w:tc>
          <w:tcPr>
            <w:tcW w:w="2458" w:type="dxa"/>
          </w:tcPr>
          <w:p w14:paraId="094341C4" w14:textId="77777777" w:rsidR="009079CF" w:rsidRPr="0047642A" w:rsidRDefault="009079CF" w:rsidP="009079CF">
            <w:pPr>
              <w:pStyle w:val="BodyText"/>
            </w:pPr>
          </w:p>
        </w:tc>
        <w:tc>
          <w:tcPr>
            <w:tcW w:w="2405" w:type="dxa"/>
          </w:tcPr>
          <w:p w14:paraId="743EB37F" w14:textId="77777777" w:rsidR="009079CF" w:rsidRPr="0047642A" w:rsidRDefault="009079CF" w:rsidP="009079CF">
            <w:pPr>
              <w:pStyle w:val="BodyText"/>
            </w:pPr>
          </w:p>
        </w:tc>
        <w:tc>
          <w:tcPr>
            <w:tcW w:w="4766" w:type="dxa"/>
          </w:tcPr>
          <w:p w14:paraId="2479114A" w14:textId="77777777" w:rsidR="009079CF" w:rsidRPr="0047642A" w:rsidRDefault="009079CF" w:rsidP="009079CF">
            <w:pPr>
              <w:pStyle w:val="BodyText"/>
            </w:pPr>
          </w:p>
        </w:tc>
      </w:tr>
      <w:tr w:rsidR="009079CF" w:rsidRPr="0047642A" w14:paraId="7D222C8D" w14:textId="77777777" w:rsidTr="009079CF">
        <w:tc>
          <w:tcPr>
            <w:tcW w:w="2458" w:type="dxa"/>
          </w:tcPr>
          <w:p w14:paraId="01988BD6" w14:textId="77777777" w:rsidR="009079CF" w:rsidRPr="0047642A" w:rsidRDefault="009079CF" w:rsidP="009079CF">
            <w:pPr>
              <w:pStyle w:val="BodyText"/>
            </w:pPr>
          </w:p>
        </w:tc>
        <w:tc>
          <w:tcPr>
            <w:tcW w:w="2405" w:type="dxa"/>
          </w:tcPr>
          <w:p w14:paraId="54393BD3" w14:textId="77777777" w:rsidR="009079CF" w:rsidRPr="0047642A" w:rsidRDefault="009079CF" w:rsidP="009079CF">
            <w:pPr>
              <w:pStyle w:val="BodyText"/>
            </w:pPr>
          </w:p>
        </w:tc>
        <w:tc>
          <w:tcPr>
            <w:tcW w:w="4766" w:type="dxa"/>
          </w:tcPr>
          <w:p w14:paraId="32B8F881" w14:textId="77777777" w:rsidR="009079CF" w:rsidRPr="0047642A" w:rsidRDefault="009079CF" w:rsidP="009079CF">
            <w:pPr>
              <w:pStyle w:val="BodyText"/>
            </w:pPr>
          </w:p>
        </w:tc>
      </w:tr>
      <w:tr w:rsidR="009079CF" w:rsidRPr="0047642A" w14:paraId="2F0C5105" w14:textId="77777777" w:rsidTr="009079CF">
        <w:tc>
          <w:tcPr>
            <w:tcW w:w="2458" w:type="dxa"/>
          </w:tcPr>
          <w:p w14:paraId="2D27E937" w14:textId="77777777" w:rsidR="009079CF" w:rsidRPr="0047642A" w:rsidRDefault="009079CF" w:rsidP="009079CF">
            <w:pPr>
              <w:pStyle w:val="BodyText"/>
            </w:pPr>
          </w:p>
        </w:tc>
        <w:tc>
          <w:tcPr>
            <w:tcW w:w="2405" w:type="dxa"/>
          </w:tcPr>
          <w:p w14:paraId="6F2AA0A5" w14:textId="77777777" w:rsidR="009079CF" w:rsidRPr="0047642A" w:rsidRDefault="009079CF" w:rsidP="009079CF">
            <w:pPr>
              <w:pStyle w:val="BodyText"/>
            </w:pPr>
          </w:p>
        </w:tc>
        <w:tc>
          <w:tcPr>
            <w:tcW w:w="4766" w:type="dxa"/>
          </w:tcPr>
          <w:p w14:paraId="5161C696" w14:textId="77777777" w:rsidR="009079CF" w:rsidRPr="0047642A" w:rsidRDefault="009079CF" w:rsidP="009079CF">
            <w:pPr>
              <w:pStyle w:val="BodyText"/>
            </w:pPr>
          </w:p>
        </w:tc>
      </w:tr>
      <w:tr w:rsidR="009079CF" w:rsidRPr="0047642A" w14:paraId="3DEFFE0C" w14:textId="77777777" w:rsidTr="009079CF">
        <w:tc>
          <w:tcPr>
            <w:tcW w:w="2458" w:type="dxa"/>
          </w:tcPr>
          <w:p w14:paraId="784B8D6A" w14:textId="77777777" w:rsidR="009079CF" w:rsidRPr="0047642A" w:rsidRDefault="009079CF" w:rsidP="009079CF">
            <w:pPr>
              <w:pStyle w:val="BodyText"/>
            </w:pPr>
          </w:p>
        </w:tc>
        <w:tc>
          <w:tcPr>
            <w:tcW w:w="2405" w:type="dxa"/>
          </w:tcPr>
          <w:p w14:paraId="057D035D" w14:textId="77777777" w:rsidR="009079CF" w:rsidRPr="0047642A" w:rsidRDefault="009079CF" w:rsidP="009079CF">
            <w:pPr>
              <w:pStyle w:val="BodyText"/>
            </w:pPr>
          </w:p>
        </w:tc>
        <w:tc>
          <w:tcPr>
            <w:tcW w:w="4766" w:type="dxa"/>
          </w:tcPr>
          <w:p w14:paraId="27F6B0F9" w14:textId="77777777" w:rsidR="009079CF" w:rsidRPr="0047642A" w:rsidRDefault="009079CF" w:rsidP="009079CF">
            <w:pPr>
              <w:pStyle w:val="BodyText"/>
            </w:pPr>
          </w:p>
        </w:tc>
      </w:tr>
      <w:tr w:rsidR="009079CF" w:rsidRPr="0047642A" w14:paraId="5568EA21" w14:textId="77777777" w:rsidTr="009079CF">
        <w:tc>
          <w:tcPr>
            <w:tcW w:w="2458" w:type="dxa"/>
          </w:tcPr>
          <w:p w14:paraId="189130B6" w14:textId="77777777" w:rsidR="009079CF" w:rsidRPr="0047642A" w:rsidRDefault="009079CF" w:rsidP="009079CF">
            <w:pPr>
              <w:pStyle w:val="BodyText"/>
            </w:pPr>
          </w:p>
        </w:tc>
        <w:tc>
          <w:tcPr>
            <w:tcW w:w="2405" w:type="dxa"/>
          </w:tcPr>
          <w:p w14:paraId="15067583" w14:textId="77777777" w:rsidR="009079CF" w:rsidRPr="0047642A" w:rsidRDefault="009079CF" w:rsidP="009079CF">
            <w:pPr>
              <w:pStyle w:val="BodyText"/>
            </w:pPr>
          </w:p>
        </w:tc>
        <w:tc>
          <w:tcPr>
            <w:tcW w:w="4766" w:type="dxa"/>
          </w:tcPr>
          <w:p w14:paraId="33D6E055" w14:textId="77777777" w:rsidR="009079CF" w:rsidRPr="0047642A" w:rsidRDefault="009079CF" w:rsidP="009079CF">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lastRenderedPageBreak/>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w:t>
      </w:r>
      <w:proofErr w:type="gramStart"/>
      <w:r w:rsidRPr="00CB2E91">
        <w:rPr>
          <w:rFonts w:ascii="Arial" w:eastAsia="MS Mincho" w:hAnsi="Arial"/>
          <w:szCs w:val="24"/>
          <w:highlight w:val="yellow"/>
          <w:lang w:eastAsia="en-GB"/>
        </w:rPr>
        <w:t>configuration</w:t>
      </w:r>
      <w:proofErr w:type="gramEnd"/>
      <w:r w:rsidRPr="00CB2E91">
        <w:rPr>
          <w:rFonts w:ascii="Arial" w:eastAsia="MS Mincho" w:hAnsi="Arial"/>
          <w:szCs w:val="24"/>
          <w:highlight w:val="yellow"/>
          <w:lang w:eastAsia="en-GB"/>
        </w:rPr>
        <w:t xml:space="preserve">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w:t>
      </w:r>
      <w:r w:rsidRPr="0002317C">
        <w:lastRenderedPageBreak/>
        <w:t xml:space="preserve">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673"/>
        <w:gridCol w:w="1652"/>
        <w:gridCol w:w="6304"/>
      </w:tblGrid>
      <w:tr w:rsidR="00F33C88"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BodyText"/>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BodyText"/>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BodyText"/>
              <w:jc w:val="left"/>
              <w:rPr>
                <w:b/>
                <w:bCs/>
              </w:rPr>
            </w:pPr>
            <w:r w:rsidRPr="00C147C3">
              <w:rPr>
                <w:b/>
                <w:bCs/>
              </w:rPr>
              <w:t>Comments</w:t>
            </w:r>
          </w:p>
        </w:tc>
      </w:tr>
      <w:tr w:rsidR="00F33C88" w:rsidRPr="00C147C3" w14:paraId="07169D2F" w14:textId="77777777" w:rsidTr="00965F25">
        <w:tc>
          <w:tcPr>
            <w:tcW w:w="1673" w:type="dxa"/>
          </w:tcPr>
          <w:p w14:paraId="2310F83F" w14:textId="6868DDC2" w:rsidR="00F12BEF" w:rsidRPr="00C147C3" w:rsidRDefault="00C83F64" w:rsidP="00965F25">
            <w:r>
              <w:t>Apple</w:t>
            </w:r>
          </w:p>
        </w:tc>
        <w:tc>
          <w:tcPr>
            <w:tcW w:w="1652" w:type="dxa"/>
          </w:tcPr>
          <w:p w14:paraId="5D104880" w14:textId="2FD7B454" w:rsidR="00F12BEF" w:rsidRPr="00C147C3" w:rsidRDefault="00EF0B51" w:rsidP="00965F25">
            <w:r>
              <w:t>Yes</w:t>
            </w:r>
          </w:p>
        </w:tc>
        <w:tc>
          <w:tcPr>
            <w:tcW w:w="6304"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de-DE" w:eastAsia="de-DE"/>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65F25">
        <w:tc>
          <w:tcPr>
            <w:tcW w:w="1673" w:type="dxa"/>
          </w:tcPr>
          <w:p w14:paraId="0998D245" w14:textId="7DA13092" w:rsidR="007E6425" w:rsidRPr="00C147C3" w:rsidRDefault="007E6425" w:rsidP="007E6425">
            <w:r>
              <w:t>Fraunhofer</w:t>
            </w:r>
          </w:p>
        </w:tc>
        <w:tc>
          <w:tcPr>
            <w:tcW w:w="1652" w:type="dxa"/>
          </w:tcPr>
          <w:p w14:paraId="46C74B67" w14:textId="2BD15597" w:rsidR="007E6425" w:rsidRPr="00C147C3" w:rsidRDefault="007E6425" w:rsidP="007E6425">
            <w:r>
              <w:t>No</w:t>
            </w:r>
          </w:p>
        </w:tc>
        <w:tc>
          <w:tcPr>
            <w:tcW w:w="6304"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w:t>
            </w:r>
            <w:r>
              <w:lastRenderedPageBreak/>
              <w:t xml:space="preserve">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65F25">
        <w:tc>
          <w:tcPr>
            <w:tcW w:w="1673" w:type="dxa"/>
          </w:tcPr>
          <w:p w14:paraId="12514195" w14:textId="546FDBCF" w:rsidR="000D36DB" w:rsidRPr="00C147C3" w:rsidRDefault="000D36DB" w:rsidP="000D36DB">
            <w:r>
              <w:lastRenderedPageBreak/>
              <w:t>Nokia</w:t>
            </w:r>
          </w:p>
        </w:tc>
        <w:tc>
          <w:tcPr>
            <w:tcW w:w="1652" w:type="dxa"/>
          </w:tcPr>
          <w:p w14:paraId="524D9E29" w14:textId="62507574" w:rsidR="000D36DB" w:rsidRPr="00C147C3" w:rsidRDefault="000D36DB" w:rsidP="000D36DB">
            <w:r>
              <w:t>Yes</w:t>
            </w:r>
          </w:p>
        </w:tc>
        <w:tc>
          <w:tcPr>
            <w:tcW w:w="6304"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65F25">
        <w:tc>
          <w:tcPr>
            <w:tcW w:w="1673" w:type="dxa"/>
          </w:tcPr>
          <w:p w14:paraId="6E689930" w14:textId="77777777" w:rsidR="000D36DB" w:rsidRPr="00C147C3" w:rsidRDefault="000D36DB" w:rsidP="000D36DB"/>
        </w:tc>
        <w:tc>
          <w:tcPr>
            <w:tcW w:w="1652" w:type="dxa"/>
          </w:tcPr>
          <w:p w14:paraId="3DC9B482" w14:textId="77777777" w:rsidR="000D36DB" w:rsidRPr="00C147C3" w:rsidRDefault="000D36DB" w:rsidP="000D36DB"/>
        </w:tc>
        <w:tc>
          <w:tcPr>
            <w:tcW w:w="6304" w:type="dxa"/>
          </w:tcPr>
          <w:p w14:paraId="7E1EB29E" w14:textId="77777777" w:rsidR="000D36DB" w:rsidRPr="00C147C3" w:rsidRDefault="000D36DB" w:rsidP="000D36DB"/>
        </w:tc>
      </w:tr>
      <w:tr w:rsidR="000D36DB" w:rsidRPr="00C147C3" w14:paraId="662FB5AD" w14:textId="77777777" w:rsidTr="00965F25">
        <w:tc>
          <w:tcPr>
            <w:tcW w:w="1673" w:type="dxa"/>
          </w:tcPr>
          <w:p w14:paraId="679CD59F" w14:textId="77777777" w:rsidR="000D36DB" w:rsidRPr="00C147C3" w:rsidRDefault="000D36DB" w:rsidP="000D36DB"/>
        </w:tc>
        <w:tc>
          <w:tcPr>
            <w:tcW w:w="1652" w:type="dxa"/>
          </w:tcPr>
          <w:p w14:paraId="06BC2F93" w14:textId="77777777" w:rsidR="000D36DB" w:rsidRPr="00C147C3" w:rsidRDefault="000D36DB" w:rsidP="000D36DB"/>
        </w:tc>
        <w:tc>
          <w:tcPr>
            <w:tcW w:w="6304" w:type="dxa"/>
          </w:tcPr>
          <w:p w14:paraId="7C79C2B6" w14:textId="77777777" w:rsidR="000D36DB" w:rsidRPr="00C147C3" w:rsidRDefault="000D36DB" w:rsidP="000D36DB"/>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965F25">
        <w:tc>
          <w:tcPr>
            <w:tcW w:w="1673" w:type="dxa"/>
            <w:shd w:val="clear" w:color="auto" w:fill="E7E6E6" w:themeFill="background2"/>
          </w:tcPr>
          <w:p w14:paraId="729518B2" w14:textId="77777777" w:rsidR="009D4337" w:rsidRPr="00C147C3" w:rsidRDefault="009D4337" w:rsidP="00965F25">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965F25">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965F25">
            <w:pPr>
              <w:pStyle w:val="BodyText"/>
              <w:jc w:val="left"/>
              <w:rPr>
                <w:b/>
                <w:bCs/>
              </w:rPr>
            </w:pPr>
            <w:r w:rsidRPr="00C147C3">
              <w:rPr>
                <w:b/>
                <w:bCs/>
              </w:rPr>
              <w:t>Comments</w:t>
            </w:r>
          </w:p>
        </w:tc>
      </w:tr>
      <w:tr w:rsidR="009D4337" w:rsidRPr="00C147C3" w14:paraId="2811EB32" w14:textId="77777777" w:rsidTr="00965F25">
        <w:tc>
          <w:tcPr>
            <w:tcW w:w="1673" w:type="dxa"/>
          </w:tcPr>
          <w:p w14:paraId="13260C2C" w14:textId="65B460F8" w:rsidR="009D4337" w:rsidRPr="00C147C3" w:rsidRDefault="00A751A7" w:rsidP="00965F25">
            <w:r>
              <w:t>Apple</w:t>
            </w:r>
          </w:p>
        </w:tc>
        <w:tc>
          <w:tcPr>
            <w:tcW w:w="1652" w:type="dxa"/>
          </w:tcPr>
          <w:p w14:paraId="35ADA2E4" w14:textId="13B69B2A" w:rsidR="009D4337" w:rsidRPr="00C147C3" w:rsidRDefault="00A751A7" w:rsidP="00965F25">
            <w:r>
              <w:t>No</w:t>
            </w:r>
          </w:p>
        </w:tc>
        <w:tc>
          <w:tcPr>
            <w:tcW w:w="6304" w:type="dxa"/>
          </w:tcPr>
          <w:p w14:paraId="614ED36D" w14:textId="6ECE6481" w:rsidR="009D4337" w:rsidRPr="00C147C3" w:rsidRDefault="00E436EA" w:rsidP="00965F25">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965F25">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965F25">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965F25">
        <w:tc>
          <w:tcPr>
            <w:tcW w:w="1673" w:type="dxa"/>
          </w:tcPr>
          <w:p w14:paraId="66310BF5" w14:textId="77777777" w:rsidR="007C3112" w:rsidRPr="00C147C3" w:rsidRDefault="007C3112" w:rsidP="007C3112"/>
        </w:tc>
        <w:tc>
          <w:tcPr>
            <w:tcW w:w="1652" w:type="dxa"/>
          </w:tcPr>
          <w:p w14:paraId="02A49DA2" w14:textId="77777777" w:rsidR="007C3112" w:rsidRPr="00C147C3" w:rsidRDefault="007C3112" w:rsidP="007C3112"/>
        </w:tc>
        <w:tc>
          <w:tcPr>
            <w:tcW w:w="6304" w:type="dxa"/>
          </w:tcPr>
          <w:p w14:paraId="00400B59" w14:textId="77777777" w:rsidR="007C3112" w:rsidRPr="00C147C3" w:rsidRDefault="007C3112" w:rsidP="007C3112"/>
        </w:tc>
      </w:tr>
      <w:tr w:rsidR="007C3112" w:rsidRPr="00C147C3" w14:paraId="62E76041" w14:textId="77777777" w:rsidTr="00965F25">
        <w:tc>
          <w:tcPr>
            <w:tcW w:w="1673" w:type="dxa"/>
          </w:tcPr>
          <w:p w14:paraId="01A68721" w14:textId="77777777" w:rsidR="007C3112" w:rsidRPr="00C147C3" w:rsidRDefault="007C3112" w:rsidP="007C3112"/>
        </w:tc>
        <w:tc>
          <w:tcPr>
            <w:tcW w:w="1652" w:type="dxa"/>
          </w:tcPr>
          <w:p w14:paraId="6C9AB39C" w14:textId="77777777" w:rsidR="007C3112" w:rsidRPr="00C147C3" w:rsidRDefault="007C3112" w:rsidP="007C3112"/>
        </w:tc>
        <w:tc>
          <w:tcPr>
            <w:tcW w:w="6304" w:type="dxa"/>
          </w:tcPr>
          <w:p w14:paraId="05E9517A" w14:textId="77777777" w:rsidR="007C3112" w:rsidRPr="00C147C3" w:rsidRDefault="007C3112" w:rsidP="007C3112"/>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w:t>
      </w:r>
      <w:r>
        <w:rPr>
          <w:rStyle w:val="Emphasis"/>
          <w:bCs/>
          <w:i w:val="0"/>
        </w:rPr>
        <w:lastRenderedPageBreak/>
        <w:t xml:space="preserve">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965F25">
        <w:tc>
          <w:tcPr>
            <w:tcW w:w="1673" w:type="dxa"/>
            <w:shd w:val="clear" w:color="auto" w:fill="E7E6E6" w:themeFill="background2"/>
          </w:tcPr>
          <w:p w14:paraId="28C42285" w14:textId="77777777" w:rsidR="00505891" w:rsidRPr="00C147C3" w:rsidRDefault="00505891" w:rsidP="00965F25">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965F25">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965F25">
            <w:pPr>
              <w:pStyle w:val="BodyText"/>
              <w:jc w:val="left"/>
              <w:rPr>
                <w:b/>
                <w:bCs/>
              </w:rPr>
            </w:pPr>
            <w:r w:rsidRPr="00C147C3">
              <w:rPr>
                <w:b/>
                <w:bCs/>
              </w:rPr>
              <w:t>Comments</w:t>
            </w:r>
          </w:p>
        </w:tc>
      </w:tr>
      <w:tr w:rsidR="00505891" w:rsidRPr="00C147C3" w14:paraId="64F6B005" w14:textId="77777777" w:rsidTr="00965F25">
        <w:tc>
          <w:tcPr>
            <w:tcW w:w="1673" w:type="dxa"/>
          </w:tcPr>
          <w:p w14:paraId="716D1A28" w14:textId="28C3758F" w:rsidR="00505891" w:rsidRPr="00C147C3" w:rsidRDefault="006B1C47" w:rsidP="00965F25">
            <w:r>
              <w:t>Apple</w:t>
            </w:r>
          </w:p>
        </w:tc>
        <w:tc>
          <w:tcPr>
            <w:tcW w:w="1652" w:type="dxa"/>
          </w:tcPr>
          <w:p w14:paraId="01916CC4" w14:textId="41A90F7F" w:rsidR="00505891" w:rsidRPr="00C147C3" w:rsidRDefault="006B1C47" w:rsidP="00965F25">
            <w:r>
              <w:t>Option 1</w:t>
            </w:r>
          </w:p>
        </w:tc>
        <w:tc>
          <w:tcPr>
            <w:tcW w:w="6304" w:type="dxa"/>
          </w:tcPr>
          <w:p w14:paraId="430654F9" w14:textId="621B081B" w:rsidR="00505891" w:rsidRPr="00C147C3" w:rsidRDefault="00607EFF" w:rsidP="00965F25">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965F25">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w:t>
            </w:r>
            <w:proofErr w:type="gramStart"/>
            <w:r>
              <w:t>activated</w:t>
            </w:r>
            <w:proofErr w:type="gramEnd"/>
            <w:r>
              <w:t xml:space="preserve"> the other configuration is used.  </w:t>
            </w:r>
          </w:p>
        </w:tc>
      </w:tr>
      <w:tr w:rsidR="00106C17" w:rsidRPr="00C147C3" w14:paraId="5AF43AE6" w14:textId="77777777" w:rsidTr="00965F25">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965F25">
        <w:tc>
          <w:tcPr>
            <w:tcW w:w="1673" w:type="dxa"/>
          </w:tcPr>
          <w:p w14:paraId="66846D5B" w14:textId="77777777" w:rsidR="00106C17" w:rsidRPr="00C147C3" w:rsidRDefault="00106C17" w:rsidP="00106C17"/>
        </w:tc>
        <w:tc>
          <w:tcPr>
            <w:tcW w:w="1652" w:type="dxa"/>
          </w:tcPr>
          <w:p w14:paraId="01643A2B" w14:textId="77777777" w:rsidR="00106C17" w:rsidRPr="00C147C3" w:rsidRDefault="00106C17" w:rsidP="00106C17"/>
        </w:tc>
        <w:tc>
          <w:tcPr>
            <w:tcW w:w="6304" w:type="dxa"/>
          </w:tcPr>
          <w:p w14:paraId="7D182BA1" w14:textId="77777777" w:rsidR="00106C17" w:rsidRPr="00C147C3" w:rsidRDefault="00106C17" w:rsidP="00106C17"/>
        </w:tc>
      </w:tr>
      <w:tr w:rsidR="00106C17" w:rsidRPr="00C147C3" w14:paraId="7B51E5E4" w14:textId="77777777" w:rsidTr="00965F25">
        <w:tc>
          <w:tcPr>
            <w:tcW w:w="1673" w:type="dxa"/>
          </w:tcPr>
          <w:p w14:paraId="1F1706D9" w14:textId="77777777" w:rsidR="00106C17" w:rsidRPr="00C147C3" w:rsidRDefault="00106C17" w:rsidP="00106C17"/>
        </w:tc>
        <w:tc>
          <w:tcPr>
            <w:tcW w:w="1652" w:type="dxa"/>
          </w:tcPr>
          <w:p w14:paraId="516E7405" w14:textId="77777777" w:rsidR="00106C17" w:rsidRPr="00C147C3" w:rsidRDefault="00106C17" w:rsidP="00106C17"/>
        </w:tc>
        <w:tc>
          <w:tcPr>
            <w:tcW w:w="6304" w:type="dxa"/>
          </w:tcPr>
          <w:p w14:paraId="1565BEB5" w14:textId="77777777" w:rsidR="00106C17" w:rsidRPr="00C147C3" w:rsidRDefault="00106C17" w:rsidP="00106C17"/>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de-DE" w:eastAsia="de-DE"/>
        </w:rPr>
        <w:lastRenderedPageBreak/>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0B84A2EE"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965F25">
        <w:tc>
          <w:tcPr>
            <w:tcW w:w="1673" w:type="dxa"/>
            <w:shd w:val="clear" w:color="auto" w:fill="E7E6E6" w:themeFill="background2"/>
          </w:tcPr>
          <w:p w14:paraId="6CD53920" w14:textId="77777777" w:rsidR="00B60F6E" w:rsidRPr="00C147C3" w:rsidRDefault="00B60F6E" w:rsidP="00965F25">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965F25">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965F25">
            <w:pPr>
              <w:pStyle w:val="BodyText"/>
              <w:jc w:val="left"/>
              <w:rPr>
                <w:b/>
                <w:bCs/>
              </w:rPr>
            </w:pPr>
            <w:r w:rsidRPr="00C147C3">
              <w:rPr>
                <w:b/>
                <w:bCs/>
              </w:rPr>
              <w:t>Comments</w:t>
            </w:r>
          </w:p>
        </w:tc>
      </w:tr>
      <w:tr w:rsidR="00B60F6E" w:rsidRPr="00C147C3" w14:paraId="2DB0ABE0" w14:textId="77777777" w:rsidTr="00965F25">
        <w:tc>
          <w:tcPr>
            <w:tcW w:w="1673" w:type="dxa"/>
          </w:tcPr>
          <w:p w14:paraId="336F6F04" w14:textId="506462F8" w:rsidR="00B60F6E" w:rsidRPr="00C147C3" w:rsidRDefault="004B4184" w:rsidP="00965F25">
            <w:r>
              <w:t>Apple</w:t>
            </w:r>
          </w:p>
        </w:tc>
        <w:tc>
          <w:tcPr>
            <w:tcW w:w="1652" w:type="dxa"/>
          </w:tcPr>
          <w:p w14:paraId="5502CB03" w14:textId="30D3E776" w:rsidR="00B60F6E" w:rsidRPr="00C147C3" w:rsidRDefault="004B4184" w:rsidP="00965F25">
            <w:r>
              <w:t>Option 1</w:t>
            </w:r>
          </w:p>
        </w:tc>
        <w:tc>
          <w:tcPr>
            <w:tcW w:w="6304" w:type="dxa"/>
          </w:tcPr>
          <w:p w14:paraId="61B48337" w14:textId="0F29C798" w:rsidR="00B60F6E" w:rsidRDefault="007F4E98" w:rsidP="00965F25">
            <w:r>
              <w:t>Option</w:t>
            </w:r>
            <w:r w:rsidR="0020470A">
              <w:t xml:space="preserve"> 1 is aligned with TR 38.864 (especially below highlighted part):</w:t>
            </w:r>
          </w:p>
          <w:p w14:paraId="673314C5" w14:textId="7677DC24" w:rsidR="0020470A" w:rsidRPr="00C147C3" w:rsidRDefault="0020470A" w:rsidP="00965F25">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965F25">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965F25">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965F25">
        <w:tc>
          <w:tcPr>
            <w:tcW w:w="1673" w:type="dxa"/>
          </w:tcPr>
          <w:p w14:paraId="640AA07C" w14:textId="77777777" w:rsidR="007D4126" w:rsidRPr="00C147C3" w:rsidRDefault="007D4126" w:rsidP="007D4126"/>
        </w:tc>
        <w:tc>
          <w:tcPr>
            <w:tcW w:w="1652" w:type="dxa"/>
          </w:tcPr>
          <w:p w14:paraId="06BBAC1D" w14:textId="77777777" w:rsidR="007D4126" w:rsidRPr="00C147C3" w:rsidRDefault="007D4126" w:rsidP="007D4126"/>
        </w:tc>
        <w:tc>
          <w:tcPr>
            <w:tcW w:w="6304" w:type="dxa"/>
          </w:tcPr>
          <w:p w14:paraId="68C679B3" w14:textId="77777777" w:rsidR="007D4126" w:rsidRPr="00C147C3" w:rsidRDefault="007D4126" w:rsidP="007D4126"/>
        </w:tc>
      </w:tr>
      <w:tr w:rsidR="007D4126" w:rsidRPr="00C147C3" w14:paraId="59CB0885" w14:textId="77777777" w:rsidTr="00965F25">
        <w:tc>
          <w:tcPr>
            <w:tcW w:w="1673" w:type="dxa"/>
          </w:tcPr>
          <w:p w14:paraId="6ED38D1C" w14:textId="77777777" w:rsidR="007D4126" w:rsidRPr="00C147C3" w:rsidRDefault="007D4126" w:rsidP="007D4126"/>
        </w:tc>
        <w:tc>
          <w:tcPr>
            <w:tcW w:w="1652" w:type="dxa"/>
          </w:tcPr>
          <w:p w14:paraId="44D964EE" w14:textId="77777777" w:rsidR="007D4126" w:rsidRPr="00C147C3" w:rsidRDefault="007D4126" w:rsidP="007D4126"/>
        </w:tc>
        <w:tc>
          <w:tcPr>
            <w:tcW w:w="6304" w:type="dxa"/>
          </w:tcPr>
          <w:p w14:paraId="6301DEBE" w14:textId="77777777" w:rsidR="007D4126" w:rsidRPr="00C147C3" w:rsidRDefault="007D4126" w:rsidP="007D4126"/>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Do you agree that when Cell DRX is configured together with Cell DTX it must be fully aligned with Cell DTX (</w:t>
      </w:r>
      <w:proofErr w:type="gramStart"/>
      <w:r w:rsidRPr="00840043">
        <w:rPr>
          <w:rStyle w:val="Emphasis"/>
          <w:bCs/>
        </w:rPr>
        <w:t>i.e.</w:t>
      </w:r>
      <w:proofErr w:type="gramEnd"/>
      <w:r w:rsidRPr="00840043">
        <w:rPr>
          <w:rStyle w:val="Emphasis"/>
          <w:bCs/>
        </w:rPr>
        <w:t xml:space="preserv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965F25">
        <w:tc>
          <w:tcPr>
            <w:tcW w:w="1673" w:type="dxa"/>
            <w:shd w:val="clear" w:color="auto" w:fill="E7E6E6" w:themeFill="background2"/>
          </w:tcPr>
          <w:p w14:paraId="6C7D7277" w14:textId="77777777" w:rsidR="00905515" w:rsidRPr="00C147C3" w:rsidRDefault="00905515" w:rsidP="00965F25">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965F25">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965F25">
            <w:pPr>
              <w:pStyle w:val="BodyText"/>
              <w:jc w:val="left"/>
              <w:rPr>
                <w:b/>
                <w:bCs/>
              </w:rPr>
            </w:pPr>
            <w:r w:rsidRPr="00C147C3">
              <w:rPr>
                <w:b/>
                <w:bCs/>
              </w:rPr>
              <w:t>Comments</w:t>
            </w:r>
          </w:p>
        </w:tc>
      </w:tr>
      <w:tr w:rsidR="00905515" w:rsidRPr="00C147C3" w14:paraId="736FAE3A" w14:textId="77777777" w:rsidTr="00965F25">
        <w:tc>
          <w:tcPr>
            <w:tcW w:w="1673" w:type="dxa"/>
          </w:tcPr>
          <w:p w14:paraId="66F41C47" w14:textId="57316C29" w:rsidR="00905515" w:rsidRPr="00C147C3" w:rsidRDefault="00B02C26" w:rsidP="00965F25">
            <w:r>
              <w:t>Apple</w:t>
            </w:r>
          </w:p>
        </w:tc>
        <w:tc>
          <w:tcPr>
            <w:tcW w:w="1652" w:type="dxa"/>
          </w:tcPr>
          <w:p w14:paraId="3DEDCC79" w14:textId="710C9389" w:rsidR="00905515" w:rsidRPr="00C147C3" w:rsidRDefault="00B02C26" w:rsidP="00965F25">
            <w:r>
              <w:t>Yes</w:t>
            </w:r>
          </w:p>
        </w:tc>
        <w:tc>
          <w:tcPr>
            <w:tcW w:w="6304" w:type="dxa"/>
          </w:tcPr>
          <w:p w14:paraId="692433EA" w14:textId="77777777" w:rsidR="00905515" w:rsidRDefault="006D7CD6" w:rsidP="00965F25">
            <w:r>
              <w:t>Proponent</w:t>
            </w:r>
          </w:p>
          <w:p w14:paraId="2355B1BE" w14:textId="1D45DD45" w:rsidR="006D7CD6" w:rsidRDefault="006D7CD6" w:rsidP="00965F25">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宋体"/>
                <w:lang w:eastAsia="zh-CN"/>
              </w:rPr>
              <w:t xml:space="preserve">the power consumption of </w:t>
            </w:r>
            <w:r>
              <w:rPr>
                <w:rFonts w:eastAsia="宋体"/>
                <w:lang w:eastAsia="zh-CN"/>
              </w:rPr>
              <w:t>DL</w:t>
            </w:r>
            <w:r w:rsidRPr="007D0D88">
              <w:rPr>
                <w:rFonts w:eastAsia="宋体"/>
                <w:lang w:eastAsia="zh-CN"/>
              </w:rPr>
              <w:t xml:space="preserve"> is much higher than </w:t>
            </w:r>
            <w:r>
              <w:rPr>
                <w:rFonts w:eastAsia="宋体"/>
                <w:lang w:eastAsia="zh-CN"/>
              </w:rPr>
              <w:t>UL a</w:t>
            </w:r>
            <w:r w:rsidRPr="007D0D88">
              <w:rPr>
                <w:rFonts w:eastAsia="宋体"/>
                <w:lang w:eastAsia="zh-CN"/>
              </w:rPr>
              <w:t>ccording to TR38.</w:t>
            </w:r>
            <w:proofErr w:type="gramStart"/>
            <w:r w:rsidRPr="007D0D88">
              <w:rPr>
                <w:rFonts w:eastAsia="宋体"/>
                <w:lang w:eastAsia="zh-CN"/>
              </w:rPr>
              <w:t>864</w:t>
            </w:r>
            <w:r>
              <w:rPr>
                <w:rFonts w:eastAsia="宋体"/>
                <w:lang w:eastAsia="zh-CN"/>
              </w:rPr>
              <w:t xml:space="preserve"> .</w:t>
            </w:r>
            <w:proofErr w:type="gramEnd"/>
            <w:r>
              <w:rPr>
                <w:rFonts w:eastAsia="宋体"/>
                <w:lang w:eastAsia="zh-CN"/>
              </w:rPr>
              <w:t xml:space="preserve"> </w:t>
            </w:r>
          </w:p>
          <w:p w14:paraId="66CA2163" w14:textId="04ABC03B" w:rsidR="006D7CD6" w:rsidRPr="00C147C3" w:rsidRDefault="006D7CD6" w:rsidP="00965F25">
            <w:pPr>
              <w:pStyle w:val="ListParagraph"/>
              <w:numPr>
                <w:ilvl w:val="0"/>
                <w:numId w:val="20"/>
              </w:numPr>
              <w:overflowPunct w:val="0"/>
              <w:autoSpaceDE w:val="0"/>
              <w:autoSpaceDN w:val="0"/>
              <w:adjustRightInd w:val="0"/>
              <w:spacing w:after="180"/>
              <w:textAlignment w:val="baseline"/>
            </w:pPr>
            <w:r>
              <w:rPr>
                <w:rFonts w:eastAsia="宋体"/>
                <w:lang w:eastAsia="zh-CN"/>
              </w:rPr>
              <w:lastRenderedPageBreak/>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965F25">
        <w:tc>
          <w:tcPr>
            <w:tcW w:w="1673" w:type="dxa"/>
          </w:tcPr>
          <w:p w14:paraId="1E7BCA0E" w14:textId="597A51C2" w:rsidR="00BC3A78" w:rsidRPr="00C147C3" w:rsidRDefault="00BC3A78" w:rsidP="00BC3A78">
            <w:r>
              <w:lastRenderedPageBreak/>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965F25">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965F25">
        <w:tc>
          <w:tcPr>
            <w:tcW w:w="1673" w:type="dxa"/>
          </w:tcPr>
          <w:p w14:paraId="33F9DF38" w14:textId="77777777" w:rsidR="00493704" w:rsidRPr="00C147C3" w:rsidRDefault="00493704" w:rsidP="00493704"/>
        </w:tc>
        <w:tc>
          <w:tcPr>
            <w:tcW w:w="1652" w:type="dxa"/>
          </w:tcPr>
          <w:p w14:paraId="13F5363F" w14:textId="77777777" w:rsidR="00493704" w:rsidRPr="00C147C3" w:rsidRDefault="00493704" w:rsidP="00493704"/>
        </w:tc>
        <w:tc>
          <w:tcPr>
            <w:tcW w:w="6304" w:type="dxa"/>
          </w:tcPr>
          <w:p w14:paraId="412ECCA1" w14:textId="77777777" w:rsidR="00493704" w:rsidRPr="00C147C3" w:rsidRDefault="00493704" w:rsidP="00493704"/>
        </w:tc>
      </w:tr>
      <w:tr w:rsidR="00493704" w:rsidRPr="00C147C3" w14:paraId="0351FF4A" w14:textId="77777777" w:rsidTr="00965F25">
        <w:tc>
          <w:tcPr>
            <w:tcW w:w="1673" w:type="dxa"/>
          </w:tcPr>
          <w:p w14:paraId="611B7BEA" w14:textId="77777777" w:rsidR="00493704" w:rsidRPr="00C147C3" w:rsidRDefault="00493704" w:rsidP="00493704"/>
        </w:tc>
        <w:tc>
          <w:tcPr>
            <w:tcW w:w="1652" w:type="dxa"/>
          </w:tcPr>
          <w:p w14:paraId="766D9B31" w14:textId="77777777" w:rsidR="00493704" w:rsidRPr="00C147C3" w:rsidRDefault="00493704" w:rsidP="00493704"/>
        </w:tc>
        <w:tc>
          <w:tcPr>
            <w:tcW w:w="6304" w:type="dxa"/>
          </w:tcPr>
          <w:p w14:paraId="65E7A92D" w14:textId="77777777" w:rsidR="00493704" w:rsidRPr="00C147C3" w:rsidRDefault="00493704" w:rsidP="00493704"/>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8F2DAF">
        <w:tc>
          <w:tcPr>
            <w:tcW w:w="1673" w:type="dxa"/>
            <w:shd w:val="clear" w:color="auto" w:fill="E7E6E6" w:themeFill="background2"/>
          </w:tcPr>
          <w:p w14:paraId="32A168BB" w14:textId="77777777" w:rsidR="0074693D" w:rsidRPr="00C147C3" w:rsidRDefault="0074693D" w:rsidP="008F2DAF">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8F2DAF">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8F2DAF">
            <w:pPr>
              <w:pStyle w:val="BodyText"/>
              <w:jc w:val="left"/>
              <w:rPr>
                <w:b/>
                <w:bCs/>
              </w:rPr>
            </w:pPr>
            <w:r w:rsidRPr="00C147C3">
              <w:rPr>
                <w:b/>
                <w:bCs/>
              </w:rPr>
              <w:t>Comments</w:t>
            </w:r>
          </w:p>
        </w:tc>
      </w:tr>
      <w:tr w:rsidR="0074693D" w:rsidRPr="00C147C3" w14:paraId="32376CEB" w14:textId="77777777" w:rsidTr="008F2DAF">
        <w:tc>
          <w:tcPr>
            <w:tcW w:w="1673" w:type="dxa"/>
          </w:tcPr>
          <w:p w14:paraId="35C950BC" w14:textId="46268882" w:rsidR="0074693D" w:rsidRPr="00C147C3" w:rsidRDefault="00AA0DFA" w:rsidP="008F2DAF">
            <w:r>
              <w:t>Apple</w:t>
            </w:r>
          </w:p>
        </w:tc>
        <w:tc>
          <w:tcPr>
            <w:tcW w:w="1652" w:type="dxa"/>
          </w:tcPr>
          <w:p w14:paraId="21862524" w14:textId="77777777" w:rsidR="0074693D" w:rsidRDefault="00AA0DFA" w:rsidP="008F2DAF">
            <w:r>
              <w:t>Single is baseline</w:t>
            </w:r>
          </w:p>
          <w:p w14:paraId="072B1670" w14:textId="686B4E94" w:rsidR="00AA0DFA" w:rsidRPr="00C147C3" w:rsidRDefault="00AA0DFA" w:rsidP="008F2DAF">
            <w:r>
              <w:t>Multiple can be further discussed after L1</w:t>
            </w:r>
            <w:r w:rsidR="00C0611A">
              <w:t>/L2</w:t>
            </w:r>
            <w:r>
              <w:t xml:space="preserve"> signalling discussion  is finalized </w:t>
            </w:r>
          </w:p>
        </w:tc>
        <w:tc>
          <w:tcPr>
            <w:tcW w:w="6304" w:type="dxa"/>
          </w:tcPr>
          <w:p w14:paraId="7FBC8510" w14:textId="77777777" w:rsidR="0074693D" w:rsidRDefault="00935EF4" w:rsidP="008F2DAF">
            <w:r>
              <w:t xml:space="preserve">First, we want to clarify our understanding that irrespective of whether multiple </w:t>
            </w:r>
            <w:proofErr w:type="gramStart"/>
            <w:r>
              <w:t>configuration</w:t>
            </w:r>
            <w:proofErr w:type="gramEnd"/>
            <w:r>
              <w:t xml:space="preserve">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8F2DAF">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8F2DAF">
            <w:r>
              <w:t xml:space="preserve">Because RAN2 has not discussed RAN1 </w:t>
            </w:r>
            <w:proofErr w:type="gramStart"/>
            <w:r>
              <w:t>reply</w:t>
            </w:r>
            <w:proofErr w:type="gramEnd"/>
            <w:r>
              <w:t xml:space="preserve">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8F2DAF">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w:t>
            </w:r>
            <w:proofErr w:type="gramStart"/>
            <w:r>
              <w:t>IDs, or</w:t>
            </w:r>
            <w:proofErr w:type="gramEnd"/>
            <w:r>
              <w:t xml:space="preserve"> selecting subsets of configurations which can be currently considered.</w:t>
            </w:r>
          </w:p>
        </w:tc>
      </w:tr>
      <w:tr w:rsidR="00BC3A78" w:rsidRPr="00C147C3" w14:paraId="79E7FC37" w14:textId="77777777" w:rsidTr="008F2DAF">
        <w:tc>
          <w:tcPr>
            <w:tcW w:w="1673" w:type="dxa"/>
          </w:tcPr>
          <w:p w14:paraId="150C7EF9" w14:textId="77777777" w:rsidR="00BC3A78" w:rsidRPr="00C147C3" w:rsidRDefault="00BC3A78" w:rsidP="00BC3A78"/>
        </w:tc>
        <w:tc>
          <w:tcPr>
            <w:tcW w:w="1652" w:type="dxa"/>
          </w:tcPr>
          <w:p w14:paraId="1B6FCFA1" w14:textId="77777777" w:rsidR="00BC3A78" w:rsidRPr="00C147C3" w:rsidRDefault="00BC3A78" w:rsidP="00BC3A78"/>
        </w:tc>
        <w:tc>
          <w:tcPr>
            <w:tcW w:w="6304" w:type="dxa"/>
          </w:tcPr>
          <w:p w14:paraId="2B7D1DAB" w14:textId="77777777" w:rsidR="00BC3A78" w:rsidRPr="00C147C3" w:rsidRDefault="00BC3A78" w:rsidP="00BC3A78"/>
        </w:tc>
      </w:tr>
      <w:tr w:rsidR="00C5087C" w:rsidRPr="00C147C3" w14:paraId="1523FC54" w14:textId="77777777" w:rsidTr="008F2DAF">
        <w:tc>
          <w:tcPr>
            <w:tcW w:w="1673" w:type="dxa"/>
          </w:tcPr>
          <w:p w14:paraId="53C3B4AD" w14:textId="0A89152D" w:rsidR="00C5087C" w:rsidRPr="00C147C3" w:rsidRDefault="00C5087C" w:rsidP="00C5087C">
            <w:r>
              <w:lastRenderedPageBreak/>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5087C" w:rsidRPr="00C147C3" w14:paraId="1C516755" w14:textId="77777777" w:rsidTr="008F2DAF">
        <w:tc>
          <w:tcPr>
            <w:tcW w:w="1673" w:type="dxa"/>
          </w:tcPr>
          <w:p w14:paraId="2093D52B" w14:textId="77777777" w:rsidR="00C5087C" w:rsidRPr="00C147C3" w:rsidRDefault="00C5087C" w:rsidP="00C5087C"/>
        </w:tc>
        <w:tc>
          <w:tcPr>
            <w:tcW w:w="1652" w:type="dxa"/>
          </w:tcPr>
          <w:p w14:paraId="6265A45E" w14:textId="77777777" w:rsidR="00C5087C" w:rsidRPr="00C147C3" w:rsidRDefault="00C5087C" w:rsidP="00C5087C"/>
        </w:tc>
        <w:tc>
          <w:tcPr>
            <w:tcW w:w="6304" w:type="dxa"/>
          </w:tcPr>
          <w:p w14:paraId="705F8A81" w14:textId="77777777" w:rsidR="00C5087C" w:rsidRPr="00C147C3" w:rsidRDefault="00C5087C" w:rsidP="00C5087C"/>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 xml:space="preserve">to be able to estimate the maximum delay a connected mode UE can have when the </w:t>
      </w:r>
      <w:proofErr w:type="spellStart"/>
      <w:r>
        <w:rPr>
          <w:rStyle w:val="Emphasis"/>
          <w:bCs/>
          <w:i w:val="0"/>
        </w:rPr>
        <w:t>gNB</w:t>
      </w:r>
      <w:proofErr w:type="spellEnd"/>
      <w:r>
        <w:rPr>
          <w:rStyle w:val="Emphasis"/>
          <w:bCs/>
          <w:i w:val="0"/>
        </w:rPr>
        <w:t xml:space="preserve">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965F25">
        <w:tc>
          <w:tcPr>
            <w:tcW w:w="1673" w:type="dxa"/>
            <w:shd w:val="clear" w:color="auto" w:fill="E7E6E6" w:themeFill="background2"/>
          </w:tcPr>
          <w:p w14:paraId="54120654"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965F25">
            <w:pPr>
              <w:pStyle w:val="BodyText"/>
              <w:jc w:val="left"/>
              <w:rPr>
                <w:b/>
                <w:bCs/>
              </w:rPr>
            </w:pPr>
            <w:r w:rsidRPr="00C147C3">
              <w:rPr>
                <w:b/>
                <w:bCs/>
              </w:rPr>
              <w:t>Comments</w:t>
            </w:r>
          </w:p>
        </w:tc>
      </w:tr>
      <w:tr w:rsidR="006D5B0A" w:rsidRPr="00C147C3" w14:paraId="19DAE4F1" w14:textId="77777777" w:rsidTr="00965F25">
        <w:tc>
          <w:tcPr>
            <w:tcW w:w="1673" w:type="dxa"/>
          </w:tcPr>
          <w:p w14:paraId="65E8BDFE" w14:textId="5268556A" w:rsidR="006D5B0A" w:rsidRPr="00C147C3" w:rsidRDefault="003F1865" w:rsidP="00965F25">
            <w:r>
              <w:t>Apple</w:t>
            </w:r>
          </w:p>
        </w:tc>
        <w:tc>
          <w:tcPr>
            <w:tcW w:w="1652" w:type="dxa"/>
          </w:tcPr>
          <w:p w14:paraId="2CCDADA3" w14:textId="33E2E436" w:rsidR="006D5B0A" w:rsidRPr="00C147C3" w:rsidRDefault="00537B30" w:rsidP="00965F25">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965F25">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965F25">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965F25">
        <w:tc>
          <w:tcPr>
            <w:tcW w:w="1673" w:type="dxa"/>
          </w:tcPr>
          <w:p w14:paraId="1F8EFFE2" w14:textId="77777777" w:rsidR="00B179D6" w:rsidRPr="00C147C3" w:rsidRDefault="00B179D6" w:rsidP="00B179D6"/>
        </w:tc>
        <w:tc>
          <w:tcPr>
            <w:tcW w:w="1652" w:type="dxa"/>
          </w:tcPr>
          <w:p w14:paraId="4BFB4177" w14:textId="77777777" w:rsidR="00B179D6" w:rsidRPr="00C147C3" w:rsidRDefault="00B179D6" w:rsidP="00B179D6"/>
        </w:tc>
        <w:tc>
          <w:tcPr>
            <w:tcW w:w="6304" w:type="dxa"/>
          </w:tcPr>
          <w:p w14:paraId="010B4D33" w14:textId="77777777" w:rsidR="00B179D6" w:rsidRPr="00C147C3" w:rsidRDefault="00B179D6" w:rsidP="00B179D6"/>
        </w:tc>
      </w:tr>
      <w:tr w:rsidR="00B179D6" w:rsidRPr="00C147C3" w14:paraId="44210385" w14:textId="77777777" w:rsidTr="00965F25">
        <w:tc>
          <w:tcPr>
            <w:tcW w:w="1673" w:type="dxa"/>
          </w:tcPr>
          <w:p w14:paraId="106AC55F" w14:textId="77777777" w:rsidR="00B179D6" w:rsidRPr="00C147C3" w:rsidRDefault="00B179D6" w:rsidP="00B179D6"/>
        </w:tc>
        <w:tc>
          <w:tcPr>
            <w:tcW w:w="1652" w:type="dxa"/>
          </w:tcPr>
          <w:p w14:paraId="6B22867E" w14:textId="77777777" w:rsidR="00B179D6" w:rsidRPr="00C147C3" w:rsidRDefault="00B179D6" w:rsidP="00B179D6"/>
        </w:tc>
        <w:tc>
          <w:tcPr>
            <w:tcW w:w="6304" w:type="dxa"/>
          </w:tcPr>
          <w:p w14:paraId="268E8214" w14:textId="77777777" w:rsidR="00B179D6" w:rsidRPr="00C147C3" w:rsidRDefault="00B179D6" w:rsidP="00B179D6"/>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1" w:name="_Hlk136609632"/>
      <w:proofErr w:type="spell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1"/>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r>
        <w:rPr>
          <w:rStyle w:val="Emphasis"/>
          <w:bCs/>
          <w:i w:val="0"/>
        </w:rPr>
        <w:t>.</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965F25">
        <w:tc>
          <w:tcPr>
            <w:tcW w:w="1673" w:type="dxa"/>
            <w:shd w:val="clear" w:color="auto" w:fill="E7E6E6" w:themeFill="background2"/>
          </w:tcPr>
          <w:p w14:paraId="2578A47C"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965F25">
            <w:pPr>
              <w:pStyle w:val="BodyText"/>
              <w:jc w:val="left"/>
              <w:rPr>
                <w:b/>
                <w:bCs/>
              </w:rPr>
            </w:pPr>
            <w:r w:rsidRPr="00C147C3">
              <w:rPr>
                <w:b/>
                <w:bCs/>
              </w:rPr>
              <w:t>Comments</w:t>
            </w:r>
          </w:p>
        </w:tc>
      </w:tr>
      <w:tr w:rsidR="00460BC3" w:rsidRPr="00C147C3" w14:paraId="10B9FD2C" w14:textId="77777777" w:rsidTr="00965F25">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 xml:space="preserve">To make Cell DTX more backward compatible to UE CDRX, we prefer to reuse the same value range of all configurations of UE CDRX (including </w:t>
            </w:r>
            <w:r>
              <w:lastRenderedPageBreak/>
              <w:t>on-duration, periodicity and offset), and same start time formula in TS 38.321.</w:t>
            </w:r>
          </w:p>
        </w:tc>
      </w:tr>
      <w:tr w:rsidR="009C24F1" w:rsidRPr="00C147C3" w14:paraId="5227A23F" w14:textId="77777777" w:rsidTr="00965F25">
        <w:tc>
          <w:tcPr>
            <w:tcW w:w="1673" w:type="dxa"/>
          </w:tcPr>
          <w:p w14:paraId="4A3247A5" w14:textId="1BC1E2FA" w:rsidR="009C24F1" w:rsidRPr="00C147C3" w:rsidRDefault="009C24F1" w:rsidP="009C24F1">
            <w:r>
              <w:lastRenderedPageBreak/>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w:t>
            </w:r>
            <w:proofErr w:type="gramStart"/>
            <w:r>
              <w:t>NES, but</w:t>
            </w:r>
            <w:proofErr w:type="gramEnd"/>
            <w:r>
              <w:t xml:space="preserve">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965F25">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F25A46" w:rsidRPr="00C147C3" w14:paraId="2D8AD883" w14:textId="77777777" w:rsidTr="00965F25">
        <w:tc>
          <w:tcPr>
            <w:tcW w:w="1673" w:type="dxa"/>
          </w:tcPr>
          <w:p w14:paraId="5B997E45" w14:textId="77777777" w:rsidR="00F25A46" w:rsidRPr="00C147C3" w:rsidRDefault="00F25A46" w:rsidP="00F25A46"/>
        </w:tc>
        <w:tc>
          <w:tcPr>
            <w:tcW w:w="1652" w:type="dxa"/>
          </w:tcPr>
          <w:p w14:paraId="2A8E0FEF" w14:textId="77777777" w:rsidR="00F25A46" w:rsidRPr="00C147C3" w:rsidRDefault="00F25A46" w:rsidP="00F25A46"/>
        </w:tc>
        <w:tc>
          <w:tcPr>
            <w:tcW w:w="6304" w:type="dxa"/>
          </w:tcPr>
          <w:p w14:paraId="270608C3" w14:textId="77777777" w:rsidR="00F25A46" w:rsidRPr="00C147C3" w:rsidRDefault="00F25A46" w:rsidP="00F25A46"/>
        </w:tc>
      </w:tr>
      <w:tr w:rsidR="00F25A46" w:rsidRPr="00C147C3" w14:paraId="67E7587D" w14:textId="77777777" w:rsidTr="00965F25">
        <w:tc>
          <w:tcPr>
            <w:tcW w:w="1673" w:type="dxa"/>
          </w:tcPr>
          <w:p w14:paraId="42A0F1DB" w14:textId="77777777" w:rsidR="00F25A46" w:rsidRPr="00C147C3" w:rsidRDefault="00F25A46" w:rsidP="00F25A46"/>
        </w:tc>
        <w:tc>
          <w:tcPr>
            <w:tcW w:w="1652" w:type="dxa"/>
          </w:tcPr>
          <w:p w14:paraId="336B375A" w14:textId="77777777" w:rsidR="00F25A46" w:rsidRPr="00C147C3" w:rsidRDefault="00F25A46" w:rsidP="00F25A46"/>
        </w:tc>
        <w:tc>
          <w:tcPr>
            <w:tcW w:w="6304" w:type="dxa"/>
          </w:tcPr>
          <w:p w14:paraId="3337348A" w14:textId="77777777" w:rsidR="00F25A46" w:rsidRPr="00C147C3" w:rsidRDefault="00F25A46" w:rsidP="00F25A46"/>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D313D0">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D313D0">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D313D0">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D313D0">
            <w:r>
              <w:t>Apple</w:t>
            </w:r>
          </w:p>
        </w:tc>
        <w:tc>
          <w:tcPr>
            <w:tcW w:w="1652" w:type="dxa"/>
          </w:tcPr>
          <w:p w14:paraId="1D5D1D82" w14:textId="6154612F" w:rsidR="007564E5" w:rsidRPr="00C147C3" w:rsidRDefault="00E1486B" w:rsidP="00D313D0">
            <w:r>
              <w:t>Yes</w:t>
            </w:r>
          </w:p>
        </w:tc>
        <w:tc>
          <w:tcPr>
            <w:tcW w:w="6304" w:type="dxa"/>
          </w:tcPr>
          <w:p w14:paraId="7B0E74A0" w14:textId="77777777" w:rsidR="007564E5" w:rsidRDefault="00FB20BB" w:rsidP="00D313D0">
            <w:r>
              <w:t xml:space="preserve">Same comment as Q7/Q8. </w:t>
            </w:r>
          </w:p>
          <w:p w14:paraId="1841B801" w14:textId="47C8476C" w:rsidR="00FB20BB" w:rsidRPr="00C147C3" w:rsidRDefault="006B5B12" w:rsidP="00D313D0">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77777777" w:rsidR="00E40E55" w:rsidRPr="00C147C3" w:rsidRDefault="00E40E55" w:rsidP="00E40E55"/>
        </w:tc>
        <w:tc>
          <w:tcPr>
            <w:tcW w:w="1652" w:type="dxa"/>
          </w:tcPr>
          <w:p w14:paraId="1B062B87" w14:textId="77777777" w:rsidR="00E40E55" w:rsidRPr="00C147C3" w:rsidRDefault="00E40E55" w:rsidP="00E40E55"/>
        </w:tc>
        <w:tc>
          <w:tcPr>
            <w:tcW w:w="6304" w:type="dxa"/>
          </w:tcPr>
          <w:p w14:paraId="56C0A711" w14:textId="77777777" w:rsidR="00E40E55" w:rsidRPr="00C147C3" w:rsidRDefault="00E40E55" w:rsidP="00E40E55"/>
        </w:tc>
      </w:tr>
      <w:tr w:rsidR="00E40E55" w:rsidRPr="00C147C3" w14:paraId="7B29C43A" w14:textId="77777777" w:rsidTr="007E5902">
        <w:tc>
          <w:tcPr>
            <w:tcW w:w="1673" w:type="dxa"/>
          </w:tcPr>
          <w:p w14:paraId="2E84E804" w14:textId="77777777" w:rsidR="00E40E55" w:rsidRPr="00C147C3" w:rsidRDefault="00E40E55" w:rsidP="00E40E55"/>
        </w:tc>
        <w:tc>
          <w:tcPr>
            <w:tcW w:w="1652" w:type="dxa"/>
          </w:tcPr>
          <w:p w14:paraId="3BC5BC57" w14:textId="77777777" w:rsidR="00E40E55" w:rsidRPr="00C147C3" w:rsidRDefault="00E40E55" w:rsidP="00E40E55"/>
        </w:tc>
        <w:tc>
          <w:tcPr>
            <w:tcW w:w="6304" w:type="dxa"/>
          </w:tcPr>
          <w:p w14:paraId="2BD73C1C" w14:textId="77777777" w:rsidR="00E40E55" w:rsidRPr="00C147C3" w:rsidRDefault="00E40E55" w:rsidP="00E40E55"/>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lastRenderedPageBreak/>
        <w:t>4</w:t>
      </w:r>
      <w:r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6389" w14:textId="77777777" w:rsidR="00226640" w:rsidRDefault="00226640">
      <w:pPr>
        <w:spacing w:after="0"/>
      </w:pPr>
      <w:r>
        <w:separator/>
      </w:r>
    </w:p>
  </w:endnote>
  <w:endnote w:type="continuationSeparator" w:id="0">
    <w:p w14:paraId="741B93ED" w14:textId="77777777" w:rsidR="00226640" w:rsidRDefault="00226640">
      <w:pPr>
        <w:spacing w:after="0"/>
      </w:pPr>
      <w:r>
        <w:continuationSeparator/>
      </w:r>
    </w:p>
  </w:endnote>
  <w:endnote w:type="continuationNotice" w:id="1">
    <w:p w14:paraId="62219345" w14:textId="77777777" w:rsidR="00226640" w:rsidRDefault="002266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CE38DB5"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1728">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1728">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0495" w14:textId="77777777" w:rsidR="00226640" w:rsidRDefault="00226640">
      <w:pPr>
        <w:spacing w:after="0"/>
      </w:pPr>
      <w:r>
        <w:separator/>
      </w:r>
    </w:p>
  </w:footnote>
  <w:footnote w:type="continuationSeparator" w:id="0">
    <w:p w14:paraId="3D5AF44C" w14:textId="77777777" w:rsidR="00226640" w:rsidRDefault="00226640">
      <w:pPr>
        <w:spacing w:after="0"/>
      </w:pPr>
      <w:r>
        <w:continuationSeparator/>
      </w:r>
    </w:p>
  </w:footnote>
  <w:footnote w:type="continuationNotice" w:id="1">
    <w:p w14:paraId="6BE39ACC" w14:textId="77777777" w:rsidR="00226640" w:rsidRDefault="002266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7"/>
  </w:num>
  <w:num w:numId="3">
    <w:abstractNumId w:val="11"/>
  </w:num>
  <w:num w:numId="4">
    <w:abstractNumId w:val="18"/>
  </w:num>
  <w:num w:numId="5">
    <w:abstractNumId w:val="12"/>
  </w:num>
  <w:num w:numId="6">
    <w:abstractNumId w:val="2"/>
  </w:num>
  <w:num w:numId="7">
    <w:abstractNumId w:val="16"/>
  </w:num>
  <w:num w:numId="8">
    <w:abstractNumId w:val="17"/>
  </w:num>
  <w:num w:numId="9">
    <w:abstractNumId w:val="3"/>
  </w:num>
  <w:num w:numId="10">
    <w:abstractNumId w:val="8"/>
  </w:num>
  <w:num w:numId="11">
    <w:abstractNumId w:val="4"/>
  </w:num>
  <w:num w:numId="12">
    <w:abstractNumId w:val="0"/>
  </w:num>
  <w:num w:numId="13">
    <w:abstractNumId w:val="20"/>
  </w:num>
  <w:num w:numId="14">
    <w:abstractNumId w:val="14"/>
  </w:num>
  <w:num w:numId="15">
    <w:abstractNumId w:val="5"/>
  </w:num>
  <w:num w:numId="16">
    <w:abstractNumId w:val="9"/>
  </w:num>
  <w:num w:numId="17">
    <w:abstractNumId w:val="6"/>
  </w:num>
  <w:num w:numId="18">
    <w:abstractNumId w:val="13"/>
  </w:num>
  <w:num w:numId="19">
    <w:abstractNumId w:val="15"/>
  </w:num>
  <w:num w:numId="20">
    <w:abstractNumId w:val="19"/>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7A4"/>
    <w:rsid w:val="000B5DF9"/>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1C46"/>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706FB"/>
    <w:rsid w:val="00370D33"/>
    <w:rsid w:val="003734BD"/>
    <w:rsid w:val="003806E0"/>
    <w:rsid w:val="00380FAD"/>
    <w:rsid w:val="003813B3"/>
    <w:rsid w:val="00381608"/>
    <w:rsid w:val="00382855"/>
    <w:rsid w:val="00383C5D"/>
    <w:rsid w:val="00384365"/>
    <w:rsid w:val="00390019"/>
    <w:rsid w:val="0039140F"/>
    <w:rsid w:val="00393483"/>
    <w:rsid w:val="00393EC3"/>
    <w:rsid w:val="003950BA"/>
    <w:rsid w:val="003A144C"/>
    <w:rsid w:val="003A2422"/>
    <w:rsid w:val="003A2625"/>
    <w:rsid w:val="003A28AE"/>
    <w:rsid w:val="003A2CB1"/>
    <w:rsid w:val="003A3EDB"/>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DF2"/>
    <w:rsid w:val="0044611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A06CF"/>
    <w:rsid w:val="004A109D"/>
    <w:rsid w:val="004A1C59"/>
    <w:rsid w:val="004A46B4"/>
    <w:rsid w:val="004A4A36"/>
    <w:rsid w:val="004A789D"/>
    <w:rsid w:val="004B1EAC"/>
    <w:rsid w:val="004B2123"/>
    <w:rsid w:val="004B2C00"/>
    <w:rsid w:val="004B2F32"/>
    <w:rsid w:val="004B3EA6"/>
    <w:rsid w:val="004B4184"/>
    <w:rsid w:val="004B50F2"/>
    <w:rsid w:val="004B53C6"/>
    <w:rsid w:val="004B5D7E"/>
    <w:rsid w:val="004B71CA"/>
    <w:rsid w:val="004B76C4"/>
    <w:rsid w:val="004B7B23"/>
    <w:rsid w:val="004C1984"/>
    <w:rsid w:val="004C19BF"/>
    <w:rsid w:val="004C1EBF"/>
    <w:rsid w:val="004C272A"/>
    <w:rsid w:val="004C597E"/>
    <w:rsid w:val="004C6DDC"/>
    <w:rsid w:val="004D0433"/>
    <w:rsid w:val="004D10F7"/>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7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B5"/>
    <w:rsid w:val="005D7ECD"/>
    <w:rsid w:val="005E096C"/>
    <w:rsid w:val="005E09BB"/>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2C06"/>
    <w:rsid w:val="00613208"/>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C47"/>
    <w:rsid w:val="006B2237"/>
    <w:rsid w:val="006B2B5D"/>
    <w:rsid w:val="006B45E6"/>
    <w:rsid w:val="006B4765"/>
    <w:rsid w:val="006B49C5"/>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A79"/>
    <w:rsid w:val="00873205"/>
    <w:rsid w:val="00874248"/>
    <w:rsid w:val="0087476B"/>
    <w:rsid w:val="00875BCB"/>
    <w:rsid w:val="0087702B"/>
    <w:rsid w:val="008779ED"/>
    <w:rsid w:val="00881787"/>
    <w:rsid w:val="00881972"/>
    <w:rsid w:val="008824F2"/>
    <w:rsid w:val="00882C8E"/>
    <w:rsid w:val="008836E4"/>
    <w:rsid w:val="008849D6"/>
    <w:rsid w:val="0088787E"/>
    <w:rsid w:val="008902F8"/>
    <w:rsid w:val="008917A1"/>
    <w:rsid w:val="0089223D"/>
    <w:rsid w:val="008930E9"/>
    <w:rsid w:val="008933F1"/>
    <w:rsid w:val="0089359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416A"/>
    <w:rsid w:val="00904898"/>
    <w:rsid w:val="0090507D"/>
    <w:rsid w:val="00905515"/>
    <w:rsid w:val="00905FFE"/>
    <w:rsid w:val="0090656D"/>
    <w:rsid w:val="0090726E"/>
    <w:rsid w:val="009079CF"/>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DFA"/>
    <w:rsid w:val="00AA1BE7"/>
    <w:rsid w:val="00AA26FD"/>
    <w:rsid w:val="00AA2DC9"/>
    <w:rsid w:val="00AA303B"/>
    <w:rsid w:val="00AA3E24"/>
    <w:rsid w:val="00AA45E2"/>
    <w:rsid w:val="00AA5ED7"/>
    <w:rsid w:val="00AA66F7"/>
    <w:rsid w:val="00AA739A"/>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95C"/>
    <w:rsid w:val="00B52D77"/>
    <w:rsid w:val="00B53D02"/>
    <w:rsid w:val="00B53D40"/>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A7613"/>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02D"/>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E783B"/>
    <w:rsid w:val="00DF12C8"/>
    <w:rsid w:val="00DF1F06"/>
    <w:rsid w:val="00DF6D32"/>
    <w:rsid w:val="00E00931"/>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91"/>
    <w:rsid w:val="00F33C88"/>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Chunli</cp:lastModifiedBy>
  <cp:revision>14</cp:revision>
  <dcterms:created xsi:type="dcterms:W3CDTF">2023-06-19T01:00:00Z</dcterms:created>
  <dcterms:modified xsi:type="dcterms:W3CDTF">2023-06-19T01:03:00Z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