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宋体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宋体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commentRangeStart w:id="10"/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Tx switching across 2 bands specified in Rel-16/17.</w:t>
            </w:r>
            <w:commentRangeEnd w:id="10"/>
            <w:r w:rsidR="00432B73">
              <w:rPr>
                <w:rStyle w:val="a9"/>
                <w:rFonts w:ascii="Arial" w:hAnsi="Arial"/>
                <w:kern w:val="0"/>
                <w:szCs w:val="20"/>
              </w:rPr>
              <w:commentReference w:id="10"/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1" w:name="_Hlk133515174"/>
      <w:r w:rsidRPr="005F2D2F">
        <w:rPr>
          <w:b/>
          <w:bCs/>
          <w:lang w:eastAsia="ja-JP"/>
        </w:rPr>
        <w:t>and asks for feedback if there is any issue.</w:t>
      </w:r>
      <w:bookmarkEnd w:id="11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C1D06AC" w:rsidR="001251F7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</w:t>
      </w:r>
      <w:commentRangeStart w:id="12"/>
      <w:ins w:id="13" w:author="Huawei, HiSilicon" w:date="2023-04-28T09:33:00Z">
        <w:r w:rsidR="00432B73">
          <w:rPr>
            <w:lang w:eastAsia="ja-JP"/>
          </w:rPr>
          <w:t>/ports</w:t>
        </w:r>
      </w:ins>
      <w:r w:rsidR="006D0A44">
        <w:rPr>
          <w:lang w:eastAsia="ja-JP"/>
        </w:rPr>
        <w:t xml:space="preserve"> </w:t>
      </w:r>
      <w:commentRangeEnd w:id="12"/>
      <w:r w:rsidR="00432B73">
        <w:rPr>
          <w:rStyle w:val="a9"/>
          <w:rFonts w:ascii="Arial" w:hAnsi="Arial"/>
        </w:rPr>
        <w:commentReference w:id="12"/>
      </w:r>
      <w:r w:rsidR="006D0A44">
        <w:rPr>
          <w:lang w:eastAsia="ja-JP"/>
        </w:rPr>
        <w:t>UL</w:t>
      </w:r>
      <w:r>
        <w:rPr>
          <w:lang w:eastAsia="ja-JP"/>
        </w:rPr>
        <w:t xml:space="preserve"> MIMO on the two bands</w:t>
      </w:r>
    </w:p>
    <w:p w14:paraId="165E0036" w14:textId="0191041C" w:rsidR="001251F7" w:rsidRPr="00C51D34" w:rsidRDefault="001251F7" w:rsidP="001251F7">
      <w:pPr>
        <w:pStyle w:val="af4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</w:t>
      </w:r>
      <w:ins w:id="15" w:author="Huawei, HiSilicon" w:date="2023-04-28T09:34:00Z">
        <w:r w:rsidR="00432B73">
          <w:rPr>
            <w:lang w:eastAsia="ja-JP"/>
          </w:rPr>
          <w:t>/ports</w:t>
        </w:r>
      </w:ins>
      <w:r w:rsidR="006D0A44">
        <w:rPr>
          <w:lang w:eastAsia="ja-JP"/>
        </w:rPr>
        <w:t xml:space="preserve">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FD8944E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 xml:space="preserve">AN2 respectfully asks RAN4 to take below RAN2 assumption into account and </w:t>
      </w:r>
      <w:commentRangeStart w:id="16"/>
      <w:r w:rsidRPr="002364E2">
        <w:rPr>
          <w:b/>
          <w:bCs/>
          <w:lang w:eastAsia="ja-JP"/>
        </w:rPr>
        <w:t xml:space="preserve">and </w:t>
      </w:r>
      <w:commentRangeEnd w:id="16"/>
      <w:r w:rsidR="00432B73">
        <w:rPr>
          <w:rStyle w:val="a9"/>
          <w:rFonts w:ascii="Arial" w:hAnsi="Arial"/>
        </w:rPr>
        <w:commentReference w:id="16"/>
      </w:r>
      <w:r w:rsidRPr="002364E2">
        <w:rPr>
          <w:b/>
          <w:bCs/>
          <w:lang w:eastAsia="ja-JP"/>
        </w:rPr>
        <w:t>asks for feedback if there is any issue</w:t>
      </w:r>
      <w:r>
        <w:rPr>
          <w:b/>
          <w:bCs/>
          <w:lang w:eastAsia="ja-JP"/>
        </w:rPr>
        <w:t>:</w:t>
      </w:r>
    </w:p>
    <w:p w14:paraId="678724E7" w14:textId="6B489FC4" w:rsidR="002364E2" w:rsidRDefault="002364E2" w:rsidP="00B6101D">
      <w:pPr>
        <w:rPr>
          <w:b/>
          <w:bCs/>
          <w:lang w:eastAsia="ja-JP"/>
        </w:rPr>
      </w:pPr>
      <w:r w:rsidRPr="002364E2">
        <w:rPr>
          <w:b/>
          <w:bCs/>
          <w:lang w:eastAsia="ja-JP"/>
        </w:rPr>
        <w:t>RAN2 assume for the band pair supporting 2Tx-2Tx switching, the UE always support 1Tx-2Tx switching.</w:t>
      </w:r>
    </w:p>
    <w:p w14:paraId="6B5D7D7B" w14:textId="77777777" w:rsidR="002364E2" w:rsidRDefault="005F2D2F" w:rsidP="00B6101D">
      <w:pPr>
        <w:rPr>
          <w:b/>
          <w:bCs/>
          <w:lang w:eastAsia="ja-JP"/>
        </w:rPr>
      </w:pPr>
      <w:commentRangeStart w:id="17"/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3. </w:t>
      </w:r>
      <w:r w:rsidR="002364E2">
        <w:rPr>
          <w:b/>
          <w:bCs/>
          <w:lang w:eastAsia="ja-JP"/>
        </w:rPr>
        <w:t>(To RAN4)</w:t>
      </w:r>
    </w:p>
    <w:p w14:paraId="0F47B2D7" w14:textId="16C70026" w:rsidR="005F2D2F" w:rsidRPr="005F2D2F" w:rsidRDefault="005F2D2F" w:rsidP="00B6101D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>RAN2 respectfully asks RAN4 to feedback if there is any issue:</w:t>
      </w:r>
      <w:commentRangeEnd w:id="17"/>
      <w:r w:rsidR="00AA3492">
        <w:rPr>
          <w:rStyle w:val="a9"/>
          <w:rFonts w:ascii="Arial" w:hAnsi="Arial"/>
        </w:rPr>
        <w:commentReference w:id="17"/>
      </w:r>
    </w:p>
    <w:p w14:paraId="2D36F448" w14:textId="4496E8DA" w:rsidR="005F2D2F" w:rsidRPr="005F2D2F" w:rsidRDefault="005F2D2F" w:rsidP="005F2D2F">
      <w:pPr>
        <w:rPr>
          <w:b/>
          <w:bCs/>
          <w:lang w:val="en-US" w:eastAsia="ja-JP"/>
        </w:rPr>
      </w:pPr>
      <w:r w:rsidRPr="005F2D2F">
        <w:rPr>
          <w:b/>
          <w:bCs/>
          <w:lang w:val="en-US" w:eastAsia="ja-JP"/>
        </w:rPr>
        <w:t>The UE reports whether it supports 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>-2T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等线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2B6EDBB3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4.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D8BB6CB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</w:t>
      </w:r>
      <w:commentRangeStart w:id="18"/>
      <w:r w:rsidRPr="00FD7921">
        <w:rPr>
          <w:b/>
          <w:bCs/>
          <w:lang w:eastAsia="ja-JP"/>
        </w:rPr>
        <w:t>,</w:t>
      </w:r>
      <w:commentRangeEnd w:id="18"/>
      <w:r w:rsidR="00AA3492">
        <w:rPr>
          <w:rStyle w:val="a9"/>
          <w:rFonts w:ascii="Arial" w:hAnsi="Arial"/>
        </w:rPr>
        <w:commentReference w:id="18"/>
      </w:r>
      <w:r w:rsidRPr="00FD7921">
        <w:rPr>
          <w:b/>
          <w:bCs/>
          <w:lang w:eastAsia="ja-JP"/>
        </w:rPr>
        <w:t xml:space="preserve">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</w:t>
      </w:r>
      <w:commentRangeStart w:id="19"/>
      <w:commentRangeStart w:id="20"/>
      <w:commentRangeStart w:id="21"/>
      <w:r w:rsidR="00D53CF5">
        <w:rPr>
          <w:b/>
          <w:bCs/>
          <w:lang w:eastAsia="ja-JP"/>
        </w:rPr>
        <w:t>(e.g. 2P+0P&lt;=&gt;0P+2P)</w:t>
      </w:r>
      <w:commentRangeEnd w:id="19"/>
      <w:r w:rsidR="00C44158">
        <w:rPr>
          <w:rStyle w:val="a9"/>
          <w:rFonts w:ascii="Arial" w:hAnsi="Arial"/>
        </w:rPr>
        <w:commentReference w:id="19"/>
      </w:r>
      <w:commentRangeEnd w:id="20"/>
      <w:r w:rsidR="00AA3492">
        <w:rPr>
          <w:rStyle w:val="a9"/>
          <w:rFonts w:ascii="Arial" w:hAnsi="Arial"/>
        </w:rPr>
        <w:commentReference w:id="20"/>
      </w:r>
      <w:commentRangeEnd w:id="21"/>
      <w:r w:rsidR="00DB11B6">
        <w:rPr>
          <w:rStyle w:val="a9"/>
          <w:rFonts w:ascii="Arial" w:hAnsi="Arial"/>
        </w:rPr>
        <w:commentReference w:id="21"/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commentRangeStart w:id="22"/>
      <w:r w:rsidR="00D53CF5">
        <w:rPr>
          <w:b/>
          <w:bCs/>
          <w:lang w:eastAsia="ja-JP"/>
        </w:rPr>
        <w:t>-</w:t>
      </w:r>
      <w:commentRangeEnd w:id="22"/>
      <w:r w:rsidR="00AA3492">
        <w:rPr>
          <w:rStyle w:val="a9"/>
          <w:rFonts w:ascii="Arial" w:hAnsi="Arial"/>
        </w:rPr>
        <w:commentReference w:id="22"/>
      </w:r>
      <w:r w:rsidRPr="00FD7921">
        <w:rPr>
          <w:b/>
          <w:bCs/>
          <w:lang w:eastAsia="ja-JP"/>
        </w:rPr>
        <w:t xml:space="preserve">. </w:t>
      </w:r>
    </w:p>
    <w:p w14:paraId="5B0C15E9" w14:textId="32C51091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Option 2: Based on explicit RRC configuration, i.e., gNB configures which period is applied </w:t>
      </w:r>
      <w:commentRangeStart w:id="23"/>
      <w:commentRangeStart w:id="24"/>
      <w:commentRangeStart w:id="25"/>
      <w:r w:rsidRPr="00FD7921">
        <w:rPr>
          <w:b/>
          <w:bCs/>
          <w:lang w:eastAsia="ja-JP"/>
        </w:rPr>
        <w:t>per band pair</w:t>
      </w:r>
      <w:commentRangeEnd w:id="23"/>
      <w:r w:rsidR="00E6393F">
        <w:rPr>
          <w:rStyle w:val="a9"/>
          <w:rFonts w:ascii="Arial" w:hAnsi="Arial"/>
        </w:rPr>
        <w:commentReference w:id="23"/>
      </w:r>
      <w:commentRangeEnd w:id="24"/>
      <w:r w:rsidR="00AA3492">
        <w:rPr>
          <w:rStyle w:val="a9"/>
          <w:rFonts w:ascii="Arial" w:hAnsi="Arial"/>
        </w:rPr>
        <w:commentReference w:id="24"/>
      </w:r>
      <w:commentRangeEnd w:id="25"/>
      <w:r w:rsidR="00DB11B6">
        <w:rPr>
          <w:rStyle w:val="a9"/>
          <w:rFonts w:ascii="Arial" w:hAnsi="Arial"/>
        </w:rPr>
        <w:commentReference w:id="25"/>
      </w:r>
      <w:r w:rsidRPr="00FD7921">
        <w:rPr>
          <w:b/>
          <w:bCs/>
          <w:lang w:eastAsia="ja-JP"/>
        </w:rPr>
        <w:t>.</w:t>
      </w:r>
    </w:p>
    <w:p w14:paraId="631F2869" w14:textId="765AA66E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>
        <w:rPr>
          <w:b/>
          <w:bCs/>
          <w:lang w:eastAsia="ja-JP"/>
        </w:rPr>
        <w:t>5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26" w:name="OLE_LINK55"/>
      <w:bookmarkStart w:id="27" w:name="OLE_LINK56"/>
      <w:bookmarkStart w:id="28" w:name="OLE_LINK53"/>
      <w:bookmarkStart w:id="29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26"/>
      <w:bookmarkEnd w:id="27"/>
      <w:r>
        <w:t>KR</w:t>
      </w:r>
    </w:p>
    <w:p w14:paraId="3064D82D" w14:textId="523BD34B" w:rsidR="002F1940" w:rsidRPr="002F1940" w:rsidRDefault="00A94D31" w:rsidP="002F1940">
      <w:r>
        <w:lastRenderedPageBreak/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28"/>
    <w:bookmarkEnd w:id="29"/>
    <w:p w14:paraId="27C61309" w14:textId="77777777" w:rsidR="002F1940" w:rsidRPr="002F1940" w:rsidRDefault="002F1940" w:rsidP="002F1940"/>
    <w:sectPr w:rsidR="002F1940" w:rsidRPr="002F1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Huawei, HiSilicon" w:date="2023-04-28T09:36:00Z" w:initials="HW">
    <w:p w14:paraId="33574917" w14:textId="259610C9" w:rsidR="00432B73" w:rsidRDefault="00432B73">
      <w:pPr>
        <w:pStyle w:val="a5"/>
      </w:pPr>
      <w:r>
        <w:rPr>
          <w:rStyle w:val="a9"/>
        </w:rPr>
        <w:annotationRef/>
      </w:r>
      <w:r>
        <w:t>Can be removed because RAN4 already concluded different value can be reported in R4#106 meeting.</w:t>
      </w:r>
    </w:p>
  </w:comment>
  <w:comment w:id="12" w:author="Huawei, HiSilicon" w:date="2023-04-28T09:41:00Z" w:initials="HW">
    <w:p w14:paraId="4264F6E6" w14:textId="6F019624" w:rsidR="00432B73" w:rsidRDefault="00432B73">
      <w:pPr>
        <w:pStyle w:val="a5"/>
      </w:pPr>
      <w:r>
        <w:rPr>
          <w:rStyle w:val="a9"/>
        </w:rPr>
        <w:annotationRef/>
      </w:r>
      <w:r>
        <w:t xml:space="preserve">In RAN1 discussion, they use “port” more often, to avoid misunderstanding better to add this term as well. Considering this is not controversial, thus I took the </w:t>
      </w:r>
      <w:bookmarkStart w:id="14" w:name="_GoBack"/>
      <w:r>
        <w:t>liberty</w:t>
      </w:r>
      <w:bookmarkEnd w:id="14"/>
      <w:r>
        <w:t xml:space="preserve"> to add, hope it is fine.</w:t>
      </w:r>
    </w:p>
  </w:comment>
  <w:comment w:id="16" w:author="Huawei, HiSilicon" w:date="2023-04-28T09:39:00Z" w:initials="HW">
    <w:p w14:paraId="090EAF29" w14:textId="157847BE" w:rsidR="00432B73" w:rsidRDefault="00432B73">
      <w:pPr>
        <w:pStyle w:val="a5"/>
      </w:pPr>
      <w:r>
        <w:rPr>
          <w:rStyle w:val="a9"/>
        </w:rPr>
        <w:annotationRef/>
      </w:r>
      <w:r>
        <w:t>Duplicated, so can be removed.</w:t>
      </w:r>
    </w:p>
  </w:comment>
  <w:comment w:id="17" w:author="ZTE-LiuJing" w:date="2023-04-28T08:57:00Z" w:initials="ZTE">
    <w:p w14:paraId="5199949F" w14:textId="0BCA2184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/>
          <w:lang w:eastAsia="zh-CN"/>
        </w:rPr>
        <w:t>Maybe this can be removed? so we can combine Q2 and Q3?</w:t>
      </w:r>
    </w:p>
  </w:comment>
  <w:comment w:id="18" w:author="ZTE-LiuJing" w:date="2023-04-28T08:55:00Z" w:initials="ZTE">
    <w:p w14:paraId="60E0AA6B" w14:textId="06F49960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“,”</w:t>
      </w:r>
    </w:p>
  </w:comment>
  <w:comment w:id="19" w:author="OPPO (Qianxi Lu)" w:date="2023-04-28T08:35:00Z" w:initials="QX">
    <w:p w14:paraId="6E668BE3" w14:textId="77777777" w:rsidR="00C44158" w:rsidRDefault="00C44158">
      <w:pPr>
        <w:pStyle w:val="a5"/>
        <w:jc w:val="left"/>
      </w:pPr>
      <w:r>
        <w:rPr>
          <w:rStyle w:val="a9"/>
        </w:rPr>
        <w:annotationRef/>
      </w:r>
      <w:r>
        <w:t xml:space="preserve">Same view as MTK and Huawei that 2p+0p =&gt; 1p+1p should be covered as well. </w:t>
      </w:r>
    </w:p>
    <w:p w14:paraId="6F1178E0" w14:textId="77777777" w:rsidR="00C44158" w:rsidRDefault="00C44158">
      <w:pPr>
        <w:pStyle w:val="a5"/>
        <w:jc w:val="left"/>
      </w:pPr>
    </w:p>
    <w:p w14:paraId="0C571B7F" w14:textId="77777777" w:rsidR="00C44158" w:rsidRDefault="00C44158">
      <w:pPr>
        <w:pStyle w:val="a5"/>
        <w:jc w:val="left"/>
      </w:pPr>
      <w:r>
        <w:t xml:space="preserve">How about </w:t>
      </w:r>
    </w:p>
    <w:p w14:paraId="04C67CD4" w14:textId="77777777" w:rsidR="00C44158" w:rsidRDefault="00C44158">
      <w:pPr>
        <w:pStyle w:val="a5"/>
        <w:jc w:val="left"/>
      </w:pPr>
    </w:p>
    <w:p w14:paraId="3805EDE1" w14:textId="77777777" w:rsidR="00C44158" w:rsidRDefault="00C44158" w:rsidP="00BA18BB">
      <w:pPr>
        <w:pStyle w:val="a5"/>
        <w:jc w:val="left"/>
      </w:pPr>
      <w:r>
        <w:t xml:space="preserve">2Tx-2Tx switching period is only applicable when performing UL switching </w:t>
      </w:r>
      <w:r>
        <w:rPr>
          <w:b/>
          <w:bCs/>
        </w:rPr>
        <w:t xml:space="preserve">of both Tx chains </w:t>
      </w:r>
      <w:r>
        <w:t>between two bands (</w:t>
      </w:r>
      <w:r>
        <w:rPr>
          <w:b/>
          <w:bCs/>
        </w:rPr>
        <w:t>i.e.</w:t>
      </w:r>
      <w:r>
        <w:t xml:space="preserve"> 2P+0P&lt;=&gt;0P+2P) and 1Tx-2Tx period is applied for the other switching cases (e.g. </w:t>
      </w:r>
      <w:r>
        <w:rPr>
          <w:b/>
          <w:bCs/>
        </w:rPr>
        <w:t xml:space="preserve">UL switching of a single Tx chain between two bands, i.e., 2P+0P&lt;=&gt;1P+1P, and </w:t>
      </w:r>
      <w:r>
        <w:t>UL Tx switching that involves 3 or 4 bands, such as band A + band B&lt;=&gt;band C, band A+ band B &lt;=&gt;band C + band D)</w:t>
      </w:r>
    </w:p>
  </w:comment>
  <w:comment w:id="20" w:author="ZTE-LiuJing" w:date="2023-04-28T08:53:00Z" w:initials="ZTE">
    <w:p w14:paraId="72F7E2F1" w14:textId="048D0B34" w:rsidR="00AA3492" w:rsidRDefault="00AA3492">
      <w:pPr>
        <w:pStyle w:val="a5"/>
      </w:pPr>
      <w:r>
        <w:rPr>
          <w:rStyle w:val="a9"/>
        </w:rPr>
        <w:annotationRef/>
      </w:r>
      <w:r>
        <w:t>Agree, this looks more complete.</w:t>
      </w:r>
    </w:p>
  </w:comment>
  <w:comment w:id="21" w:author="Huawei, HiSilicon" w:date="2023-04-28T09:23:00Z" w:initials="HW">
    <w:p w14:paraId="10E5B154" w14:textId="77777777" w:rsidR="00DB11B6" w:rsidRDefault="00DB11B6" w:rsidP="00DB11B6">
      <w:pPr>
        <w:pStyle w:val="a5"/>
      </w:pPr>
      <w:r>
        <w:rPr>
          <w:rStyle w:val="a9"/>
        </w:rPr>
        <w:annotationRef/>
      </w:r>
      <w:r>
        <w:t>We have a slightly different opinion. 2P+0P&lt;=&gt;1P+1P could also apply 2Tx-2Tx switching period, to align with Rel-17 operation where the UE apples R17 switching period for all switching cases regardless 1Tx/2Tx is switched for each switching to simply UE/NW implementation. So can we put FFS on this subcase, like:</w:t>
      </w:r>
    </w:p>
    <w:p w14:paraId="56D0A9A6" w14:textId="77777777" w:rsidR="00DB11B6" w:rsidRDefault="00DB11B6" w:rsidP="00DB11B6">
      <w:pPr>
        <w:pStyle w:val="a5"/>
      </w:pPr>
    </w:p>
    <w:p w14:paraId="05A92033" w14:textId="1E091FBF" w:rsidR="00DB11B6" w:rsidRDefault="00DB11B6" w:rsidP="00DB11B6">
      <w:pPr>
        <w:pStyle w:val="a5"/>
      </w:pPr>
      <w:r>
        <w:t xml:space="preserve">2Tx-2Tx switching period is only applicable when performing UL </w:t>
      </w:r>
      <w:r w:rsidRPr="00A05445">
        <w:t>switching between two bands (</w:t>
      </w:r>
      <w:r w:rsidRPr="00A05445">
        <w:rPr>
          <w:bCs/>
        </w:rPr>
        <w:t>i.e.</w:t>
      </w:r>
      <w:r w:rsidRPr="00A05445">
        <w:t xml:space="preserve"> 2P+0P&lt;=&gt;0P+2P,) and 1Tx-2Tx</w:t>
      </w:r>
      <w:r>
        <w:t xml:space="preserve"> period is applied for the other switching cases (e.g. UL Tx switching that involves 3 or 4 bands, such as band A + band B&lt;=&gt;band C, band A+ band B &lt;=&gt;band C + band D). </w:t>
      </w:r>
      <w:r w:rsidRPr="00A05445">
        <w:rPr>
          <w:b/>
        </w:rPr>
        <w:t>FFS on the case of</w:t>
      </w:r>
      <w:r>
        <w:t xml:space="preserve"> </w:t>
      </w:r>
      <w:r>
        <w:rPr>
          <w:b/>
          <w:bCs/>
        </w:rPr>
        <w:t>2P+0P&lt;=&gt;1P+1P.</w:t>
      </w:r>
    </w:p>
  </w:comment>
  <w:comment w:id="22" w:author="ZTE-LiuJing" w:date="2023-04-28T08:55:00Z" w:initials="ZTE">
    <w:p w14:paraId="70ACB4A4" w14:textId="06303115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an remove “-”</w:t>
      </w:r>
    </w:p>
  </w:comment>
  <w:comment w:id="23" w:author="OPPO (Qianxi Lu)" w:date="2023-04-28T08:36:00Z" w:initials="QX">
    <w:p w14:paraId="76233BFC" w14:textId="77777777" w:rsidR="00E6393F" w:rsidRDefault="00E6393F" w:rsidP="00994150">
      <w:pPr>
        <w:pStyle w:val="a5"/>
        <w:jc w:val="left"/>
      </w:pPr>
      <w:r>
        <w:rPr>
          <w:rStyle w:val="a9"/>
        </w:rPr>
        <w:annotationRef/>
      </w:r>
      <w:r>
        <w:rPr>
          <w:lang w:val="en-US"/>
        </w:rPr>
        <w:t xml:space="preserve">Same view as ZTE and Huawei this part is a bit unstable at the current stage, maybe we can just remove the </w:t>
      </w:r>
      <w:r>
        <w:rPr>
          <w:b/>
          <w:bCs/>
          <w:strike/>
          <w:lang w:val="en-US"/>
        </w:rPr>
        <w:t>per band pair</w:t>
      </w:r>
    </w:p>
  </w:comment>
  <w:comment w:id="24" w:author="ZTE-LiuJing" w:date="2023-04-28T08:54:00Z" w:initials="ZTE">
    <w:p w14:paraId="32A47E69" w14:textId="1FECF787" w:rsidR="00AA3492" w:rsidRPr="00AA3492" w:rsidRDefault="00AA3492">
      <w:pPr>
        <w:pStyle w:val="a5"/>
        <w:rPr>
          <w:rFonts w:eastAsia="等线"/>
          <w:lang w:eastAsia="zh-CN"/>
        </w:rPr>
      </w:pPr>
      <w:r>
        <w:rPr>
          <w:rStyle w:val="a9"/>
        </w:rPr>
        <w:annotationRef/>
      </w: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gree, if needed, we can also add “FFS on the granularity of the configuration.”</w:t>
      </w:r>
    </w:p>
  </w:comment>
  <w:comment w:id="25" w:author="Huawei, HiSilicon" w:date="2023-04-28T09:24:00Z" w:initials="HW">
    <w:p w14:paraId="0E9140F3" w14:textId="12530ACD" w:rsidR="00DB11B6" w:rsidRDefault="00DB11B6">
      <w:pPr>
        <w:pStyle w:val="a5"/>
      </w:pPr>
      <w:r>
        <w:rPr>
          <w:rStyle w:val="a9"/>
        </w:rPr>
        <w:annotationRef/>
      </w:r>
      <w:r>
        <w:t>OPPO’s suggestion looks good to us. Ok with the FFS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74917" w15:done="0"/>
  <w15:commentEx w15:paraId="4264F6E6" w15:done="0"/>
  <w15:commentEx w15:paraId="090EAF29" w15:done="0"/>
  <w15:commentEx w15:paraId="5199949F" w15:done="0"/>
  <w15:commentEx w15:paraId="60E0AA6B" w15:done="0"/>
  <w15:commentEx w15:paraId="3805EDE1" w15:done="0"/>
  <w15:commentEx w15:paraId="72F7E2F1" w15:paraIdParent="3805EDE1" w15:done="0"/>
  <w15:commentEx w15:paraId="05A92033" w15:paraIdParent="3805EDE1" w15:done="0"/>
  <w15:commentEx w15:paraId="70ACB4A4" w15:done="0"/>
  <w15:commentEx w15:paraId="76233BFC" w15:done="0"/>
  <w15:commentEx w15:paraId="32A47E69" w15:paraIdParent="76233BFC" w15:done="0"/>
  <w15:commentEx w15:paraId="0E9140F3" w15:paraIdParent="76233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03BF" w16cex:dateUtc="2023-04-28T00:35:00Z"/>
  <w16cex:commentExtensible w16cex:durableId="27F603FE" w16cex:dateUtc="2023-04-28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9949F" w16cid:durableId="27F6090B"/>
  <w16cid:commentId w16cid:paraId="60E0AA6B" w16cid:durableId="27F6087C"/>
  <w16cid:commentId w16cid:paraId="3805EDE1" w16cid:durableId="27F603BF"/>
  <w16cid:commentId w16cid:paraId="72F7E2F1" w16cid:durableId="27F60812"/>
  <w16cid:commentId w16cid:paraId="70ACB4A4" w16cid:durableId="27F60892"/>
  <w16cid:commentId w16cid:paraId="76233BFC" w16cid:durableId="27F603FE"/>
  <w16cid:commentId w16cid:paraId="32A47E69" w16cid:durableId="27F608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91420" w14:textId="77777777" w:rsidR="002D3E09" w:rsidRDefault="002D3E09">
      <w:pPr>
        <w:spacing w:after="0"/>
      </w:pPr>
      <w:r>
        <w:separator/>
      </w:r>
    </w:p>
  </w:endnote>
  <w:endnote w:type="continuationSeparator" w:id="0">
    <w:p w14:paraId="6E8CAF64" w14:textId="77777777" w:rsidR="002D3E09" w:rsidRDefault="002D3E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D320" w14:textId="77777777" w:rsidR="00AA3492" w:rsidRDefault="00AA34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8212" w14:textId="77777777" w:rsidR="00AA3492" w:rsidRDefault="00AA34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A26B8" w14:textId="77777777" w:rsidR="00AA3492" w:rsidRDefault="00AA34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84CEC" w14:textId="77777777" w:rsidR="002D3E09" w:rsidRDefault="002D3E09">
      <w:pPr>
        <w:spacing w:after="0"/>
      </w:pPr>
      <w:r>
        <w:separator/>
      </w:r>
    </w:p>
  </w:footnote>
  <w:footnote w:type="continuationSeparator" w:id="0">
    <w:p w14:paraId="63B9A85E" w14:textId="77777777" w:rsidR="002D3E09" w:rsidRDefault="002D3E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78FC" w14:textId="77777777" w:rsidR="00AA3492" w:rsidRDefault="00AA34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AE87" w14:textId="77777777" w:rsidR="00AA3492" w:rsidRDefault="00AA34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110" w14:textId="77777777" w:rsidR="00AA3492" w:rsidRDefault="00AA34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ZTE-LiuJing">
    <w15:presenceInfo w15:providerId="None" w15:userId="ZTE-LiuJing"/>
  </w15:person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324E3"/>
    <w:rsid w:val="0004032C"/>
    <w:rsid w:val="0007262D"/>
    <w:rsid w:val="000E2ED3"/>
    <w:rsid w:val="000F6242"/>
    <w:rsid w:val="00106E52"/>
    <w:rsid w:val="00111247"/>
    <w:rsid w:val="001240C6"/>
    <w:rsid w:val="001251F7"/>
    <w:rsid w:val="001A7277"/>
    <w:rsid w:val="001C08B0"/>
    <w:rsid w:val="002073A8"/>
    <w:rsid w:val="00211502"/>
    <w:rsid w:val="002364E2"/>
    <w:rsid w:val="002D3E09"/>
    <w:rsid w:val="002E79DA"/>
    <w:rsid w:val="002F1940"/>
    <w:rsid w:val="00376D42"/>
    <w:rsid w:val="00383545"/>
    <w:rsid w:val="003B2528"/>
    <w:rsid w:val="003D29A3"/>
    <w:rsid w:val="003F4979"/>
    <w:rsid w:val="00432B73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557D4"/>
    <w:rsid w:val="007871EC"/>
    <w:rsid w:val="007F4F92"/>
    <w:rsid w:val="0081793E"/>
    <w:rsid w:val="00820C2D"/>
    <w:rsid w:val="00835A83"/>
    <w:rsid w:val="008A323B"/>
    <w:rsid w:val="008B4F49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3492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DB11B6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37807"/>
    <w:rsid w:val="00F67E1D"/>
    <w:rsid w:val="00F70809"/>
    <w:rsid w:val="00FB2C9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2">
    <w:name w:val="Revision"/>
    <w:hidden/>
    <w:uiPriority w:val="99"/>
    <w:semiHidden/>
    <w:rsid w:val="00FB2C9D"/>
    <w:rPr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FB2C9D"/>
    <w:rPr>
      <w:rFonts w:ascii="Arial" w:hAnsi="Arial"/>
      <w:lang w:val="en-GB" w:eastAsia="en-GB"/>
    </w:rPr>
  </w:style>
  <w:style w:type="character" w:customStyle="1" w:styleId="Char3">
    <w:name w:val="批注主题 Char"/>
    <w:basedOn w:val="Char0"/>
    <w:link w:val="af3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4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24A3-FB01-4CCB-A471-80216455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Huawei, HiSilicon</cp:lastModifiedBy>
  <cp:revision>3</cp:revision>
  <cp:lastPrinted>2002-04-23T07:10:00Z</cp:lastPrinted>
  <dcterms:created xsi:type="dcterms:W3CDTF">2023-04-28T01:33:00Z</dcterms:created>
  <dcterms:modified xsi:type="dcterms:W3CDTF">2023-04-28T01:43:00Z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