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Header"/>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CommentReference"/>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Heading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TableGrid"/>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SimSun" w:hAnsi="Arial" w:cs="Arial"/>
                <w:b/>
                <w:bCs/>
                <w:iCs/>
                <w:lang w:val="en-US" w:eastAsia="zh-CN"/>
              </w:rPr>
            </w:pPr>
            <w:r w:rsidRPr="00E61D86">
              <w:rPr>
                <w:rFonts w:ascii="Arial" w:eastAsia="SimSun"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SimSun" w:hAnsi="Arial" w:cs="Arial"/>
                <w:bCs/>
                <w:iCs/>
                <w:lang w:val="en-US" w:eastAsia="zh-CN"/>
              </w:rPr>
            </w:pPr>
            <w:r w:rsidRPr="00C04DB3">
              <w:rPr>
                <w:rFonts w:ascii="Arial" w:eastAsia="SimSun"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SimSun"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SimSun"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SimSun" w:hAnsi="Arial" w:cs="Arial" w:hint="eastAsia"/>
                <w:bCs/>
                <w:iCs/>
                <w:lang w:val="en-US" w:eastAsia="zh-CN"/>
              </w:rPr>
              <w:t>,</w:t>
            </w:r>
            <w:r w:rsidRPr="00811989">
              <w:rPr>
                <w:rFonts w:ascii="Arial" w:hAnsi="Arial" w:cs="Arial"/>
                <w:bCs/>
                <w:iCs/>
                <w:lang w:val="en-US"/>
              </w:rPr>
              <w:t xml:space="preserve"> </w:t>
            </w:r>
            <w:r w:rsidRPr="00811989">
              <w:rPr>
                <w:rFonts w:ascii="Arial" w:eastAsia="SimSun"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SimSun"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SimSun"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For each band pair, the </w:t>
            </w:r>
            <w:r w:rsidRPr="00811989">
              <w:rPr>
                <w:rFonts w:ascii="Arial" w:eastAsia="SimSun" w:hAnsi="Arial" w:cs="Arial"/>
                <w:bCs/>
                <w:iCs/>
                <w:lang w:val="en-US" w:eastAsia="zh-CN"/>
              </w:rPr>
              <w:t xml:space="preserve">switching </w:t>
            </w:r>
            <w:r w:rsidRPr="00811989">
              <w:rPr>
                <w:rFonts w:ascii="Arial" w:eastAsia="SimSun" w:hAnsi="Arial" w:cs="Arial" w:hint="eastAsia"/>
                <w:bCs/>
                <w:iCs/>
                <w:lang w:val="en-US" w:eastAsia="zh-CN"/>
              </w:rPr>
              <w:t>period</w:t>
            </w:r>
            <w:r w:rsidRPr="00811989">
              <w:rPr>
                <w:rFonts w:ascii="Arial" w:eastAsia="SimSun" w:hAnsi="Arial" w:cs="Arial"/>
                <w:bCs/>
                <w:iCs/>
                <w:lang w:val="en-US" w:eastAsia="zh-CN"/>
              </w:rPr>
              <w:t xml:space="preserve"> can be the same or different </w:t>
            </w:r>
            <w:r w:rsidRPr="00811989">
              <w:rPr>
                <w:rFonts w:ascii="Arial" w:eastAsia="SimSun" w:hAnsi="Arial" w:cs="Arial" w:hint="eastAsia"/>
                <w:bCs/>
                <w:iCs/>
                <w:lang w:val="en-US" w:eastAsia="zh-CN"/>
              </w:rPr>
              <w:t xml:space="preserve">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Note: For UE reporting different periods 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for a band pair, similar to Rel-17, it is RAN4 understanding that the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period is applied when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bCs/>
                <w:iCs/>
                <w:lang w:val="en-US" w:eastAsia="zh-CN"/>
              </w:rPr>
              <w:t xml:space="preserve">For the same band pair, </w:t>
            </w:r>
            <w:r w:rsidRPr="00811989">
              <w:rPr>
                <w:rFonts w:ascii="Arial" w:eastAsia="SimSun" w:hAnsi="Arial" w:cs="Arial" w:hint="eastAsia"/>
                <w:bCs/>
                <w:iCs/>
                <w:lang w:val="en-US" w:eastAsia="zh-CN"/>
              </w:rPr>
              <w:t>RAN4 has not concluded on whether the same or a d</w:t>
            </w:r>
            <w:r w:rsidRPr="00811989">
              <w:rPr>
                <w:rFonts w:ascii="Arial" w:eastAsia="SimSun" w:hAnsi="Arial" w:cs="Arial"/>
                <w:bCs/>
                <w:iCs/>
                <w:lang w:val="en-US" w:eastAsia="zh-CN"/>
              </w:rPr>
              <w:t>ifferent</w:t>
            </w:r>
            <w:r w:rsidRPr="00811989">
              <w:rPr>
                <w:rFonts w:ascii="Arial" w:eastAsia="SimSun" w:hAnsi="Arial" w:cs="Arial" w:hint="eastAsia"/>
                <w:bCs/>
                <w:iCs/>
                <w:lang w:val="en-US" w:eastAsia="zh-CN"/>
              </w:rPr>
              <w:t xml:space="preserve"> value can be reported for </w:t>
            </w:r>
            <w:r w:rsidRPr="00811989">
              <w:rPr>
                <w:rFonts w:ascii="Arial" w:eastAsia="SimSun" w:hAnsi="Arial" w:cs="Arial"/>
                <w:bCs/>
                <w:iCs/>
                <w:lang w:val="en-US" w:eastAsia="zh-CN"/>
              </w:rPr>
              <w:t xml:space="preserve">the specific </w:t>
            </w:r>
            <w:r w:rsidRPr="00811989">
              <w:rPr>
                <w:rFonts w:ascii="Arial" w:eastAsia="SimSun" w:hAnsi="Arial" w:cs="Arial" w:hint="eastAsia"/>
                <w:bCs/>
                <w:iCs/>
                <w:lang w:val="en-US" w:eastAsia="zh-CN"/>
              </w:rPr>
              <w:t xml:space="preserve">band pair </w:t>
            </w:r>
            <w:r w:rsidRPr="00811989">
              <w:rPr>
                <w:rFonts w:ascii="Arial" w:eastAsia="SimSun" w:hAnsi="Arial" w:cs="Arial"/>
                <w:bCs/>
                <w:iCs/>
                <w:lang w:val="en-US" w:eastAsia="zh-CN"/>
              </w:rPr>
              <w:t>supporting Tx switching across 3 or 4 bands in Rel-18</w:t>
            </w:r>
            <w:r w:rsidRPr="00811989">
              <w:rPr>
                <w:rFonts w:ascii="Arial" w:eastAsia="SimSun" w:hAnsi="Arial" w:cs="Arial" w:hint="eastAsia"/>
                <w:bCs/>
                <w:iCs/>
                <w:lang w:val="en-US" w:eastAsia="zh-CN"/>
              </w:rPr>
              <w:t xml:space="preserve"> compared to </w:t>
            </w:r>
            <w:r w:rsidRPr="00811989">
              <w:rPr>
                <w:rFonts w:ascii="Arial" w:eastAsia="SimSun"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TableGrid"/>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TableGrid"/>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6D03AD">
              <w:rPr>
                <w:rFonts w:ascii="Arial" w:eastAsia="SimSun" w:hAnsi="Arial" w:cs="Arial"/>
                <w:bCs/>
                <w:iCs/>
                <w:lang w:val="en-US" w:eastAsia="zh-CN"/>
              </w:rPr>
              <w:t xml:space="preserve">For Rel-18 UE, for a band pair within a band combination supporting Tx switching among 3/4 bands, </w:t>
            </w:r>
            <w:r w:rsidRPr="00B172A5">
              <w:rPr>
                <w:rFonts w:ascii="Arial" w:eastAsia="SimSun" w:hAnsi="Arial" w:cs="Arial"/>
                <w:bCs/>
                <w:iCs/>
                <w:highlight w:val="yellow"/>
                <w:lang w:val="en-US" w:eastAsia="zh-CN"/>
              </w:rPr>
              <w:t xml:space="preserve">the switching period reported by UE for Rel-18 3/4-band Tx switching </w:t>
            </w:r>
            <w:r w:rsidRPr="00B172A5">
              <w:rPr>
                <w:rFonts w:ascii="Arial" w:eastAsia="SimSun" w:hAnsi="Arial" w:cs="Arial" w:hint="eastAsia"/>
                <w:bCs/>
                <w:iCs/>
                <w:highlight w:val="yellow"/>
                <w:lang w:val="en-US" w:eastAsia="zh-CN"/>
              </w:rPr>
              <w:t xml:space="preserve">can be the same or different from </w:t>
            </w:r>
            <w:r w:rsidRPr="00B172A5">
              <w:rPr>
                <w:rFonts w:ascii="Arial" w:eastAsia="SimSun"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#104e</w:t>
            </w:r>
            <w:r w:rsidRPr="006D03AD">
              <w:rPr>
                <w:rFonts w:ascii="Arial" w:eastAsia="SimSun"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16D4B014" w14:textId="3A0973A5" w:rsidR="00B172A5" w:rsidRDefault="00B172A5" w:rsidP="00B6101D">
      <w:pPr>
        <w:rPr>
          <w:lang w:eastAsia="ja-JP"/>
        </w:rPr>
      </w:pPr>
      <w:r>
        <w:rPr>
          <w:rFonts w:hint="eastAsia"/>
          <w:lang w:eastAsia="ja-JP"/>
        </w:rPr>
        <w:t>H</w:t>
      </w:r>
      <w:r>
        <w:rPr>
          <w:lang w:eastAsia="ja-JP"/>
        </w:rPr>
        <w:t>owever, RAN2 could not conclude whether the UE always report switching periods even when the switching period is the same value as Rel-16/17.</w:t>
      </w:r>
    </w:p>
    <w:p w14:paraId="17A6485A" w14:textId="71B718B2" w:rsidR="00B172A5" w:rsidRPr="00E62698" w:rsidRDefault="00B172A5" w:rsidP="00B6101D">
      <w:pPr>
        <w:rPr>
          <w:b/>
          <w:bCs/>
          <w:lang w:eastAsia="ja-JP"/>
        </w:rPr>
      </w:pPr>
      <w:commentRangeStart w:id="11"/>
      <w:commentRangeStart w:id="12"/>
      <w:r w:rsidRPr="00E62698">
        <w:rPr>
          <w:rFonts w:hint="eastAsia"/>
          <w:b/>
          <w:bCs/>
          <w:lang w:eastAsia="ja-JP"/>
        </w:rPr>
        <w:t>Q</w:t>
      </w:r>
      <w:r w:rsidRPr="00E62698">
        <w:rPr>
          <w:b/>
          <w:bCs/>
          <w:lang w:eastAsia="ja-JP"/>
        </w:rPr>
        <w:t xml:space="preserve">uestion </w:t>
      </w:r>
      <w:r w:rsidR="005F2D2F">
        <w:rPr>
          <w:b/>
          <w:bCs/>
          <w:lang w:eastAsia="ja-JP"/>
        </w:rPr>
        <w:t>2</w:t>
      </w:r>
      <w:commentRangeEnd w:id="11"/>
      <w:r w:rsidR="00FD7921">
        <w:rPr>
          <w:rStyle w:val="CommentReference"/>
          <w:rFonts w:ascii="Arial" w:hAnsi="Arial"/>
        </w:rPr>
        <w:commentReference w:id="11"/>
      </w:r>
      <w:commentRangeEnd w:id="12"/>
      <w:r w:rsidR="00AA7729">
        <w:rPr>
          <w:rStyle w:val="CommentReference"/>
          <w:rFonts w:ascii="Arial" w:hAnsi="Arial"/>
        </w:rPr>
        <w:commentReference w:id="12"/>
      </w:r>
      <w:r w:rsidRPr="00E62698">
        <w:rPr>
          <w:b/>
          <w:bCs/>
          <w:lang w:eastAsia="ja-JP"/>
        </w:rPr>
        <w:t>. RAN2 respectfully asks RAN4 whether the UE needs to:</w:t>
      </w:r>
    </w:p>
    <w:p w14:paraId="6380392A" w14:textId="7FDBACBB" w:rsidR="003B2528" w:rsidRPr="00E62698" w:rsidRDefault="003B2528" w:rsidP="003B2528">
      <w:pPr>
        <w:ind w:left="566" w:hangingChars="283" w:hanging="566"/>
        <w:rPr>
          <w:b/>
          <w:bCs/>
          <w:lang w:eastAsia="ja-JP"/>
        </w:rPr>
      </w:pPr>
      <w:r w:rsidRPr="00E62698">
        <w:rPr>
          <w:b/>
          <w:bCs/>
          <w:lang w:eastAsia="ja-JP"/>
        </w:rPr>
        <w:t>-</w:t>
      </w:r>
      <w:r w:rsidRPr="00E62698">
        <w:rPr>
          <w:b/>
          <w:bCs/>
          <w:lang w:eastAsia="ja-JP"/>
        </w:rPr>
        <w:tab/>
        <w:t>report a length of switching period for 1T-2T switching via Rel-18 signalling even when it is the same value as the switching period being reported via Rel-16 UE capability for the same band pair.</w:t>
      </w:r>
    </w:p>
    <w:p w14:paraId="76C3DACA" w14:textId="7590A649" w:rsidR="003B2528" w:rsidRPr="00E62698" w:rsidRDefault="003B2528" w:rsidP="003B2528">
      <w:pPr>
        <w:ind w:left="566" w:hangingChars="283" w:hanging="566"/>
        <w:rPr>
          <w:b/>
          <w:bCs/>
          <w:lang w:eastAsia="ja-JP"/>
        </w:rPr>
      </w:pPr>
      <w:r w:rsidRPr="00E62698">
        <w:rPr>
          <w:b/>
          <w:bCs/>
          <w:lang w:eastAsia="ja-JP"/>
        </w:rPr>
        <w:t>-</w:t>
      </w:r>
      <w:r w:rsidRPr="00E62698">
        <w:rPr>
          <w:b/>
          <w:bCs/>
          <w:lang w:eastAsia="ja-JP"/>
        </w:rPr>
        <w:tab/>
        <w:t>report a length of switching period for 2T-2T switching via Rel-18 signalling even when it is the same value as the switching period being reported via Rel-17 UE capability for the same band pair.</w:t>
      </w:r>
    </w:p>
    <w:p w14:paraId="23F92E19" w14:textId="5BD13C9E" w:rsidR="00B172A5" w:rsidRDefault="00B172A5" w:rsidP="00B6101D">
      <w:pPr>
        <w:rPr>
          <w:lang w:eastAsia="ja-JP"/>
        </w:rPr>
      </w:pPr>
    </w:p>
    <w:p w14:paraId="050F6EF7" w14:textId="44AC080A"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explicitly report if it supports 2T-2T switching for every band pair used for Rel-18 UL Tx switching.</w:t>
      </w:r>
    </w:p>
    <w:p w14:paraId="0F47B2D7" w14:textId="7CB0D988" w:rsidR="005F2D2F" w:rsidRPr="005F2D2F" w:rsidRDefault="005F2D2F" w:rsidP="00B6101D">
      <w:pPr>
        <w:rPr>
          <w:b/>
          <w:bCs/>
          <w:lang w:eastAsia="ja-JP"/>
        </w:rPr>
      </w:pPr>
      <w:commentRangeStart w:id="13"/>
      <w:commentRangeStart w:id="14"/>
      <w:commentRangeStart w:id="15"/>
      <w:commentRangeStart w:id="16"/>
      <w:r w:rsidRPr="005F2D2F">
        <w:rPr>
          <w:rFonts w:hint="eastAsia"/>
          <w:b/>
          <w:bCs/>
          <w:lang w:eastAsia="ja-JP"/>
        </w:rPr>
        <w:t>Q</w:t>
      </w:r>
      <w:r w:rsidRPr="005F2D2F">
        <w:rPr>
          <w:b/>
          <w:bCs/>
          <w:lang w:eastAsia="ja-JP"/>
        </w:rPr>
        <w:t>uestion 3</w:t>
      </w:r>
      <w:commentRangeEnd w:id="13"/>
      <w:r w:rsidR="00FD7921">
        <w:rPr>
          <w:rStyle w:val="CommentReference"/>
          <w:rFonts w:ascii="Arial" w:hAnsi="Arial"/>
        </w:rPr>
        <w:commentReference w:id="13"/>
      </w:r>
      <w:commentRangeEnd w:id="14"/>
      <w:r w:rsidR="00D77DF0">
        <w:rPr>
          <w:rStyle w:val="CommentReference"/>
          <w:rFonts w:ascii="Arial" w:hAnsi="Arial"/>
        </w:rPr>
        <w:commentReference w:id="14"/>
      </w:r>
      <w:commentRangeEnd w:id="15"/>
      <w:r w:rsidR="00F35C09">
        <w:rPr>
          <w:rStyle w:val="CommentReference"/>
          <w:rFonts w:ascii="Arial" w:hAnsi="Arial"/>
        </w:rPr>
        <w:commentReference w:id="15"/>
      </w:r>
      <w:commentRangeEnd w:id="16"/>
      <w:r w:rsidR="00AA7729">
        <w:rPr>
          <w:rStyle w:val="CommentReference"/>
          <w:rFonts w:ascii="Arial" w:hAnsi="Arial"/>
        </w:rPr>
        <w:commentReference w:id="16"/>
      </w:r>
      <w:r w:rsidRPr="005F2D2F">
        <w:rPr>
          <w:b/>
          <w:bCs/>
          <w:lang w:eastAsia="ja-JP"/>
        </w:rPr>
        <w:t>. RAN2 respectfully asks RAN4 to feedback if there is any issue:</w:t>
      </w:r>
    </w:p>
    <w:p w14:paraId="2D36F448" w14:textId="6FAEDDF3" w:rsidR="005F2D2F" w:rsidRPr="005F2D2F" w:rsidRDefault="005F2D2F" w:rsidP="005F2D2F">
      <w:pPr>
        <w:rPr>
          <w:b/>
          <w:bCs/>
          <w:lang w:val="en-US" w:eastAsia="ja-JP"/>
        </w:rPr>
      </w:pPr>
      <w:r w:rsidRPr="005F2D2F">
        <w:rPr>
          <w:b/>
          <w:bCs/>
          <w:lang w:val="en-US" w:eastAsia="ja-JP"/>
        </w:rPr>
        <w:t>The UE reports whether it supports 2T-2T switching via per-band-pair UE capability.</w:t>
      </w:r>
    </w:p>
    <w:p w14:paraId="0D240384" w14:textId="16BD540F" w:rsidR="00B172A5" w:rsidRDefault="00B172A5" w:rsidP="00B6101D">
      <w:pPr>
        <w:rPr>
          <w:lang w:eastAsia="ja-JP"/>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7"/>
      <w:r w:rsidRPr="00FD7921">
        <w:rPr>
          <w:b/>
          <w:bCs/>
          <w:lang w:eastAsia="ja-JP"/>
        </w:rPr>
        <w:t>Question 4.</w:t>
      </w:r>
      <w:commentRangeEnd w:id="17"/>
      <w:r>
        <w:rPr>
          <w:rStyle w:val="CommentReference"/>
          <w:rFonts w:ascii="Arial" w:hAnsi="Arial"/>
        </w:rPr>
        <w:commentReference w:id="17"/>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Heading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8" w:name="OLE_LINK55"/>
      <w:bookmarkStart w:id="19" w:name="OLE_LINK56"/>
      <w:bookmarkStart w:id="20" w:name="OLE_LINK53"/>
      <w:bookmarkStart w:id="21"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8"/>
      <w:bookmarkEnd w:id="19"/>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20"/>
    <w:bookmarkEnd w:id="21"/>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CommentText"/>
        <w:rPr>
          <w:lang w:eastAsia="ja-JP"/>
        </w:rPr>
      </w:pPr>
      <w:r>
        <w:rPr>
          <w:rStyle w:val="CommentReference"/>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CommentText"/>
        <w:rPr>
          <w:lang w:eastAsia="ja-JP"/>
        </w:rPr>
      </w:pPr>
    </w:p>
    <w:p w14:paraId="554890BF" w14:textId="6ABFB4CA" w:rsidR="000230DB" w:rsidRDefault="000230DB">
      <w:pPr>
        <w:pStyle w:val="CommentText"/>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1" w:author="Riki Okawa (大川 立樹)" w:date="2023-04-26T10:13:00Z" w:initials="RO(立">
    <w:p w14:paraId="7CBF64CB" w14:textId="77777777" w:rsidR="00FD7921" w:rsidRDefault="00FD7921">
      <w:pPr>
        <w:pStyle w:val="CommentText"/>
        <w:rPr>
          <w:lang w:eastAsia="ja-JP"/>
        </w:rPr>
      </w:pPr>
      <w:r>
        <w:rPr>
          <w:rStyle w:val="CommentReference"/>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12" w:author="Ericsson" w:date="2023-04-26T09:51:00Z" w:initials="LA">
    <w:p w14:paraId="6B5D9789" w14:textId="39CB01B6" w:rsidR="00AA7729" w:rsidRDefault="00AA7729">
      <w:pPr>
        <w:pStyle w:val="CommentText"/>
      </w:pPr>
      <w:r>
        <w:rPr>
          <w:rStyle w:val="CommentReference"/>
        </w:rPr>
        <w:annotationRef/>
      </w:r>
      <w:r>
        <w:t xml:space="preserve">In our understanding, the current description for this question is up to RAN2 only, </w:t>
      </w:r>
      <w:proofErr w:type="gramStart"/>
      <w:r>
        <w:t>i.e.</w:t>
      </w:r>
      <w:proofErr w:type="gramEnd"/>
      <w:r>
        <w:t xml:space="preserve"> it would just imply in whether we optimize the </w:t>
      </w:r>
      <w:proofErr w:type="spellStart"/>
      <w:r>
        <w:t>signaling</w:t>
      </w:r>
      <w:proofErr w:type="spellEnd"/>
      <w:r>
        <w:t xml:space="preserve"> or not. We understand the question would be whether both 2T-1T and 2T-2T must be supported together for Rel-18.</w:t>
      </w:r>
    </w:p>
  </w:comment>
  <w:comment w:id="13" w:author="Riki Okawa (大川 立樹)" w:date="2023-04-26T10:14:00Z" w:initials="RO(立">
    <w:p w14:paraId="0EA04F47" w14:textId="3EABB79F" w:rsidR="00FD7921" w:rsidRDefault="00FD7921">
      <w:pPr>
        <w:pStyle w:val="CommentText"/>
        <w:rPr>
          <w:lang w:eastAsia="ja-JP"/>
        </w:rPr>
      </w:pPr>
      <w:r>
        <w:rPr>
          <w:rStyle w:val="CommentReference"/>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14" w:author="OPPO (Qianxi Lu)" w:date="2023-04-26T10:50:00Z" w:initials="QX">
    <w:p w14:paraId="14553984" w14:textId="77777777" w:rsidR="00D77DF0" w:rsidRDefault="00D77DF0">
      <w:pPr>
        <w:pStyle w:val="CommentText"/>
        <w:jc w:val="left"/>
      </w:pPr>
      <w:r>
        <w:rPr>
          <w:rStyle w:val="CommentReference"/>
        </w:rPr>
        <w:annotationRef/>
      </w:r>
      <w:r>
        <w:rPr>
          <w:lang w:val="en-US"/>
        </w:rPr>
        <w:t>Thanks Riki for the quick draft!</w:t>
      </w:r>
    </w:p>
    <w:p w14:paraId="248C42DD" w14:textId="77777777" w:rsidR="00D77DF0" w:rsidRDefault="00D77DF0">
      <w:pPr>
        <w:pStyle w:val="CommentText"/>
        <w:jc w:val="left"/>
      </w:pPr>
      <w:r>
        <w:rPr>
          <w:lang w:val="en-US"/>
        </w:rPr>
        <w:t>For Q3, we are not super clear on the scenario:</w:t>
      </w:r>
    </w:p>
    <w:p w14:paraId="33EDDDD2" w14:textId="77777777" w:rsidR="00D77DF0" w:rsidRDefault="00D77DF0">
      <w:pPr>
        <w:pStyle w:val="CommentText"/>
        <w:jc w:val="left"/>
      </w:pPr>
      <w:r>
        <w:rPr>
          <w:lang w:val="en-US"/>
        </w:rPr>
        <w:t>1/ we understand that the MIMO layer of each band indicate whether the corresponding band support 1T or 2T</w:t>
      </w:r>
    </w:p>
    <w:p w14:paraId="47638A58" w14:textId="77777777" w:rsidR="00D77DF0" w:rsidRDefault="00D77DF0">
      <w:pPr>
        <w:pStyle w:val="CommentText"/>
        <w:jc w:val="left"/>
      </w:pPr>
      <w:r>
        <w:rPr>
          <w:lang w:val="en-US"/>
        </w:rPr>
        <w:t>2/ if 1T is indicated for band-A, the band-A should be able to do 1T2T switch with another band-B indicating 2T</w:t>
      </w:r>
    </w:p>
    <w:p w14:paraId="50BF2FA1" w14:textId="77777777" w:rsidR="00D77DF0" w:rsidRDefault="00D77DF0">
      <w:pPr>
        <w:pStyle w:val="CommentText"/>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CommentText"/>
        <w:jc w:val="left"/>
      </w:pPr>
      <w:r>
        <w:rPr>
          <w:lang w:val="en-US"/>
        </w:rPr>
        <w:t xml:space="preserve">From this perspective, whether there is a reason for UE, on top of mimo layer indication, to report anything additional for the capability of 1T2T / 2T2T switching? </w:t>
      </w:r>
    </w:p>
  </w:comment>
  <w:comment w:id="15" w:author="OPPO (Qianxi Lu)" w:date="2023-04-26T12:01:00Z" w:initials="QX">
    <w:p w14:paraId="1AC7D846" w14:textId="77777777" w:rsidR="00F35C09" w:rsidRDefault="00F35C09">
      <w:pPr>
        <w:pStyle w:val="CommentText"/>
        <w:jc w:val="left"/>
      </w:pPr>
      <w:r>
        <w:rPr>
          <w:rStyle w:val="CommentReference"/>
        </w:rPr>
        <w:annotationRef/>
      </w:r>
      <w:r>
        <w:rPr>
          <w:lang w:val="en-US"/>
        </w:rPr>
        <w:t>After some further offline, seems the intention is to diff between the following two sub-cases in case-3 above (mimo layer = 2)</w:t>
      </w:r>
    </w:p>
    <w:p w14:paraId="7FC0AD53" w14:textId="77777777" w:rsidR="00F35C09" w:rsidRDefault="00F35C09">
      <w:pPr>
        <w:pStyle w:val="CommentText"/>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CommentText"/>
        <w:jc w:val="left"/>
      </w:pPr>
      <w:r>
        <w:rPr>
          <w:lang w:val="en-US"/>
        </w:rPr>
        <w:t>3b/ 2T2T switch (can switch 2 Tx chains at one step) is supported</w:t>
      </w:r>
    </w:p>
    <w:p w14:paraId="60EA0847" w14:textId="77777777" w:rsidR="00F35C09" w:rsidRDefault="00F35C09" w:rsidP="00F216A4">
      <w:pPr>
        <w:pStyle w:val="CommentText"/>
        <w:jc w:val="left"/>
      </w:pPr>
      <w:r>
        <w:rPr>
          <w:lang w:val="en-US"/>
        </w:rPr>
        <w:t>In any case, some clarification on the Q would be helpful (currently the Q seems not quite comprehensive on what is the real question)</w:t>
      </w:r>
    </w:p>
  </w:comment>
  <w:comment w:id="16" w:author="Ericsson" w:date="2023-04-26T09:57:00Z" w:initials="LA">
    <w:p w14:paraId="3C0D63EE" w14:textId="1E684E9B" w:rsidR="00AA7729" w:rsidRDefault="00AA7729">
      <w:pPr>
        <w:pStyle w:val="CommentText"/>
      </w:pPr>
      <w:r>
        <w:rPr>
          <w:rStyle w:val="CommentReference"/>
        </w:rPr>
        <w:annotationRef/>
      </w:r>
      <w:r>
        <w:t xml:space="preserve">We think the case 3) is the one to be clarified as indicated in our comment above as well. </w:t>
      </w:r>
      <w:r>
        <w:t xml:space="preserve">From that perspective, question 2 would not be required as it </w:t>
      </w:r>
      <w:r>
        <w:t>is.</w:t>
      </w:r>
    </w:p>
  </w:comment>
  <w:comment w:id="17" w:author="Riki Okawa (大川 立樹)" w:date="2023-04-26T10:10:00Z" w:initials="RO(立">
    <w:p w14:paraId="72A2538D" w14:textId="32B723F7" w:rsidR="00FD7921" w:rsidRDefault="00FD7921">
      <w:pPr>
        <w:pStyle w:val="CommentText"/>
        <w:rPr>
          <w:lang w:eastAsia="ja-JP"/>
        </w:rPr>
      </w:pPr>
      <w:r>
        <w:rPr>
          <w:rStyle w:val="CommentReference"/>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CD6092D" w15:done="0"/>
  <w15:commentEx w15:paraId="6B5D9789"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77AE" w16cex:dateUtc="2023-04-26T01:13:00Z"/>
  <w16cex:commentExtensible w16cex:durableId="27F372A1" w16cex:dateUtc="2023-04-26T07:51: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CD6092D" w16cid:durableId="27F377AE"/>
  <w16cid:commentId w16cid:paraId="6B5D9789" w16cid:durableId="27F372A1"/>
  <w16cid:commentId w16cid:paraId="7953FF86" w16cid:durableId="27F377FD"/>
  <w16cid:commentId w16cid:paraId="7402A5A1" w16cid:durableId="27F3805B"/>
  <w16cid:commentId w16cid:paraId="60EA0847" w16cid:durableId="27F3912A"/>
  <w16cid:commentId w16cid:paraId="3C0D63EE" w16cid:durableId="27F37410"/>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9642" w14:textId="77777777" w:rsidR="00952428" w:rsidRDefault="00952428">
      <w:pPr>
        <w:spacing w:after="0"/>
      </w:pPr>
      <w:r>
        <w:separator/>
      </w:r>
    </w:p>
  </w:endnote>
  <w:endnote w:type="continuationSeparator" w:id="0">
    <w:p w14:paraId="4E09C662" w14:textId="77777777" w:rsidR="00952428" w:rsidRDefault="0095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7819" w14:textId="77777777" w:rsidR="00952428" w:rsidRDefault="00952428">
      <w:pPr>
        <w:spacing w:after="0"/>
      </w:pPr>
      <w:r>
        <w:separator/>
      </w:r>
    </w:p>
  </w:footnote>
  <w:footnote w:type="continuationSeparator" w:id="0">
    <w:p w14:paraId="7F48F14E" w14:textId="77777777" w:rsidR="00952428" w:rsidRDefault="0095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72763">
    <w:abstractNumId w:val="7"/>
  </w:num>
  <w:num w:numId="2" w16cid:durableId="1501504443">
    <w:abstractNumId w:val="6"/>
  </w:num>
  <w:num w:numId="3" w16cid:durableId="1766145730">
    <w:abstractNumId w:val="2"/>
  </w:num>
  <w:num w:numId="4" w16cid:durableId="39206489">
    <w:abstractNumId w:val="1"/>
  </w:num>
  <w:num w:numId="5" w16cid:durableId="318965370">
    <w:abstractNumId w:val="4"/>
  </w:num>
  <w:num w:numId="6" w16cid:durableId="1886722455">
    <w:abstractNumId w:val="8"/>
  </w:num>
  <w:num w:numId="7" w16cid:durableId="1835150020">
    <w:abstractNumId w:val="0"/>
  </w:num>
  <w:num w:numId="8" w16cid:durableId="1183473198">
    <w:abstractNumId w:val="3"/>
  </w:num>
  <w:num w:numId="9" w16cid:durableId="9406171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sTQwsDQAMiwMTJR0lIJTi4sz8/NACoxqAd2Ta+ssAAAA"/>
  </w:docVars>
  <w:rsids>
    <w:rsidRoot w:val="004E3939"/>
    <w:rsid w:val="00001CEC"/>
    <w:rsid w:val="00017F23"/>
    <w:rsid w:val="000230DB"/>
    <w:rsid w:val="0004032C"/>
    <w:rsid w:val="000F6242"/>
    <w:rsid w:val="002F1940"/>
    <w:rsid w:val="00383545"/>
    <w:rsid w:val="003B2528"/>
    <w:rsid w:val="003F4979"/>
    <w:rsid w:val="00433500"/>
    <w:rsid w:val="00433F71"/>
    <w:rsid w:val="00440D43"/>
    <w:rsid w:val="004E3939"/>
    <w:rsid w:val="004E469D"/>
    <w:rsid w:val="00561DE2"/>
    <w:rsid w:val="005B26BF"/>
    <w:rsid w:val="005B6743"/>
    <w:rsid w:val="005F2D2F"/>
    <w:rsid w:val="006D49CB"/>
    <w:rsid w:val="006D61C3"/>
    <w:rsid w:val="007871EC"/>
    <w:rsid w:val="007F4F92"/>
    <w:rsid w:val="00835A83"/>
    <w:rsid w:val="008A323B"/>
    <w:rsid w:val="008D772F"/>
    <w:rsid w:val="00952428"/>
    <w:rsid w:val="0099764C"/>
    <w:rsid w:val="009B0200"/>
    <w:rsid w:val="009B0D22"/>
    <w:rsid w:val="009B61E6"/>
    <w:rsid w:val="00A94D31"/>
    <w:rsid w:val="00AA7729"/>
    <w:rsid w:val="00AE43D1"/>
    <w:rsid w:val="00B172A5"/>
    <w:rsid w:val="00B6101D"/>
    <w:rsid w:val="00B83E7E"/>
    <w:rsid w:val="00B97703"/>
    <w:rsid w:val="00C46C0E"/>
    <w:rsid w:val="00C81611"/>
    <w:rsid w:val="00CF6087"/>
    <w:rsid w:val="00D6400D"/>
    <w:rsid w:val="00D77DF0"/>
    <w:rsid w:val="00E23125"/>
    <w:rsid w:val="00E239EB"/>
    <w:rsid w:val="00E62698"/>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FB2C9D"/>
    <w:rPr>
      <w:lang w:val="en-GB" w:eastAsia="en-GB"/>
    </w:rPr>
  </w:style>
  <w:style w:type="paragraph" w:styleId="CommentSubject">
    <w:name w:val="annotation subject"/>
    <w:basedOn w:val="CommentText"/>
    <w:next w:val="CommentText"/>
    <w:link w:val="CommentSubjectChar"/>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FB2C9D"/>
    <w:rPr>
      <w:rFonts w:ascii="Arial" w:hAnsi="Arial"/>
      <w:lang w:val="en-GB" w:eastAsia="en-GB"/>
    </w:rPr>
  </w:style>
  <w:style w:type="character" w:customStyle="1" w:styleId="CommentSubjectChar">
    <w:name w:val="Comment Subject Char"/>
    <w:basedOn w:val="CommentTextChar"/>
    <w:link w:val="CommentSubject"/>
    <w:uiPriority w:val="99"/>
    <w:semiHidden/>
    <w:rsid w:val="00FB2C9D"/>
    <w:rPr>
      <w:rFonts w:ascii="Arial" w:hAnsi="Arial"/>
      <w:b/>
      <w:bCs/>
      <w:lang w:val="en-GB" w:eastAsia="en-GB"/>
    </w:rPr>
  </w:style>
  <w:style w:type="paragraph" w:styleId="ListParagraph">
    <w:name w:val="List Paragraph"/>
    <w:basedOn w:val="Normal"/>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757</Words>
  <Characters>3747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2</cp:revision>
  <cp:lastPrinted>2002-04-23T07:10:00Z</cp:lastPrinted>
  <dcterms:created xsi:type="dcterms:W3CDTF">2023-04-26T07:58:00Z</dcterms:created>
  <dcterms:modified xsi:type="dcterms:W3CDTF">2023-04-26T07:58:00Z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