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NES] DTX/DRX - gNB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proofErr w:type="gramStart"/>
      <w:r w:rsidR="003B6F67" w:rsidRPr="00E91D30">
        <w:t xml:space="preserve"> 2023</w:t>
      </w:r>
      <w:proofErr w:type="gramEnd"/>
      <w:r w:rsidR="003B6F67" w:rsidRPr="00E91D30">
        <w:t xml:space="preserve">,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FB234D"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w:t>
            </w:r>
            <w:proofErr w:type="gramStart"/>
            <w:r w:rsidRPr="006B33BE">
              <w:rPr>
                <w:rFonts w:ascii="Times New Roman" w:hAnsi="Times New Roman"/>
              </w:rPr>
              <w:t>active</w:t>
            </w:r>
            <w:proofErr w:type="gramEnd"/>
            <w:r w:rsidRPr="006B33BE">
              <w:rPr>
                <w:rFonts w:ascii="Times New Roman" w:hAnsi="Times New Roman"/>
              </w:rPr>
              <w:t xml:space="preser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gNB and Rel-18 and legacy </w:t>
      </w:r>
      <w:proofErr w:type="gramStart"/>
      <w:r>
        <w:rPr>
          <w:rFonts w:eastAsia="MS Mincho"/>
          <w:szCs w:val="24"/>
          <w:lang w:eastAsia="en-GB"/>
        </w:rPr>
        <w:t>UEs</w:t>
      </w:r>
      <w:proofErr w:type="gramEnd"/>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MS Mincho"/>
          <w:szCs w:val="24"/>
          <w:lang w:eastAsia="en-GB"/>
        </w:rPr>
        <w:t>configuration</w:t>
      </w:r>
      <w:proofErr w:type="gramEnd"/>
      <w:r>
        <w:rPr>
          <w:rFonts w:eastAsia="MS Mincho"/>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RAN1 continues discussion on the at least following physical layer related aspects of cell DTX/DRX </w:t>
      </w:r>
      <w:proofErr w:type="gramStart"/>
      <w:r>
        <w:rPr>
          <w:rFonts w:ascii="Times New Roman" w:hAnsi="Times New Roman"/>
        </w:rPr>
        <w:t>aspects</w:t>
      </w:r>
      <w:proofErr w:type="gramEnd"/>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 xml:space="preserve">Further discussions on other aspects are not </w:t>
      </w:r>
      <w:proofErr w:type="gramStart"/>
      <w:r>
        <w:rPr>
          <w:rFonts w:ascii="Times New Roman" w:hAnsi="Times New Roman"/>
        </w:rPr>
        <w:t>precluded</w:t>
      </w:r>
      <w:proofErr w:type="gramEnd"/>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PDCCH scrambled with UE specific </w:t>
      </w:r>
      <w:proofErr w:type="gramStart"/>
      <w:r>
        <w:rPr>
          <w:rFonts w:ascii="Times New Roman" w:hAnsi="Times New Roman"/>
        </w:rPr>
        <w:t>RNTI</w:t>
      </w:r>
      <w:proofErr w:type="gramEnd"/>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 xml:space="preserve">Other signals/channels are not </w:t>
      </w:r>
      <w:proofErr w:type="gramStart"/>
      <w:r>
        <w:rPr>
          <w:rFonts w:ascii="Times New Roman" w:hAnsi="Times New Roman"/>
        </w:rPr>
        <w:t>precluded</w:t>
      </w:r>
      <w:proofErr w:type="gramEnd"/>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w:t>
      </w:r>
      <w:proofErr w:type="gramStart"/>
      <w:r w:rsidR="00FD385D">
        <w:rPr>
          <w:lang w:eastAsia="sv-SE"/>
        </w:rPr>
        <w:t>in order to</w:t>
      </w:r>
      <w:proofErr w:type="gramEnd"/>
      <w:r w:rsidR="00FD385D">
        <w:rPr>
          <w:lang w:eastAsia="sv-SE"/>
        </w:rPr>
        <w:t xml:space="preserve">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w:t>
      </w:r>
      <w:proofErr w:type="gramStart"/>
      <w:r w:rsidR="00CD1E3F" w:rsidRPr="00CD1E3F">
        <w:rPr>
          <w:lang w:eastAsia="sv-SE"/>
        </w:rPr>
        <w:t>has to</w:t>
      </w:r>
      <w:proofErr w:type="gramEnd"/>
      <w:r w:rsidR="00CD1E3F" w:rsidRPr="00CD1E3F">
        <w:rPr>
          <w:lang w:eastAsia="sv-SE"/>
        </w:rPr>
        <w:t xml:space="preserve">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gNB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w:t>
            </w:r>
            <w:proofErr w:type="gramStart"/>
            <w:r w:rsidR="00B84B28">
              <w:rPr>
                <w:rFonts w:cs="Arial"/>
                <w:lang w:val="en-US" w:eastAsia="ko-KR"/>
              </w:rPr>
              <w:t>i.e.</w:t>
            </w:r>
            <w:proofErr w:type="gramEnd"/>
            <w:r w:rsidR="00B84B28">
              <w:rPr>
                <w:rFonts w:cs="Arial"/>
                <w:lang w:val="en-US" w:eastAsia="ko-KR"/>
              </w:rPr>
              <w:t xml:space="preserv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monitored SPS occasion (</w:t>
            </w:r>
            <w:proofErr w:type="gramStart"/>
            <w:r w:rsidR="00104BF1">
              <w:rPr>
                <w:rFonts w:cs="Arial"/>
                <w:lang w:val="en-US" w:eastAsia="ko-KR"/>
              </w:rPr>
              <w:t>i.e.</w:t>
            </w:r>
            <w:proofErr w:type="gramEnd"/>
            <w:r w:rsidR="00104BF1">
              <w:rPr>
                <w:rFonts w:cs="Arial"/>
                <w:lang w:val="en-US" w:eastAsia="ko-KR"/>
              </w:rPr>
              <w:t xml:space="preserv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F8540B">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F8540B">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to Cell DTX early, </w:t>
            </w:r>
            <w:proofErr w:type="gramStart"/>
            <w:r>
              <w:rPr>
                <w:rFonts w:cs="Arial"/>
                <w:lang w:val="en-US" w:eastAsia="ko-KR"/>
              </w:rPr>
              <w:t>i.e.</w:t>
            </w:r>
            <w:proofErr w:type="gramEnd"/>
            <w:r>
              <w:rPr>
                <w:rFonts w:cs="Arial"/>
                <w:lang w:val="en-US" w:eastAsia="ko-KR"/>
              </w:rPr>
              <w:t xml:space="preserv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It would make sense if the cell </w:t>
            </w:r>
            <w:proofErr w:type="gramStart"/>
            <w:r w:rsidRPr="00042CCD">
              <w:rPr>
                <w:rFonts w:cs="Arial"/>
                <w:lang w:val="en-US" w:eastAsia="ko-KR"/>
              </w:rPr>
              <w:t>is</w:t>
            </w:r>
            <w:proofErr w:type="gramEnd"/>
            <w:r w:rsidRPr="00042CCD">
              <w:rPr>
                <w:rFonts w:cs="Arial"/>
                <w:lang w:val="en-US" w:eastAsia="ko-KR"/>
              </w:rPr>
              <w:t xml:space="preserve">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transmission, and subsequently, the UE should not be monitoring this </w:t>
            </w:r>
            <w:proofErr w:type="gramStart"/>
            <w:r w:rsidRPr="00042CCD">
              <w:rPr>
                <w:rFonts w:cs="Arial"/>
                <w:lang w:val="en-US" w:eastAsia="ko-KR"/>
              </w:rPr>
              <w:t>SPS</w:t>
            </w:r>
            <w:proofErr w:type="gramEnd"/>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However, if there is a lot of consensus that there is a case to serve </w:t>
            </w:r>
            <w:proofErr w:type="gramStart"/>
            <w:r w:rsidRPr="00042CCD">
              <w:rPr>
                <w:rFonts w:cs="Arial"/>
                <w:lang w:val="en-US" w:eastAsia="ko-KR"/>
              </w:rPr>
              <w:t>delay</w:t>
            </w:r>
            <w:proofErr w:type="gramEnd"/>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sensitive traffic while deploying cell DTX, it may make sense to also </w:t>
            </w:r>
            <w:proofErr w:type="gramStart"/>
            <w:r w:rsidRPr="00042CCD">
              <w:rPr>
                <w:rFonts w:cs="Arial"/>
                <w:lang w:val="en-US" w:eastAsia="ko-KR"/>
              </w:rPr>
              <w:t>allow</w:t>
            </w:r>
            <w:proofErr w:type="gramEnd"/>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w:t>
            </w:r>
            <w:proofErr w:type="gramStart"/>
            <w:r w:rsidRPr="00042CCD">
              <w:rPr>
                <w:rFonts w:cs="Arial"/>
                <w:lang w:val="en-US" w:eastAsia="ko-KR"/>
              </w:rPr>
              <w:t>DTX</w:t>
            </w:r>
            <w:proofErr w:type="gramEnd"/>
            <w:r w:rsidRPr="00042CCD">
              <w:rPr>
                <w:rFonts w:cs="Arial"/>
                <w:lang w:val="en-US" w:eastAsia="ko-KR"/>
              </w:rPr>
              <w:t xml:space="preserve">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 xml:space="preserve">configuration as an exception, which a straightforward way to realize option </w:t>
            </w:r>
            <w:proofErr w:type="gramStart"/>
            <w:r w:rsidRPr="00042CCD">
              <w:rPr>
                <w:rFonts w:cs="Arial"/>
                <w:lang w:val="en-US" w:eastAsia="ko-KR"/>
              </w:rPr>
              <w:t>3</w:t>
            </w:r>
            <w:proofErr w:type="gramEnd"/>
            <w:r w:rsidRPr="00042CCD">
              <w:rPr>
                <w:rFonts w:cs="Arial"/>
                <w:lang w:val="en-US" w:eastAsia="ko-KR"/>
              </w:rPr>
              <w:t xml:space="preserve">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proofErr w:type="gramStart"/>
      <w:r w:rsidRPr="014D2D22">
        <w:rPr>
          <w:lang w:eastAsia="sv-SE"/>
        </w:rPr>
        <w:t>Similar to</w:t>
      </w:r>
      <w:proofErr w:type="gramEnd"/>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DC328F">
        <w:tc>
          <w:tcPr>
            <w:tcW w:w="1719"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DC328F">
        <w:tc>
          <w:tcPr>
            <w:tcW w:w="1719"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DC328F">
        <w:tc>
          <w:tcPr>
            <w:tcW w:w="1719"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106"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7066"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DC328F">
        <w:tc>
          <w:tcPr>
            <w:tcW w:w="1719"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106"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7066"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DC328F">
        <w:tc>
          <w:tcPr>
            <w:tcW w:w="1719"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106"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7066"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DC328F">
        <w:tc>
          <w:tcPr>
            <w:tcW w:w="1719"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106"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7066"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DC328F">
        <w:tc>
          <w:tcPr>
            <w:tcW w:w="1719"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106"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w:t>
            </w:r>
            <w:r w:rsidRPr="00042CCD">
              <w:rPr>
                <w:rFonts w:cs="Arial"/>
                <w:lang w:val="en-US" w:eastAsia="ko-KR"/>
              </w:rPr>
              <w:lastRenderedPageBreak/>
              <w:t xml:space="preserve">agreements on alignment  </w:t>
            </w:r>
          </w:p>
        </w:tc>
        <w:tc>
          <w:tcPr>
            <w:tcW w:w="7066"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lastRenderedPageBreak/>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lastRenderedPageBreak/>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gNB of when to apply restrictions.   </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F8540B">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w:t>
            </w:r>
            <w:proofErr w:type="gramStart"/>
            <w:r w:rsidRPr="00D42DD3">
              <w:rPr>
                <w:rFonts w:cs="Arial"/>
                <w:lang w:val="en-US" w:eastAsia="ko-KR"/>
              </w:rPr>
              <w:t>data, but</w:t>
            </w:r>
            <w:proofErr w:type="gramEnd"/>
            <w:r w:rsidRPr="00D42DD3">
              <w:rPr>
                <w:rFonts w:cs="Arial"/>
                <w:lang w:val="en-US" w:eastAsia="ko-KR"/>
              </w:rPr>
              <w:t xml:space="preserve">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 xml:space="preserve">if it does not need to detect a </w:t>
            </w:r>
            <w:r>
              <w:rPr>
                <w:rFonts w:cs="Arial"/>
                <w:lang w:val="en-US" w:eastAsia="ko-KR"/>
              </w:rPr>
              <w:lastRenderedPageBreak/>
              <w:t>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lastRenderedPageBreak/>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DC328F">
        <w:tc>
          <w:tcPr>
            <w:tcW w:w="1719" w:type="dxa"/>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06"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66"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 xml:space="preserve">during Cell DRX non-active </w:t>
      </w:r>
      <w:proofErr w:type="gramStart"/>
      <w:r>
        <w:rPr>
          <w:b/>
          <w:bCs/>
          <w:u w:val="single"/>
          <w:lang w:eastAsia="sv-SE"/>
        </w:rPr>
        <w:t>time</w:t>
      </w:r>
      <w:proofErr w:type="gramEnd"/>
    </w:p>
    <w:p w14:paraId="76A454C9" w14:textId="5F8C1854" w:rsidR="00CF0475" w:rsidRDefault="00031E70" w:rsidP="00B52A32">
      <w:pPr>
        <w:rPr>
          <w:lang w:eastAsia="sv-SE"/>
        </w:rPr>
      </w:pPr>
      <w:proofErr w:type="gramStart"/>
      <w:r>
        <w:rPr>
          <w:lang w:eastAsia="sv-SE"/>
        </w:rPr>
        <w:t>Assuming that</w:t>
      </w:r>
      <w:proofErr w:type="gramEnd"/>
      <w:r>
        <w:rPr>
          <w:lang w:eastAsia="sv-SE"/>
        </w:rPr>
        <w:t xml:space="preserve">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lastRenderedPageBreak/>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B1242">
        <w:tc>
          <w:tcPr>
            <w:tcW w:w="1712" w:type="dxa"/>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6"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 xml:space="preserve">during Cell DTX non-active </w:t>
      </w:r>
      <w:proofErr w:type="gramStart"/>
      <w:r w:rsidR="22FEA985" w:rsidRPr="695C38C8">
        <w:rPr>
          <w:b/>
          <w:bCs/>
          <w:u w:val="single"/>
          <w:lang w:eastAsia="sv-SE"/>
        </w:rPr>
        <w:t>period</w:t>
      </w:r>
      <w:proofErr w:type="gramEnd"/>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w:t>
      </w:r>
      <w:proofErr w:type="gramStart"/>
      <w:r w:rsidR="00850964">
        <w:rPr>
          <w:b/>
          <w:bCs/>
          <w:u w:val="single"/>
          <w:lang w:eastAsia="sv-SE"/>
        </w:rPr>
        <w:t>period</w:t>
      </w:r>
      <w:proofErr w:type="gramEnd"/>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3C0A3C">
        <w:trPr>
          <w:trHeight w:val="587"/>
        </w:trPr>
        <w:tc>
          <w:tcPr>
            <w:tcW w:w="1543"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050"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050"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6292"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3C0A3C">
        <w:trPr>
          <w:trHeight w:val="355"/>
        </w:trPr>
        <w:tc>
          <w:tcPr>
            <w:tcW w:w="1543"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lastRenderedPageBreak/>
              <w:t>Apple</w:t>
            </w:r>
          </w:p>
        </w:tc>
        <w:tc>
          <w:tcPr>
            <w:tcW w:w="1050"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050"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6292"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3C0A3C">
        <w:trPr>
          <w:trHeight w:val="347"/>
        </w:trPr>
        <w:tc>
          <w:tcPr>
            <w:tcW w:w="1543"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050"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050"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6292"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3C0A3C">
        <w:trPr>
          <w:trHeight w:val="347"/>
        </w:trPr>
        <w:tc>
          <w:tcPr>
            <w:tcW w:w="1543"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050" w:type="dxa"/>
          </w:tcPr>
          <w:p w14:paraId="56C540FD" w14:textId="66D92C7F" w:rsidR="00886156" w:rsidRDefault="00886156" w:rsidP="003C0A3C">
            <w:pPr>
              <w:rPr>
                <w:rFonts w:cs="Arial"/>
                <w:lang w:val="en-US" w:eastAsia="ko-KR"/>
              </w:rPr>
            </w:pPr>
            <w:r>
              <w:rPr>
                <w:rFonts w:cs="Arial"/>
                <w:lang w:val="en-US" w:eastAsia="ko-KR"/>
              </w:rPr>
              <w:t>Option 2</w:t>
            </w:r>
          </w:p>
        </w:tc>
        <w:tc>
          <w:tcPr>
            <w:tcW w:w="1050"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6292" w:type="dxa"/>
            <w:shd w:val="clear" w:color="auto" w:fill="auto"/>
          </w:tcPr>
          <w:p w14:paraId="1C4C0490" w14:textId="77B93EB2" w:rsidR="00886156" w:rsidRDefault="00886156" w:rsidP="00F8540B">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3C0A3C">
        <w:trPr>
          <w:trHeight w:val="347"/>
        </w:trPr>
        <w:tc>
          <w:tcPr>
            <w:tcW w:w="1543"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050" w:type="dxa"/>
          </w:tcPr>
          <w:p w14:paraId="7CA3D844" w14:textId="4F1234A6" w:rsidR="00941CE5" w:rsidRDefault="00941CE5" w:rsidP="00941CE5">
            <w:pPr>
              <w:rPr>
                <w:rFonts w:cs="Arial"/>
                <w:lang w:val="en-US" w:eastAsia="ko-KR"/>
              </w:rPr>
            </w:pPr>
            <w:r>
              <w:rPr>
                <w:rFonts w:cs="Arial"/>
                <w:lang w:val="en-US" w:eastAsia="ko-KR"/>
              </w:rPr>
              <w:t>Option 1</w:t>
            </w:r>
          </w:p>
        </w:tc>
        <w:tc>
          <w:tcPr>
            <w:tcW w:w="1050"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6292"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3C0A3C">
        <w:trPr>
          <w:trHeight w:val="347"/>
        </w:trPr>
        <w:tc>
          <w:tcPr>
            <w:tcW w:w="1543"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050" w:type="dxa"/>
          </w:tcPr>
          <w:p w14:paraId="621E4125" w14:textId="7319E88F" w:rsidR="008D6DAD" w:rsidRDefault="008D6DAD" w:rsidP="00941CE5">
            <w:pPr>
              <w:rPr>
                <w:rFonts w:cs="Arial"/>
                <w:lang w:val="en-US" w:eastAsia="ko-KR"/>
              </w:rPr>
            </w:pPr>
            <w:r>
              <w:rPr>
                <w:rFonts w:cs="Arial"/>
                <w:lang w:val="en-US" w:eastAsia="ko-KR"/>
              </w:rPr>
              <w:t>Option 1</w:t>
            </w:r>
          </w:p>
        </w:tc>
        <w:tc>
          <w:tcPr>
            <w:tcW w:w="1050"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6292"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3C0A3C">
        <w:trPr>
          <w:trHeight w:val="347"/>
        </w:trPr>
        <w:tc>
          <w:tcPr>
            <w:tcW w:w="1543"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050"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050"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6292"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w:t>
            </w:r>
            <w:r w:rsidRPr="00AB654B">
              <w:rPr>
                <w:lang w:eastAsia="sv-SE"/>
              </w:rPr>
              <w:lastRenderedPageBreak/>
              <w:t xml:space="preserve">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But we understand that this argument can be more related to alignment in the other discussion.</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500FC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500FC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500FC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500FC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500FC9">
            <w:pPr>
              <w:rPr>
                <w:rFonts w:cs="Arial"/>
                <w:color w:val="0070C0"/>
                <w:lang w:val="en-US" w:eastAsia="ko-KR"/>
              </w:rPr>
            </w:pPr>
            <w:r>
              <w:rPr>
                <w:rFonts w:cs="Arial"/>
                <w:color w:val="0070C0"/>
                <w:lang w:val="en-US" w:eastAsia="ko-KR"/>
              </w:rPr>
              <w:t>Apple</w:t>
            </w:r>
          </w:p>
        </w:tc>
        <w:tc>
          <w:tcPr>
            <w:tcW w:w="1050" w:type="dxa"/>
          </w:tcPr>
          <w:p w14:paraId="2F39D7B3" w14:textId="6ECC055D" w:rsidR="00410D04" w:rsidRDefault="00A16E1E" w:rsidP="00500FC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500FC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500FC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AA62A8">
        <w:trPr>
          <w:trHeight w:val="347"/>
        </w:trPr>
        <w:tc>
          <w:tcPr>
            <w:tcW w:w="154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050"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92"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AA62A8">
        <w:trPr>
          <w:trHeight w:val="347"/>
        </w:trPr>
        <w:tc>
          <w:tcPr>
            <w:tcW w:w="154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050"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92"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lastRenderedPageBreak/>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 xml:space="preserve">non-active </w:t>
      </w:r>
      <w:proofErr w:type="gramStart"/>
      <w:r w:rsidR="00EC47A8">
        <w:rPr>
          <w:b/>
          <w:bCs/>
          <w:u w:val="single"/>
          <w:lang w:eastAsia="sv-SE"/>
        </w:rPr>
        <w:t>period</w:t>
      </w:r>
      <w:proofErr w:type="gramEnd"/>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w:t>
      </w:r>
      <w:proofErr w:type="gramStart"/>
      <w:r w:rsidR="00F56F3D" w:rsidRPr="00F56F3D">
        <w:t>e.g.</w:t>
      </w:r>
      <w:proofErr w:type="gramEnd"/>
      <w:r w:rsidR="00F56F3D" w:rsidRPr="00F56F3D">
        <w:t xml:space="preserve">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F8540B">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w:t>
      </w:r>
      <w:proofErr w:type="gramStart"/>
      <w:r>
        <w:rPr>
          <w:b/>
          <w:bCs/>
          <w:u w:val="single"/>
          <w:lang w:eastAsia="sv-SE"/>
        </w:rPr>
        <w:t>period</w:t>
      </w:r>
      <w:proofErr w:type="gramEnd"/>
      <w:r>
        <w:rPr>
          <w:b/>
          <w:bCs/>
          <w:u w:val="single"/>
          <w:lang w:eastAsia="sv-SE"/>
        </w:rPr>
        <w:t xml:space="preserve">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lastRenderedPageBreak/>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w:t>
      </w:r>
      <w:proofErr w:type="gramStart"/>
      <w:r w:rsidRPr="00F56F3D">
        <w:t>e.g.</w:t>
      </w:r>
      <w:proofErr w:type="gramEnd"/>
      <w:r w:rsidRPr="00F56F3D">
        <w:t xml:space="preserve">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FB234D"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lastRenderedPageBreak/>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BDA2" w14:textId="77777777" w:rsidR="00216185" w:rsidRDefault="00216185">
      <w:pPr>
        <w:spacing w:after="0"/>
      </w:pPr>
      <w:r>
        <w:separator/>
      </w:r>
    </w:p>
  </w:endnote>
  <w:endnote w:type="continuationSeparator" w:id="0">
    <w:p w14:paraId="2E230D24" w14:textId="77777777" w:rsidR="00216185" w:rsidRDefault="00216185">
      <w:pPr>
        <w:spacing w:after="0"/>
      </w:pPr>
      <w:r>
        <w:continuationSeparator/>
      </w:r>
    </w:p>
  </w:endnote>
  <w:endnote w:type="continuationNotice" w:id="1">
    <w:p w14:paraId="6FC74AB5" w14:textId="77777777" w:rsidR="00216185" w:rsidRDefault="00216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modern"/>
    <w:pitch w:val="fixed"/>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0D08EC67" w:rsidR="00DC328F" w:rsidRDefault="008D6DAD" w:rsidP="00DC328F">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rsidR="003870D1">
      <w:tab/>
    </w:r>
    <w:r w:rsidR="003870D1">
      <w:rPr>
        <w:rStyle w:val="PageNumber"/>
      </w:rPr>
      <w:fldChar w:fldCharType="begin"/>
    </w:r>
    <w:r w:rsidR="003870D1">
      <w:rPr>
        <w:rStyle w:val="PageNumber"/>
      </w:rPr>
      <w:instrText xml:space="preserve"> PAGE </w:instrText>
    </w:r>
    <w:r w:rsidR="003870D1">
      <w:rPr>
        <w:rStyle w:val="PageNumber"/>
      </w:rPr>
      <w:fldChar w:fldCharType="separate"/>
    </w:r>
    <w:r w:rsidR="00886156">
      <w:rPr>
        <w:rStyle w:val="PageNumber"/>
      </w:rPr>
      <w:t>9</w:t>
    </w:r>
    <w:r w:rsidR="003870D1">
      <w:rPr>
        <w:rStyle w:val="PageNumber"/>
      </w:rPr>
      <w:fldChar w:fldCharType="end"/>
    </w:r>
    <w:r w:rsidR="003870D1">
      <w:rPr>
        <w:rStyle w:val="PageNumber"/>
      </w:rPr>
      <w:t>/</w:t>
    </w:r>
    <w:r w:rsidR="003870D1">
      <w:rPr>
        <w:rStyle w:val="PageNumber"/>
      </w:rPr>
      <w:fldChar w:fldCharType="begin"/>
    </w:r>
    <w:r w:rsidR="003870D1">
      <w:rPr>
        <w:rStyle w:val="PageNumber"/>
      </w:rPr>
      <w:instrText xml:space="preserve"> NUMPAGES </w:instrText>
    </w:r>
    <w:r w:rsidR="003870D1">
      <w:rPr>
        <w:rStyle w:val="PageNumber"/>
      </w:rPr>
      <w:fldChar w:fldCharType="separate"/>
    </w:r>
    <w:r w:rsidR="00886156">
      <w:rPr>
        <w:rStyle w:val="PageNumber"/>
      </w:rPr>
      <w:t>10</w:t>
    </w:r>
    <w:r w:rsidR="003870D1">
      <w:rPr>
        <w:rStyle w:val="PageNumber"/>
      </w:rPr>
      <w:fldChar w:fldCharType="end"/>
    </w:r>
    <w:r w:rsidR="003870D1">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A523" w14:textId="77777777" w:rsidR="00216185" w:rsidRDefault="00216185">
      <w:pPr>
        <w:spacing w:after="0"/>
      </w:pPr>
      <w:r>
        <w:separator/>
      </w:r>
    </w:p>
  </w:footnote>
  <w:footnote w:type="continuationSeparator" w:id="0">
    <w:p w14:paraId="0C773E43" w14:textId="77777777" w:rsidR="00216185" w:rsidRDefault="00216185">
      <w:pPr>
        <w:spacing w:after="0"/>
      </w:pPr>
      <w:r>
        <w:continuationSeparator/>
      </w:r>
    </w:p>
  </w:footnote>
  <w:footnote w:type="continuationNotice" w:id="1">
    <w:p w14:paraId="69ED778C" w14:textId="77777777" w:rsidR="00216185" w:rsidRDefault="002161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4423916">
    <w:abstractNumId w:val="0"/>
  </w:num>
  <w:num w:numId="2" w16cid:durableId="2026401655">
    <w:abstractNumId w:val="16"/>
  </w:num>
  <w:num w:numId="3" w16cid:durableId="1316102324">
    <w:abstractNumId w:val="13"/>
  </w:num>
  <w:num w:numId="4" w16cid:durableId="952857684">
    <w:abstractNumId w:val="14"/>
  </w:num>
  <w:num w:numId="5" w16cid:durableId="905803693">
    <w:abstractNumId w:val="10"/>
  </w:num>
  <w:num w:numId="6" w16cid:durableId="62606092">
    <w:abstractNumId w:val="15"/>
  </w:num>
  <w:num w:numId="7" w16cid:durableId="890724871">
    <w:abstractNumId w:val="21"/>
  </w:num>
  <w:num w:numId="8" w16cid:durableId="1860269513">
    <w:abstractNumId w:val="11"/>
  </w:num>
  <w:num w:numId="9" w16cid:durableId="1467040239">
    <w:abstractNumId w:val="17"/>
  </w:num>
  <w:num w:numId="10" w16cid:durableId="1090587473">
    <w:abstractNumId w:val="31"/>
  </w:num>
  <w:num w:numId="11" w16cid:durableId="1716927047">
    <w:abstractNumId w:val="19"/>
  </w:num>
  <w:num w:numId="12" w16cid:durableId="372582772">
    <w:abstractNumId w:val="27"/>
  </w:num>
  <w:num w:numId="13" w16cid:durableId="858852199">
    <w:abstractNumId w:val="12"/>
  </w:num>
  <w:num w:numId="14" w16cid:durableId="1106585128">
    <w:abstractNumId w:val="24"/>
  </w:num>
  <w:num w:numId="15" w16cid:durableId="1097943568">
    <w:abstractNumId w:val="23"/>
  </w:num>
  <w:num w:numId="16" w16cid:durableId="2085104715">
    <w:abstractNumId w:val="8"/>
  </w:num>
  <w:num w:numId="17" w16cid:durableId="1951666670">
    <w:abstractNumId w:val="9"/>
  </w:num>
  <w:num w:numId="18" w16cid:durableId="1489325954">
    <w:abstractNumId w:val="28"/>
  </w:num>
  <w:num w:numId="19" w16cid:durableId="486440156">
    <w:abstractNumId w:val="30"/>
  </w:num>
  <w:num w:numId="20" w16cid:durableId="1076782091">
    <w:abstractNumId w:val="6"/>
  </w:num>
  <w:num w:numId="21" w16cid:durableId="580943034">
    <w:abstractNumId w:val="7"/>
  </w:num>
  <w:num w:numId="22" w16cid:durableId="1588270954">
    <w:abstractNumId w:val="14"/>
  </w:num>
  <w:num w:numId="23" w16cid:durableId="1018846019">
    <w:abstractNumId w:val="18"/>
  </w:num>
  <w:num w:numId="24" w16cid:durableId="1200316803">
    <w:abstractNumId w:val="4"/>
  </w:num>
  <w:num w:numId="25" w16cid:durableId="1454010075">
    <w:abstractNumId w:val="26"/>
  </w:num>
  <w:num w:numId="26" w16cid:durableId="2056464355">
    <w:abstractNumId w:val="25"/>
  </w:num>
  <w:num w:numId="27" w16cid:durableId="2041317293">
    <w:abstractNumId w:val="2"/>
  </w:num>
  <w:num w:numId="28" w16cid:durableId="41721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277428">
    <w:abstractNumId w:val="0"/>
  </w:num>
  <w:num w:numId="30" w16cid:durableId="111094079">
    <w:abstractNumId w:val="3"/>
  </w:num>
  <w:num w:numId="31" w16cid:durableId="187066984">
    <w:abstractNumId w:val="1"/>
  </w:num>
  <w:num w:numId="32" w16cid:durableId="814222860">
    <w:abstractNumId w:val="3"/>
  </w:num>
  <w:num w:numId="33" w16cid:durableId="1571426395">
    <w:abstractNumId w:val="1"/>
  </w:num>
  <w:num w:numId="34" w16cid:durableId="1114787111">
    <w:abstractNumId w:val="0"/>
  </w:num>
  <w:num w:numId="35" w16cid:durableId="975796504">
    <w:abstractNumId w:val="5"/>
  </w:num>
  <w:num w:numId="36" w16cid:durableId="1081289339">
    <w:abstractNumId w:val="20"/>
  </w:num>
  <w:num w:numId="37" w16cid:durableId="1116875991">
    <w:abstractNumId w:val="22"/>
  </w:num>
  <w:num w:numId="38" w16cid:durableId="141558857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59ED"/>
    <w:rsid w:val="00046F29"/>
    <w:rsid w:val="00051D96"/>
    <w:rsid w:val="00052F1B"/>
    <w:rsid w:val="00053102"/>
    <w:rsid w:val="00060A45"/>
    <w:rsid w:val="00063CF0"/>
    <w:rsid w:val="0006605A"/>
    <w:rsid w:val="00070D5A"/>
    <w:rsid w:val="0007247A"/>
    <w:rsid w:val="000878C2"/>
    <w:rsid w:val="0009234D"/>
    <w:rsid w:val="000937AA"/>
    <w:rsid w:val="0009470A"/>
    <w:rsid w:val="00095DA0"/>
    <w:rsid w:val="000A143C"/>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805"/>
    <w:rsid w:val="005176BE"/>
    <w:rsid w:val="005202A8"/>
    <w:rsid w:val="00520D9B"/>
    <w:rsid w:val="00522266"/>
    <w:rsid w:val="00522E9D"/>
    <w:rsid w:val="005233E4"/>
    <w:rsid w:val="00532340"/>
    <w:rsid w:val="00536E97"/>
    <w:rsid w:val="0053766C"/>
    <w:rsid w:val="005402C7"/>
    <w:rsid w:val="00553FEE"/>
    <w:rsid w:val="005579F4"/>
    <w:rsid w:val="00560AB4"/>
    <w:rsid w:val="00567318"/>
    <w:rsid w:val="00570984"/>
    <w:rsid w:val="00593F0F"/>
    <w:rsid w:val="005A18A4"/>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0D9"/>
    <w:rsid w:val="007A44A2"/>
    <w:rsid w:val="007A535D"/>
    <w:rsid w:val="007B385E"/>
    <w:rsid w:val="007B56C5"/>
    <w:rsid w:val="007B68EF"/>
    <w:rsid w:val="007C19FE"/>
    <w:rsid w:val="007C52AC"/>
    <w:rsid w:val="007D1D15"/>
    <w:rsid w:val="007D611F"/>
    <w:rsid w:val="007D79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D6DAD"/>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3572"/>
    <w:rsid w:val="00943F7E"/>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442E"/>
    <w:rsid w:val="00DA22FD"/>
    <w:rsid w:val="00DA3DDE"/>
    <w:rsid w:val="00DA52DE"/>
    <w:rsid w:val="00DB0BBD"/>
    <w:rsid w:val="00DB27C8"/>
    <w:rsid w:val="00DB5D0C"/>
    <w:rsid w:val="00DC328F"/>
    <w:rsid w:val="00DC4E03"/>
    <w:rsid w:val="00DC5993"/>
    <w:rsid w:val="00DC71B4"/>
    <w:rsid w:val="00DD1821"/>
    <w:rsid w:val="00DD2674"/>
    <w:rsid w:val="00DD5407"/>
    <w:rsid w:val="00DD7C50"/>
    <w:rsid w:val="00DE0C0B"/>
    <w:rsid w:val="00DE66A6"/>
    <w:rsid w:val="00DE6D5F"/>
    <w:rsid w:val="00DF0C60"/>
    <w:rsid w:val="00DF35D8"/>
    <w:rsid w:val="00DF63A5"/>
    <w:rsid w:val="00E00930"/>
    <w:rsid w:val="00E03543"/>
    <w:rsid w:val="00E036EB"/>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D1E"/>
    <w:rsid w:val="00E72F66"/>
    <w:rsid w:val="00E80B9D"/>
    <w:rsid w:val="00E83CF0"/>
    <w:rsid w:val="00E849B5"/>
    <w:rsid w:val="00E90BFA"/>
    <w:rsid w:val="00E91D30"/>
    <w:rsid w:val="00E97D68"/>
    <w:rsid w:val="00EA4041"/>
    <w:rsid w:val="00EB218B"/>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6590"/>
    <w:rsid w:val="00F9372B"/>
    <w:rsid w:val="00F94347"/>
    <w:rsid w:val="00F947B6"/>
    <w:rsid w:val="00FA01D4"/>
    <w:rsid w:val="00FA7091"/>
    <w:rsid w:val="00FA7FC4"/>
    <w:rsid w:val="00FB234D"/>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00CF1-3E90-442E-A6B9-4383C63D0165}">
  <ds:schemaRefs>
    <ds:schemaRef ds:uri="http://schemas.openxmlformats.org/officeDocument/2006/bibliography"/>
  </ds:schemaRefs>
</ds:datastoreItem>
</file>

<file path=customXml/itemProps4.xml><?xml version="1.0" encoding="utf-8"?>
<ds:datastoreItem xmlns:ds="http://schemas.openxmlformats.org/officeDocument/2006/customXml" ds:itemID="{DC34F7D9-D7E1-44A5-9E12-513127ED1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5981</Words>
  <Characters>34092</Characters>
  <Application>Microsoft Office Word</Application>
  <DocSecurity>0</DocSecurity>
  <Lines>284</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Qualcomm - Sherif Elazzouni</cp:lastModifiedBy>
  <cp:revision>12</cp:revision>
  <cp:lastPrinted>2023-03-17T06:55:00Z</cp:lastPrinted>
  <dcterms:created xsi:type="dcterms:W3CDTF">2023-03-23T17:23:00Z</dcterms:created>
  <dcterms:modified xsi:type="dcterms:W3CDTF">2023-03-23T21:18:00Z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ies>
</file>