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05DBDAA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w:t>
      </w:r>
      <w:r w:rsidR="00712629">
        <w:rPr>
          <w:b/>
          <w:noProof/>
          <w:sz w:val="24"/>
        </w:rPr>
        <w:t>bis</w:t>
      </w:r>
      <w:r>
        <w:rPr>
          <w:b/>
          <w:noProof/>
          <w:sz w:val="24"/>
        </w:rPr>
        <w:t>-e</w:t>
      </w:r>
      <w:r>
        <w:rPr>
          <w:b/>
          <w:i/>
          <w:noProof/>
          <w:sz w:val="28"/>
        </w:rPr>
        <w:tab/>
      </w:r>
      <w:r w:rsidR="00D156D3" w:rsidRPr="00D156D3">
        <w:rPr>
          <w:b/>
          <w:i/>
          <w:noProof/>
          <w:sz w:val="28"/>
          <w:highlight w:val="yellow"/>
        </w:rPr>
        <w:t>draft</w:t>
      </w:r>
      <w:r w:rsidR="00D156D3">
        <w:rPr>
          <w:b/>
          <w:i/>
          <w:noProof/>
          <w:sz w:val="28"/>
        </w:rPr>
        <w:t xml:space="preserve"> </w:t>
      </w:r>
      <w:r w:rsidR="00E2255E" w:rsidRPr="00E2255E">
        <w:rPr>
          <w:b/>
          <w:i/>
          <w:noProof/>
          <w:sz w:val="28"/>
        </w:rPr>
        <w:t>R2-2211020</w:t>
      </w:r>
    </w:p>
    <w:p w14:paraId="4322BD2B" w14:textId="73E5CBF8" w:rsidR="00371B4D" w:rsidRDefault="00371B4D" w:rsidP="00371B4D">
      <w:pPr>
        <w:pStyle w:val="CRCoverPage"/>
        <w:outlineLvl w:val="0"/>
        <w:rPr>
          <w:b/>
          <w:noProof/>
          <w:sz w:val="24"/>
        </w:rPr>
      </w:pPr>
      <w:r>
        <w:rPr>
          <w:b/>
          <w:noProof/>
          <w:sz w:val="24"/>
        </w:rPr>
        <w:t xml:space="preserve">Online, </w:t>
      </w:r>
      <w:r w:rsidR="00EB12D4">
        <w:rPr>
          <w:b/>
          <w:noProof/>
          <w:sz w:val="24"/>
        </w:rPr>
        <w:t>10 - 19</w:t>
      </w:r>
      <w:r w:rsidR="00CB5400">
        <w:rPr>
          <w:b/>
          <w:noProof/>
          <w:sz w:val="24"/>
        </w:rPr>
        <w:t xml:space="preserve"> </w:t>
      </w:r>
      <w:r w:rsidR="00EB12D4">
        <w:rPr>
          <w:b/>
          <w:noProof/>
          <w:sz w:val="24"/>
        </w:rPr>
        <w:t>Oct</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0A73074B" w:rsidR="00371B4D" w:rsidRPr="00410371" w:rsidRDefault="00402555" w:rsidP="00BD7D78">
            <w:pPr>
              <w:pStyle w:val="CRCoverPage"/>
              <w:spacing w:after="0"/>
              <w:jc w:val="center"/>
              <w:rPr>
                <w:b/>
                <w:noProof/>
              </w:rPr>
            </w:pPr>
            <w:r>
              <w:rPr>
                <w:b/>
                <w:noProof/>
                <w:sz w:val="28"/>
                <w:lang w:eastAsia="zh-CN"/>
              </w:rPr>
              <w:t>-</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6111197E" w:rsidR="00371B4D" w:rsidRDefault="00402555" w:rsidP="0026357B">
            <w:pPr>
              <w:pStyle w:val="CRCoverPage"/>
              <w:spacing w:after="0"/>
              <w:ind w:left="100"/>
              <w:rPr>
                <w:noProof/>
              </w:rPr>
            </w:pPr>
            <w:commentRangeStart w:id="13"/>
            <w:r>
              <w:t>2022-10</w:t>
            </w:r>
            <w:r w:rsidR="00371B4D">
              <w:t>-1</w:t>
            </w:r>
            <w:r>
              <w:t>9</w:t>
            </w:r>
            <w:commentRangeEnd w:id="13"/>
            <w:r w:rsidR="002354B5">
              <w:rPr>
                <w:rStyle w:val="CommentReference"/>
                <w:rFonts w:ascii="Times New Roman" w:hAnsi="Times New Roman"/>
                <w:lang w:eastAsia="ja-JP"/>
              </w:rPr>
              <w:commentReference w:id="13"/>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DengXian"/>
                <w:noProof/>
                <w:lang w:eastAsia="zh-CN"/>
              </w:rPr>
            </w:pPr>
          </w:p>
          <w:p w14:paraId="0BE613FB" w14:textId="63EA91D8" w:rsidR="00C83478" w:rsidRDefault="00C83478" w:rsidP="007E030E">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sidR="00AE2D0F">
              <w:rPr>
                <w:rFonts w:eastAsia="DengXian"/>
                <w:noProof/>
                <w:lang w:eastAsia="zh-CN"/>
              </w:rPr>
              <w:t>greements related to [O</w:t>
            </w:r>
            <w:r w:rsidR="00A626D1">
              <w:rPr>
                <w:rFonts w:eastAsia="DengXian"/>
                <w:noProof/>
                <w:lang w:eastAsia="zh-CN"/>
              </w:rPr>
              <w:t>ffline-1</w:t>
            </w:r>
            <w:r w:rsidR="00AE2D0F">
              <w:rPr>
                <w:rFonts w:eastAsia="DengXian"/>
                <w:noProof/>
                <w:lang w:eastAsia="zh-CN"/>
              </w:rPr>
              <w:t>07</w:t>
            </w:r>
            <w:r w:rsidRPr="00C83478">
              <w:rPr>
                <w:rFonts w:eastAsia="DengXian"/>
                <w:noProof/>
                <w:lang w:eastAsia="zh-CN"/>
              </w:rPr>
              <w:t>]</w:t>
            </w:r>
            <w:r w:rsidR="00A357A0">
              <w:rPr>
                <w:rFonts w:eastAsia="DengXian"/>
                <w:noProof/>
                <w:lang w:eastAsia="zh-CN"/>
              </w:rPr>
              <w:t>:</w:t>
            </w:r>
          </w:p>
          <w:p w14:paraId="4BD67323" w14:textId="77777777" w:rsidR="00A357A0" w:rsidRDefault="00A357A0" w:rsidP="00A357A0">
            <w:pPr>
              <w:pStyle w:val="CRCoverPage"/>
              <w:spacing w:after="0"/>
              <w:ind w:left="460"/>
              <w:rPr>
                <w:rFonts w:eastAsia="DengXian"/>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clarification to the field description of </w:t>
            </w:r>
            <w:proofErr w:type="spellStart"/>
            <w:r>
              <w:t>epochTime</w:t>
            </w:r>
            <w:proofErr w:type="spellEnd"/>
            <w:r>
              <w:t>:</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 xml:space="preserve">For serving cell, the </w:t>
            </w:r>
            <w:proofErr w:type="spellStart"/>
            <w:r>
              <w:t>startSFN</w:t>
            </w:r>
            <w:proofErr w:type="spellEnd"/>
            <w:r>
              <w:t xml:space="preserve"> indicates the current SFN or the next upcoming SFN after the frame where the message indicating the </w:t>
            </w:r>
            <w:proofErr w:type="spellStart"/>
            <w:r>
              <w:t>epochTime</w:t>
            </w:r>
            <w:proofErr w:type="spellEnd"/>
            <w:r>
              <w:t xml:space="preserv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note in the description of IE </w:t>
            </w:r>
            <w:proofErr w:type="spellStart"/>
            <w:r>
              <w:t>EphemerisOrbitalParameters</w:t>
            </w:r>
            <w:proofErr w:type="spellEnd"/>
            <w:r>
              <w:t>:</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 xml:space="preserve">The ECI and ECEF coincide at Epoch time (e.g. </w:t>
            </w:r>
            <w:proofErr w:type="spellStart"/>
            <w:proofErr w:type="gramStart"/>
            <w:r>
              <w:t>x,y</w:t>
            </w:r>
            <w:proofErr w:type="gramEnd"/>
            <w:r>
              <w:t>,z</w:t>
            </w:r>
            <w:proofErr w:type="spellEnd"/>
            <w:r>
              <w:t xml:space="preserve"> axis in ECEF are aligned with </w:t>
            </w:r>
            <w:proofErr w:type="spellStart"/>
            <w:r>
              <w:t>x,y,z</w:t>
            </w:r>
            <w:proofErr w:type="spellEnd"/>
            <w:r>
              <w:t xml:space="preserve">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DengXian"/>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 xml:space="preserve">In case of HO/CHO, the SFN indicated by </w:t>
            </w:r>
            <w:proofErr w:type="spellStart"/>
            <w:r>
              <w:t>epochTime</w:t>
            </w:r>
            <w:proofErr w:type="spellEnd"/>
            <w:r>
              <w:t xml:space="preserve"> is the frame nearest to the frame where RRC reconfiguration message is received</w:t>
            </w:r>
          </w:p>
          <w:p w14:paraId="318E2C80" w14:textId="6295B79A" w:rsidR="00C83478" w:rsidRPr="00BB1DBF" w:rsidRDefault="00C83478" w:rsidP="00552F50">
            <w:pPr>
              <w:pStyle w:val="CRCoverPage"/>
              <w:spacing w:after="0"/>
              <w:ind w:left="46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35803F" w14:textId="570B7D8C" w:rsidR="00A0016B" w:rsidRPr="00183F6C" w:rsidRDefault="00A0016B" w:rsidP="00552F50">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Pr>
                <w:rFonts w:eastAsia="DengXian"/>
                <w:noProof/>
                <w:lang w:eastAsia="zh-CN"/>
              </w:rPr>
              <w:t>g</w:t>
            </w:r>
            <w:r w:rsidR="00552F50">
              <w:rPr>
                <w:rFonts w:eastAsia="DengXian"/>
                <w:noProof/>
                <w:lang w:eastAsia="zh-CN"/>
              </w:rPr>
              <w:t>reements related to [offline-107</w:t>
            </w:r>
            <w:r w:rsidRPr="00C83478">
              <w:rPr>
                <w:rFonts w:eastAsia="DengXian"/>
                <w:noProof/>
                <w:lang w:eastAsia="zh-CN"/>
              </w:rPr>
              <w:t>]</w:t>
            </w:r>
          </w:p>
          <w:p w14:paraId="70A1221E" w14:textId="78511F6B" w:rsidR="00BB1DBF" w:rsidRPr="00552F50"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DengXian"/>
                <w:noProof/>
                <w:lang w:eastAsia="zh-CN"/>
              </w:rPr>
            </w:pPr>
            <w:r w:rsidRPr="00A0016B">
              <w:rPr>
                <w:rFonts w:eastAsia="DengXian"/>
                <w:noProof/>
                <w:lang w:eastAsia="zh-CN"/>
              </w:rPr>
              <w:t xml:space="preserve">Without the above changes, the </w:t>
            </w:r>
            <w:r>
              <w:rPr>
                <w:rFonts w:eastAsia="DengXian"/>
                <w:noProof/>
                <w:lang w:eastAsia="zh-CN"/>
              </w:rPr>
              <w:t>IOT NTN</w:t>
            </w:r>
            <w:r w:rsidRPr="00A0016B">
              <w:rPr>
                <w:rFonts w:eastAsia="DengXian"/>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859642" w:rsidR="00371B4D" w:rsidRPr="004C26E6" w:rsidRDefault="00B0276A" w:rsidP="00A45DEB">
            <w:pPr>
              <w:pStyle w:val="CRCoverPage"/>
              <w:spacing w:after="0"/>
              <w:ind w:left="100"/>
              <w:rPr>
                <w:rFonts w:eastAsia="DengXian"/>
                <w:noProof/>
                <w:lang w:eastAsia="zh-CN"/>
              </w:rPr>
            </w:pPr>
            <w:r>
              <w:rPr>
                <w:rFonts w:eastAsia="DengXian"/>
                <w:noProof/>
                <w:lang w:eastAsia="zh-CN"/>
              </w:rPr>
              <w:t>6.3.1, 6.3.4, 7.3.1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6E1A24AD" w14:textId="77777777" w:rsidR="00423F6B" w:rsidRDefault="00423F6B" w:rsidP="00423F6B">
      <w:pPr>
        <w:pStyle w:val="Heading3"/>
      </w:pPr>
      <w:bookmarkStart w:id="26" w:name="_Toc109167379"/>
      <w:bookmarkStart w:id="27" w:name="_Toc46483473"/>
      <w:bookmarkStart w:id="28" w:name="_Toc46482239"/>
      <w:bookmarkStart w:id="29"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26"/>
      <w:bookmarkEnd w:id="27"/>
      <w:bookmarkEnd w:id="28"/>
      <w:bookmarkEnd w:id="29"/>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30" w:name="_Toc115702600"/>
      <w:r w:rsidRPr="003D191B">
        <w:rPr>
          <w:rFonts w:ascii="Arial" w:hAnsi="Arial"/>
          <w:i/>
          <w:iCs/>
          <w:sz w:val="24"/>
        </w:rPr>
        <w:t>–</w:t>
      </w:r>
      <w:r w:rsidRPr="003D191B">
        <w:rPr>
          <w:rFonts w:ascii="Arial" w:hAnsi="Arial"/>
          <w:i/>
          <w:iCs/>
          <w:sz w:val="24"/>
        </w:rPr>
        <w:tab/>
        <w:t>SystemInformationBlockType31</w:t>
      </w:r>
      <w:bookmarkEnd w:id="30"/>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31" w:author="Huawei" w:date="2022-10-19T14:37:00Z">
              <w:r w:rsidR="00DA0279">
                <w:rPr>
                  <w:rFonts w:ascii="Arial" w:hAnsi="Arial" w:cs="Arial"/>
                  <w:sz w:val="18"/>
                  <w:lang w:val="sv-SE" w:eastAsia="sv-SE"/>
                </w:rPr>
                <w:t xml:space="preserve"> </w:t>
              </w:r>
              <w:commentRangeStart w:id="32"/>
              <w:commentRangeStart w:id="33"/>
              <w:commentRangeStart w:id="34"/>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commentRangeEnd w:id="32"/>
            <w:r w:rsidR="00CF4C8C">
              <w:rPr>
                <w:rStyle w:val="CommentReference"/>
              </w:rPr>
              <w:commentReference w:id="32"/>
            </w:r>
            <w:commentRangeEnd w:id="33"/>
            <w:r w:rsidR="009E7F26">
              <w:rPr>
                <w:rStyle w:val="CommentReference"/>
              </w:rPr>
              <w:commentReference w:id="33"/>
            </w:r>
            <w:commentRangeEnd w:id="34"/>
            <w:r w:rsidR="003B797F">
              <w:rPr>
                <w:rStyle w:val="CommentReference"/>
              </w:rPr>
              <w:commentReference w:id="34"/>
            </w:r>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35"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5F496651" w:rsidR="00DA0279" w:rsidRPr="003D191B" w:rsidRDefault="00DA0279" w:rsidP="00DA0279">
            <w:pPr>
              <w:keepNext/>
              <w:keepLines/>
              <w:spacing w:after="0"/>
              <w:textAlignment w:val="auto"/>
              <w:rPr>
                <w:rFonts w:ascii="Arial" w:hAnsi="Arial" w:cs="Arial"/>
                <w:sz w:val="18"/>
                <w:lang w:val="sv-SE"/>
              </w:rPr>
            </w:pPr>
            <w:commentRangeStart w:id="36"/>
            <w:commentRangeStart w:id="37"/>
            <w:ins w:id="38" w:author="Huawei" w:date="2022-10-19T14:40: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w:t>
              </w:r>
            </w:ins>
            <w:ins w:id="39" w:author="Huawei" w:date="2022-10-19T14:41:00Z">
              <w:r>
                <w:rPr>
                  <w:rFonts w:ascii="Arial" w:hAnsi="Arial" w:cs="Arial"/>
                  <w:sz w:val="18"/>
                  <w:lang w:val="sv-SE"/>
                </w:rPr>
                <w:t>andover or conditional handover</w:t>
              </w:r>
            </w:ins>
            <w:ins w:id="40" w:author="Huawei" w:date="2022-10-19T14:40:00Z">
              <w:r>
                <w:rPr>
                  <w:rFonts w:ascii="Arial" w:hAnsi="Arial" w:cs="Arial"/>
                  <w:sz w:val="18"/>
                  <w:lang w:val="sv-SE"/>
                </w:rPr>
                <w:t>,</w:t>
              </w:r>
              <w:r w:rsidRPr="00DA0279">
                <w:rPr>
                  <w:rFonts w:ascii="Arial" w:hAnsi="Arial" w:cs="Arial"/>
                  <w:sz w:val="18"/>
                  <w:lang w:val="sv-SE"/>
                </w:rPr>
                <w:t xml:space="preserve"> the </w:t>
              </w:r>
            </w:ins>
            <w:ins w:id="41" w:author="Huawei" w:date="2022-10-19T14:43:00Z">
              <w:r w:rsidRPr="00DA0279">
                <w:rPr>
                  <w:rFonts w:ascii="Arial" w:hAnsi="Arial" w:cs="Arial"/>
                  <w:i/>
                  <w:sz w:val="18"/>
                  <w:lang w:val="sv-SE" w:eastAsia="sv-SE"/>
                </w:rPr>
                <w:t>startSFN</w:t>
              </w:r>
            </w:ins>
            <w:ins w:id="42" w:author="Huawei" w:date="2022-10-19T14:40:00Z">
              <w:r w:rsidRPr="00DA0279">
                <w:rPr>
                  <w:rFonts w:ascii="Arial" w:hAnsi="Arial" w:cs="Arial"/>
                  <w:sz w:val="18"/>
                  <w:lang w:val="sv-SE"/>
                </w:rPr>
                <w:t xml:space="preserve"> indicated by </w:t>
              </w:r>
              <w:r w:rsidRPr="00DA0279">
                <w:rPr>
                  <w:rFonts w:ascii="Arial" w:hAnsi="Arial" w:cs="Arial"/>
                  <w:i/>
                  <w:sz w:val="18"/>
                  <w:lang w:val="sv-SE"/>
                </w:rPr>
                <w:t>epochTime</w:t>
              </w:r>
              <w:r w:rsidRPr="00DA0279">
                <w:rPr>
                  <w:rFonts w:ascii="Arial" w:hAnsi="Arial" w:cs="Arial"/>
                  <w:sz w:val="18"/>
                  <w:lang w:val="sv-SE"/>
                </w:rPr>
                <w:t xml:space="preserve"> is the frame nearest to the frame where </w:t>
              </w:r>
            </w:ins>
            <w:ins w:id="43" w:author="Huawei" w:date="2022-10-19T14:43:00Z">
              <w:r w:rsidRPr="00DA0279">
                <w:rPr>
                  <w:rFonts w:ascii="Arial" w:hAnsi="Arial" w:cs="Arial"/>
                  <w:i/>
                  <w:sz w:val="18"/>
                  <w:lang w:val="sv-SE"/>
                </w:rPr>
                <w:t>RRCConnectionReconfiguration</w:t>
              </w:r>
            </w:ins>
            <w:ins w:id="44" w:author="Huawei" w:date="2022-10-19T14:40:00Z">
              <w:r w:rsidRPr="00DA0279">
                <w:rPr>
                  <w:rFonts w:ascii="Arial" w:hAnsi="Arial" w:cs="Arial"/>
                  <w:sz w:val="18"/>
                  <w:lang w:val="sv-SE"/>
                </w:rPr>
                <w:t xml:space="preserve"> message is received</w:t>
              </w:r>
            </w:ins>
            <w:commentRangeEnd w:id="36"/>
            <w:r w:rsidR="00CF4C8C">
              <w:rPr>
                <w:rStyle w:val="CommentReference"/>
              </w:rPr>
              <w:commentReference w:id="36"/>
            </w:r>
            <w:commentRangeEnd w:id="37"/>
            <w:r w:rsidR="009E7F26">
              <w:rPr>
                <w:rStyle w:val="CommentReference"/>
              </w:rPr>
              <w:commentReference w:id="37"/>
            </w:r>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 xml:space="preserve">Scheduling offset used in the timing relationships in NTN, see TS 36.213 [23]. </w:t>
            </w:r>
            <w:commentRangeStart w:id="45"/>
            <w:r w:rsidRPr="003D191B">
              <w:rPr>
                <w:rFonts w:ascii="Arial" w:hAnsi="Arial" w:cs="Arial"/>
                <w:sz w:val="18"/>
                <w:lang w:val="sv-SE" w:eastAsia="sv-SE"/>
              </w:rPr>
              <w:t>Unit in ms.</w:t>
            </w:r>
            <w:commentRangeEnd w:id="45"/>
            <w:r w:rsidR="00E703A1">
              <w:rPr>
                <w:rStyle w:val="CommentReference"/>
              </w:rPr>
              <w:commentReference w:id="45"/>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r w:rsidRPr="003D191B">
              <w:rPr>
                <w:rFonts w:ascii="Arial" w:hAnsi="Arial" w:cs="Arial"/>
                <w:bCs/>
                <w:i/>
                <w:iCs/>
                <w:kern w:val="2"/>
                <w:sz w:val="18"/>
                <w:lang w:val="sv-SE" w:eastAsia="en-GB"/>
              </w:rPr>
              <w:t>ul-SyncValidationDuration</w:t>
            </w:r>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ul-SyncValidationDuration</w:t>
            </w:r>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46"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46"/>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47" w:author="Huawei" w:date="2022-10-19T14:45:00Z">
              <w:r w:rsidRPr="003D191B" w:rsidDel="00DA0279">
                <w:rPr>
                  <w:rFonts w:ascii="Arial" w:hAnsi="Arial" w:cs="Arial"/>
                  <w:bCs/>
                  <w:iCs/>
                  <w:kern w:val="2"/>
                  <w:sz w:val="18"/>
                  <w:lang w:val="sv-SE" w:eastAsia="sv-SE"/>
                </w:rPr>
                <w:delText>satellite</w:delText>
              </w:r>
            </w:del>
            <w:ins w:id="48"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49" w:author="Huawei" w:date="2022-10-19T14:46:00Z">
              <w:r w:rsidR="00DA0279">
                <w:rPr>
                  <w:rFonts w:ascii="Arial" w:hAnsi="Arial" w:cs="Arial"/>
                  <w:bCs/>
                  <w:iCs/>
                  <w:kern w:val="2"/>
                  <w:sz w:val="18"/>
                  <w:lang w:val="sv-SE" w:eastAsia="sv-SE"/>
                </w:rPr>
                <w:t>-</w:t>
              </w:r>
            </w:ins>
            <w:del w:id="50"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51" w:author="Huawei" w:date="2022-10-19T14:45:00Z">
              <w:r w:rsidRPr="003D191B" w:rsidDel="00DA0279">
                <w:rPr>
                  <w:rFonts w:ascii="Arial" w:hAnsi="Arial" w:cs="Arial"/>
                  <w:bCs/>
                  <w:iCs/>
                  <w:kern w:val="2"/>
                  <w:sz w:val="18"/>
                  <w:lang w:val="sv-SE" w:eastAsia="sv-SE"/>
                </w:rPr>
                <w:delText>satellite</w:delText>
              </w:r>
            </w:del>
            <w:ins w:id="52"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53" w:author="Huawei" w:date="2022-10-19T14:46:00Z">
              <w:r w:rsidRPr="003D191B" w:rsidDel="00DA0279">
                <w:rPr>
                  <w:rFonts w:ascii="Arial" w:hAnsi="Arial" w:cs="Arial"/>
                  <w:sz w:val="18"/>
                  <w:lang w:val="sv-SE" w:eastAsia="sv-SE"/>
                </w:rPr>
                <w:delText>satellite</w:delText>
              </w:r>
            </w:del>
            <w:ins w:id="54"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55" w:author="Huawei" w:date="2022-10-19T14:46:00Z">
              <w:r w:rsidRPr="003D191B" w:rsidDel="00DA0279">
                <w:rPr>
                  <w:rFonts w:ascii="Arial" w:hAnsi="Arial" w:cs="Arial"/>
                  <w:sz w:val="18"/>
                  <w:lang w:val="sv-SE" w:eastAsia="sv-SE"/>
                </w:rPr>
                <w:delText>satellite</w:delText>
              </w:r>
            </w:del>
            <w:ins w:id="56"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57" w:name="_Toc109167493"/>
      <w:bookmarkStart w:id="58" w:name="_Toc46483584"/>
      <w:bookmarkStart w:id="59" w:name="_Toc46482350"/>
      <w:bookmarkStart w:id="60" w:name="_Toc46481116"/>
      <w:bookmarkStart w:id="61" w:name="_Toc37082478"/>
      <w:bookmarkStart w:id="62" w:name="_Toc36939498"/>
      <w:bookmarkStart w:id="63" w:name="_Toc36846845"/>
      <w:bookmarkStart w:id="64" w:name="_Toc36810481"/>
      <w:bookmarkStart w:id="65" w:name="_Toc36567041"/>
      <w:bookmarkStart w:id="66" w:name="_Toc29343775"/>
      <w:bookmarkStart w:id="67" w:name="_Toc29342636"/>
      <w:bookmarkStart w:id="68" w:name="_Toc20487339"/>
      <w:r w:rsidRPr="00E638CA">
        <w:rPr>
          <w:rFonts w:ascii="Arial" w:hAnsi="Arial"/>
          <w:sz w:val="28"/>
        </w:rPr>
        <w:t>6.3.4</w:t>
      </w:r>
      <w:r w:rsidRPr="00E638CA">
        <w:rPr>
          <w:rFonts w:ascii="Arial" w:hAnsi="Arial"/>
          <w:sz w:val="28"/>
        </w:rPr>
        <w:tab/>
        <w:t>Mobility control information elements</w:t>
      </w:r>
      <w:bookmarkEnd w:id="57"/>
      <w:bookmarkEnd w:id="58"/>
      <w:bookmarkEnd w:id="59"/>
      <w:bookmarkEnd w:id="60"/>
      <w:bookmarkEnd w:id="61"/>
      <w:bookmarkEnd w:id="62"/>
      <w:bookmarkEnd w:id="63"/>
      <w:bookmarkEnd w:id="64"/>
      <w:bookmarkEnd w:id="65"/>
      <w:bookmarkEnd w:id="66"/>
      <w:bookmarkEnd w:id="67"/>
      <w:bookmarkEnd w:id="68"/>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69" w:name="_Toc115702716"/>
      <w:r w:rsidRPr="000739A9">
        <w:rPr>
          <w:rFonts w:ascii="Arial" w:hAnsi="Arial"/>
          <w:sz w:val="24"/>
        </w:rPr>
        <w:t>–</w:t>
      </w:r>
      <w:r w:rsidRPr="000739A9">
        <w:rPr>
          <w:rFonts w:ascii="Arial" w:hAnsi="Arial"/>
          <w:sz w:val="24"/>
        </w:rPr>
        <w:tab/>
      </w:r>
      <w:proofErr w:type="spellStart"/>
      <w:r w:rsidRPr="000739A9">
        <w:rPr>
          <w:rFonts w:ascii="Arial" w:hAnsi="Arial"/>
          <w:i/>
          <w:noProof/>
          <w:sz w:val="24"/>
        </w:rPr>
        <w:t>Ephemeris</w:t>
      </w:r>
      <w:r w:rsidRPr="000739A9">
        <w:rPr>
          <w:rFonts w:ascii="Arial" w:hAnsi="Arial"/>
          <w:i/>
          <w:sz w:val="24"/>
        </w:rPr>
        <w:t>OrbitalParameters</w:t>
      </w:r>
      <w:bookmarkEnd w:id="69"/>
      <w:proofErr w:type="spellEnd"/>
    </w:p>
    <w:p w14:paraId="36025126" w14:textId="77777777" w:rsidR="000739A9" w:rsidRDefault="000739A9" w:rsidP="000739A9">
      <w:pPr>
        <w:textAlignment w:val="auto"/>
        <w:rPr>
          <w:ins w:id="70" w:author="Huawei" w:date="2022-10-19T14:51:00Z"/>
        </w:rPr>
      </w:pPr>
      <w:r w:rsidRPr="000739A9">
        <w:t xml:space="preserve">The IE </w:t>
      </w:r>
      <w:proofErr w:type="spellStart"/>
      <w:r w:rsidRPr="000739A9">
        <w:rPr>
          <w:i/>
        </w:rPr>
        <w:t>EphemerisOrbitalParameters</w:t>
      </w:r>
      <w:proofErr w:type="spellEnd"/>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71" w:author="Huawei" w:date="2022-10-19T14:51:00Z">
        <w:r>
          <w:t>NOTE:</w:t>
        </w:r>
        <w:r>
          <w:tab/>
        </w:r>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72" w:name="_Toc115703067"/>
      <w:bookmarkStart w:id="73" w:name="_Toc46483961"/>
      <w:bookmarkStart w:id="74" w:name="_Toc46482727"/>
      <w:bookmarkStart w:id="75" w:name="_Toc46481493"/>
      <w:bookmarkStart w:id="76" w:name="_Toc37082851"/>
      <w:bookmarkStart w:id="77" w:name="_Toc36939871"/>
      <w:bookmarkStart w:id="78" w:name="_Toc36847218"/>
      <w:bookmarkStart w:id="79" w:name="_Toc36810854"/>
      <w:bookmarkStart w:id="80" w:name="_Toc36567390"/>
      <w:bookmarkStart w:id="81" w:name="_Toc29344124"/>
      <w:bookmarkStart w:id="82" w:name="_Toc29342985"/>
      <w:bookmarkStart w:id="83" w:name="_Toc20487678"/>
      <w:r w:rsidRPr="007B175C">
        <w:rPr>
          <w:rFonts w:ascii="Arial" w:hAnsi="Arial"/>
          <w:sz w:val="28"/>
        </w:rPr>
        <w:lastRenderedPageBreak/>
        <w:t>7.3.1</w:t>
      </w:r>
      <w:r w:rsidRPr="007B175C">
        <w:rPr>
          <w:rFonts w:ascii="Arial" w:hAnsi="Arial"/>
          <w:sz w:val="28"/>
        </w:rPr>
        <w:tab/>
        <w:t>Timers (Informative)</w:t>
      </w:r>
      <w:bookmarkEnd w:id="72"/>
      <w:bookmarkEnd w:id="73"/>
      <w:bookmarkEnd w:id="74"/>
      <w:bookmarkEnd w:id="75"/>
      <w:bookmarkEnd w:id="76"/>
      <w:bookmarkEnd w:id="77"/>
      <w:bookmarkEnd w:id="78"/>
      <w:bookmarkEnd w:id="79"/>
      <w:bookmarkEnd w:id="80"/>
      <w:bookmarkEnd w:id="81"/>
      <w:bookmarkEnd w:id="82"/>
      <w:bookmarkEnd w:id="83"/>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SimSun"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84" w:name="OLE_LINK35"/>
            <w:bookmarkStart w:id="85" w:name="OLE_LINK37"/>
            <w:r w:rsidRPr="007B175C">
              <w:rPr>
                <w:rFonts w:ascii="Arial" w:hAnsi="Arial" w:cs="Arial"/>
                <w:sz w:val="18"/>
                <w:lang w:val="sv-SE" w:eastAsia="sv-SE"/>
              </w:rPr>
              <w:t>initiating the RRC connection re-establishment procedure</w:t>
            </w:r>
            <w:bookmarkEnd w:id="84"/>
            <w:bookmarkEnd w:id="85"/>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SimSun"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acquisition of </w:t>
            </w:r>
            <w:r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86" w:author="Huawei" w:date="2022-10-19T15:01:00Z">
              <w:r w:rsidR="007C6791" w:rsidRPr="007C6791">
                <w:rPr>
                  <w:rFonts w:ascii="Arial" w:hAnsi="Arial" w:cs="Arial"/>
                  <w:sz w:val="18"/>
                  <w:lang w:val="sv-SE" w:eastAsia="sv-SE"/>
                </w:rPr>
                <w:t>5.3.18</w:t>
              </w:r>
            </w:ins>
            <w:del w:id="87"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DengXian" w:hAnsi="Arial" w:cs="Arial"/>
                <w:sz w:val="18"/>
                <w:lang w:val="sv-SE" w:eastAsia="zh-CN"/>
              </w:rPr>
              <w:t xml:space="preserve">the </w:t>
            </w:r>
            <w:r w:rsidRPr="007B175C">
              <w:rPr>
                <w:rFonts w:ascii="Arial" w:eastAsia="DengXian" w:hAnsi="Arial" w:cs="Arial"/>
                <w:i/>
                <w:iCs/>
                <w:sz w:val="18"/>
                <w:lang w:val="sv-SE" w:eastAsia="zh-CN"/>
              </w:rPr>
              <w:t>altFreqPriorities</w:t>
            </w:r>
            <w:r w:rsidRPr="007B175C">
              <w:rPr>
                <w:rFonts w:ascii="Arial" w:eastAsia="DengXian"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SimSun"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ZTE-Ting" w:date="2022-10-20T18:53:00Z" w:initials="ZTE-Ting">
    <w:p w14:paraId="021FBE32" w14:textId="2EB736AD" w:rsidR="002354B5" w:rsidRPr="002354B5" w:rsidRDefault="002354B5">
      <w:pPr>
        <w:pStyle w:val="CommentText"/>
        <w:rPr>
          <w:rFonts w:eastAsia="DengXian"/>
          <w:lang w:eastAsia="zh-CN"/>
        </w:rPr>
      </w:pPr>
      <w:r>
        <w:rPr>
          <w:rStyle w:val="CommentReference"/>
        </w:rPr>
        <w:annotationRef/>
      </w:r>
      <w:r>
        <w:rPr>
          <w:rFonts w:eastAsia="DengXian"/>
          <w:lang w:eastAsia="zh-CN"/>
        </w:rPr>
        <w:t>Need to be updated</w:t>
      </w:r>
    </w:p>
  </w:comment>
  <w:comment w:id="32" w:author="Ericsson - Ignacio" w:date="2022-10-19T14:19:00Z" w:initials="IJPP">
    <w:p w14:paraId="05A1F926" w14:textId="3BC57D13" w:rsidR="00CF4C8C" w:rsidRDefault="00CF4C8C">
      <w:pPr>
        <w:pStyle w:val="CommentText"/>
      </w:pPr>
      <w:r>
        <w:rPr>
          <w:rStyle w:val="CommentReference"/>
        </w:rPr>
        <w:annotationRef/>
      </w:r>
      <w:r>
        <w:t>We suggest to align this wording with NR NTN which is more complete: “</w:t>
      </w:r>
      <w:r w:rsidRPr="00B55E3E">
        <w:rPr>
          <w:bCs/>
          <w:iCs/>
          <w:szCs w:val="22"/>
          <w:lang w:eastAsia="sv-SE"/>
        </w:rPr>
        <w:t xml:space="preserve">. </w:t>
      </w:r>
      <w:r w:rsidRPr="00C41533">
        <w:rPr>
          <w:bCs/>
          <w:iCs/>
          <w:szCs w:val="22"/>
          <w:lang w:eastAsia="sv-SE"/>
        </w:rPr>
        <w:t xml:space="preserve">Denote by </w:t>
      </w:r>
      <w:r w:rsidRPr="00CF4C8C">
        <w:rPr>
          <w:bCs/>
          <w:i/>
          <w:szCs w:val="22"/>
          <w:lang w:eastAsia="sv-SE"/>
        </w:rPr>
        <w:t>f0</w:t>
      </w:r>
      <w:r w:rsidRPr="00C41533">
        <w:rPr>
          <w:bCs/>
          <w:iCs/>
          <w:szCs w:val="22"/>
          <w:lang w:eastAsia="sv-SE"/>
        </w:rPr>
        <w:t xml:space="preserve"> the frame where the message indicating the </w:t>
      </w:r>
      <w:r w:rsidRPr="00CF4C8C">
        <w:rPr>
          <w:bCs/>
          <w:i/>
          <w:szCs w:val="22"/>
          <w:lang w:eastAsia="sv-SE"/>
        </w:rPr>
        <w:t>epochTime</w:t>
      </w:r>
      <w:r w:rsidRPr="00C41533">
        <w:rPr>
          <w:bCs/>
          <w:iCs/>
          <w:szCs w:val="22"/>
          <w:lang w:eastAsia="sv-SE"/>
        </w:rPr>
        <w:t xml:space="preserve"> is received and by </w:t>
      </w:r>
      <w:r w:rsidRPr="00CF4C8C">
        <w:rPr>
          <w:bCs/>
          <w:i/>
          <w:szCs w:val="22"/>
          <w:lang w:eastAsia="sv-SE"/>
        </w:rPr>
        <w:t>f1</w:t>
      </w:r>
      <w:r w:rsidRPr="00C41533">
        <w:rPr>
          <w:bCs/>
          <w:iCs/>
          <w:szCs w:val="22"/>
          <w:lang w:eastAsia="sv-SE"/>
        </w:rPr>
        <w:t xml:space="preserve"> the frame containing the DL sub-frame defining the </w:t>
      </w:r>
      <w:r w:rsidRPr="00CF4C8C">
        <w:rPr>
          <w:bCs/>
          <w:i/>
          <w:szCs w:val="22"/>
          <w:lang w:eastAsia="sv-SE"/>
        </w:rPr>
        <w:t>epochTime</w:t>
      </w:r>
      <w:r w:rsidRPr="00C41533">
        <w:rPr>
          <w:bCs/>
          <w:iCs/>
          <w:szCs w:val="22"/>
          <w:lang w:eastAsia="sv-SE"/>
        </w:rPr>
        <w:t xml:space="preserve">. For serving cell, the UE considers </w:t>
      </w:r>
      <w:r w:rsidRPr="00CF4C8C">
        <w:rPr>
          <w:bCs/>
          <w:i/>
          <w:szCs w:val="22"/>
          <w:lang w:eastAsia="sv-SE"/>
        </w:rPr>
        <w:t>f1</w:t>
      </w:r>
      <w:r w:rsidRPr="00C41533">
        <w:rPr>
          <w:bCs/>
          <w:iCs/>
          <w:szCs w:val="22"/>
          <w:lang w:eastAsia="sv-SE"/>
        </w:rPr>
        <w:t xml:space="preserve"> to be </w:t>
      </w:r>
      <w:r w:rsidRPr="00CF4C8C">
        <w:rPr>
          <w:bCs/>
          <w:i/>
          <w:szCs w:val="22"/>
          <w:lang w:eastAsia="sv-SE"/>
        </w:rPr>
        <w:t>f0</w:t>
      </w:r>
      <w:r w:rsidRPr="00C41533">
        <w:rPr>
          <w:bCs/>
          <w:iCs/>
          <w:szCs w:val="22"/>
          <w:lang w:eastAsia="sv-SE"/>
        </w:rPr>
        <w:t xml:space="preserve"> if the indicated SFN equals the SFN of </w:t>
      </w:r>
      <w:r w:rsidRPr="00CF4C8C">
        <w:rPr>
          <w:bCs/>
          <w:i/>
          <w:szCs w:val="22"/>
          <w:lang w:eastAsia="sv-SE"/>
        </w:rPr>
        <w:t>f0</w:t>
      </w:r>
      <w:r w:rsidRPr="00C41533">
        <w:rPr>
          <w:bCs/>
          <w:iCs/>
          <w:szCs w:val="22"/>
          <w:lang w:eastAsia="sv-SE"/>
        </w:rPr>
        <w:t xml:space="preserve">, or the next frame with the indicated SFN if the indicated SFN differs from the SFN of </w:t>
      </w:r>
      <w:r w:rsidRPr="00CF4C8C">
        <w:rPr>
          <w:bCs/>
          <w:i/>
          <w:szCs w:val="22"/>
          <w:lang w:eastAsia="sv-SE"/>
        </w:rPr>
        <w:t>f0</w:t>
      </w:r>
      <w:r w:rsidRPr="00C41533">
        <w:rPr>
          <w:bCs/>
          <w:iCs/>
          <w:szCs w:val="22"/>
          <w:lang w:eastAsia="sv-SE"/>
        </w:rPr>
        <w:t xml:space="preserve">. For neighbor cell, the UE considers </w:t>
      </w:r>
      <w:r w:rsidRPr="00CF4C8C">
        <w:rPr>
          <w:bCs/>
          <w:i/>
          <w:szCs w:val="22"/>
          <w:lang w:eastAsia="sv-SE"/>
        </w:rPr>
        <w:t>f1</w:t>
      </w:r>
      <w:r w:rsidRPr="00C41533">
        <w:rPr>
          <w:bCs/>
          <w:iCs/>
          <w:szCs w:val="22"/>
          <w:lang w:eastAsia="sv-SE"/>
        </w:rPr>
        <w:t xml:space="preserve"> to be the frame, with the indicated SFN, that is nearest to </w:t>
      </w:r>
      <w:r w:rsidRPr="00CF4C8C">
        <w:rPr>
          <w:bCs/>
          <w:i/>
          <w:szCs w:val="22"/>
          <w:lang w:eastAsia="sv-SE"/>
        </w:rPr>
        <w:t>f0</w:t>
      </w:r>
      <w:r w:rsidRPr="00C41533">
        <w:rPr>
          <w:bCs/>
          <w:iCs/>
          <w:szCs w:val="22"/>
          <w:lang w:eastAsia="sv-SE"/>
        </w:rPr>
        <w:t xml:space="preserve">, or in case of a draw (i.e., the indicated SFN is 512 larger than the SFN of </w:t>
      </w:r>
      <w:r w:rsidRPr="00CF4C8C">
        <w:rPr>
          <w:bCs/>
          <w:i/>
          <w:szCs w:val="22"/>
          <w:lang w:eastAsia="sv-SE"/>
        </w:rPr>
        <w:t>f0</w:t>
      </w:r>
      <w:r w:rsidRPr="00C41533">
        <w:rPr>
          <w:bCs/>
          <w:iCs/>
          <w:szCs w:val="22"/>
          <w:lang w:eastAsia="sv-SE"/>
        </w:rPr>
        <w:t>, modulo 1024), the next frame with the indicated SFN</w:t>
      </w:r>
      <w:r>
        <w:rPr>
          <w:bCs/>
          <w:iCs/>
          <w:szCs w:val="22"/>
          <w:lang w:eastAsia="sv-SE"/>
        </w:rPr>
        <w:t>.”</w:t>
      </w:r>
    </w:p>
  </w:comment>
  <w:comment w:id="33" w:author="ZTE-Ting" w:date="2022-10-20T18:36:00Z" w:initials="ZTE-Ting">
    <w:p w14:paraId="567ED4E8" w14:textId="3896AFBF" w:rsidR="009E7F26" w:rsidRDefault="009E7F26" w:rsidP="009E7F26">
      <w:pPr>
        <w:pStyle w:val="CommentText"/>
        <w:rPr>
          <w:bCs/>
          <w:iCs/>
          <w:szCs w:val="22"/>
          <w:lang w:eastAsia="sv-SE"/>
        </w:rPr>
      </w:pPr>
      <w:r>
        <w:rPr>
          <w:rStyle w:val="CommentReference"/>
        </w:rPr>
        <w:annotationRef/>
      </w:r>
      <w:r w:rsidRPr="000630D6">
        <w:rPr>
          <w:rFonts w:hint="eastAsia"/>
          <w:bCs/>
          <w:iCs/>
          <w:szCs w:val="22"/>
          <w:lang w:eastAsia="sv-SE"/>
        </w:rPr>
        <w:t>The</w:t>
      </w:r>
      <w:r w:rsidRPr="000630D6">
        <w:rPr>
          <w:bCs/>
          <w:iCs/>
          <w:szCs w:val="22"/>
          <w:lang w:eastAsia="sv-SE"/>
        </w:rPr>
        <w:t xml:space="preserve"> </w:t>
      </w:r>
      <w:r w:rsidRPr="000630D6">
        <w:rPr>
          <w:rFonts w:hint="eastAsia"/>
          <w:bCs/>
          <w:iCs/>
          <w:szCs w:val="22"/>
          <w:lang w:eastAsia="sv-SE"/>
        </w:rPr>
        <w:t>part</w:t>
      </w:r>
      <w:r w:rsidRPr="000630D6">
        <w:rPr>
          <w:bCs/>
          <w:iCs/>
          <w:szCs w:val="22"/>
          <w:lang w:eastAsia="sv-SE"/>
        </w:rPr>
        <w:t xml:space="preserve"> </w:t>
      </w:r>
      <w:r w:rsidRPr="000630D6">
        <w:rPr>
          <w:rFonts w:hint="eastAsia"/>
          <w:bCs/>
          <w:iCs/>
          <w:szCs w:val="22"/>
          <w:lang w:eastAsia="sv-SE"/>
        </w:rPr>
        <w:t>of</w:t>
      </w:r>
      <w:r>
        <w:rPr>
          <w:bCs/>
          <w:iCs/>
          <w:szCs w:val="22"/>
          <w:lang w:eastAsia="sv-SE"/>
        </w:rPr>
        <w:t xml:space="preserve"> “</w:t>
      </w:r>
      <w:r w:rsidRPr="00C41533">
        <w:rPr>
          <w:bCs/>
          <w:iCs/>
          <w:szCs w:val="22"/>
          <w:lang w:eastAsia="sv-SE"/>
        </w:rPr>
        <w:t xml:space="preserve">For </w:t>
      </w:r>
      <w:r w:rsidRPr="00C41533">
        <w:rPr>
          <w:bCs/>
          <w:iCs/>
          <w:szCs w:val="22"/>
          <w:lang w:eastAsia="sv-SE"/>
        </w:rPr>
        <w:t>neighbor cell</w:t>
      </w:r>
      <w:r>
        <w:rPr>
          <w:bCs/>
          <w:iCs/>
          <w:szCs w:val="22"/>
          <w:lang w:eastAsia="sv-SE"/>
        </w:rPr>
        <w:t>……” should be removed as it’s not applicable to SIB31 in IoT NTN SIB31.</w:t>
      </w:r>
    </w:p>
    <w:p w14:paraId="5ABA9BE6" w14:textId="77777777" w:rsidR="009E7F26" w:rsidRDefault="009E7F26" w:rsidP="009E7F26">
      <w:pPr>
        <w:pStyle w:val="CommentText"/>
        <w:rPr>
          <w:bCs/>
          <w:iCs/>
          <w:szCs w:val="22"/>
          <w:lang w:eastAsia="sv-SE"/>
        </w:rPr>
      </w:pPr>
    </w:p>
    <w:p w14:paraId="39DAED35" w14:textId="219C9027" w:rsidR="009E7F26" w:rsidRDefault="009E7F26" w:rsidP="009E7F26">
      <w:pPr>
        <w:pStyle w:val="CommentText"/>
        <w:rPr>
          <w:bCs/>
          <w:iCs/>
          <w:szCs w:val="22"/>
          <w:lang w:eastAsia="sv-SE"/>
        </w:rPr>
      </w:pPr>
      <w:r>
        <w:rPr>
          <w:bCs/>
          <w:iCs/>
          <w:szCs w:val="22"/>
          <w:lang w:eastAsia="sv-SE"/>
        </w:rPr>
        <w:t>We are general fine to align with NR NTN (no strong view, the previous simple wording is also ok).</w:t>
      </w:r>
    </w:p>
    <w:p w14:paraId="43FBBBAB" w14:textId="4B41D344" w:rsidR="009E7F26" w:rsidRDefault="009E7F26" w:rsidP="009E7F26">
      <w:pPr>
        <w:pStyle w:val="CommentText"/>
        <w:rPr>
          <w:bCs/>
          <w:iCs/>
          <w:szCs w:val="22"/>
          <w:lang w:eastAsia="sv-SE"/>
        </w:rPr>
      </w:pPr>
      <w:r>
        <w:rPr>
          <w:bCs/>
          <w:iCs/>
          <w:szCs w:val="22"/>
          <w:lang w:eastAsia="sv-SE"/>
        </w:rPr>
        <w:t>We are also generally fine with the above wording, only one suggested change:</w:t>
      </w:r>
    </w:p>
    <w:p w14:paraId="2FB33509" w14:textId="2B5B654A" w:rsidR="009E7F26" w:rsidRDefault="009E7F26" w:rsidP="009E7F26">
      <w:pPr>
        <w:pStyle w:val="CommentText"/>
      </w:pPr>
      <w:r>
        <w:rPr>
          <w:bCs/>
          <w:iCs/>
          <w:szCs w:val="22"/>
          <w:lang w:eastAsia="sv-SE"/>
        </w:rPr>
        <w:t>“…..</w:t>
      </w:r>
      <w:r w:rsidRPr="00C41533">
        <w:rPr>
          <w:bCs/>
          <w:iCs/>
          <w:szCs w:val="22"/>
          <w:lang w:eastAsia="sv-SE"/>
        </w:rPr>
        <w:t xml:space="preserve">or the next </w:t>
      </w:r>
      <w:r w:rsidRPr="000630D6">
        <w:rPr>
          <w:rFonts w:hint="eastAsia"/>
          <w:bCs/>
          <w:iCs/>
          <w:color w:val="0070C0"/>
          <w:szCs w:val="22"/>
          <w:u w:val="single"/>
          <w:lang w:eastAsia="sv-SE"/>
        </w:rPr>
        <w:t>upcoming</w:t>
      </w:r>
      <w:r w:rsidRPr="000630D6">
        <w:rPr>
          <w:bCs/>
          <w:iCs/>
          <w:color w:val="0070C0"/>
          <w:szCs w:val="22"/>
          <w:u w:val="single"/>
          <w:lang w:eastAsia="sv-SE"/>
        </w:rPr>
        <w:t xml:space="preserve"> </w:t>
      </w:r>
      <w:r w:rsidRPr="00C41533">
        <w:rPr>
          <w:bCs/>
          <w:iCs/>
          <w:szCs w:val="22"/>
          <w:lang w:eastAsia="sv-SE"/>
        </w:rPr>
        <w:t xml:space="preserve">frame with the indicated SFN if the indicated SFN differs from the SFN of </w:t>
      </w:r>
      <w:r w:rsidRPr="00CF4C8C">
        <w:rPr>
          <w:bCs/>
          <w:i/>
          <w:szCs w:val="22"/>
          <w:lang w:eastAsia="sv-SE"/>
        </w:rPr>
        <w:t>f0</w:t>
      </w:r>
      <w:r w:rsidRPr="00C41533">
        <w:rPr>
          <w:bCs/>
          <w:iCs/>
          <w:szCs w:val="22"/>
          <w:lang w:eastAsia="sv-SE"/>
        </w:rPr>
        <w:t>.</w:t>
      </w:r>
      <w:r>
        <w:rPr>
          <w:bCs/>
          <w:iCs/>
          <w:szCs w:val="22"/>
          <w:lang w:eastAsia="sv-SE"/>
        </w:rPr>
        <w:t>”</w:t>
      </w:r>
    </w:p>
  </w:comment>
  <w:comment w:id="34" w:author="Qualcomm-Bharat" w:date="2022-10-20T12:06:00Z" w:initials="BS">
    <w:p w14:paraId="4A5EE377" w14:textId="77777777" w:rsidR="003B797F" w:rsidRDefault="003B797F" w:rsidP="00314224">
      <w:pPr>
        <w:pStyle w:val="CommentText"/>
      </w:pPr>
      <w:r>
        <w:rPr>
          <w:rStyle w:val="CommentReference"/>
        </w:rPr>
        <w:annotationRef/>
      </w:r>
      <w:r>
        <w:t>Ok with Ericsson's suggestion as this is more clear. But we can take final text from NR CR.</w:t>
      </w:r>
    </w:p>
  </w:comment>
  <w:comment w:id="36" w:author="Ericsson - Ignacio" w:date="2022-10-19T14:18:00Z" w:initials="IJPP">
    <w:p w14:paraId="2451A175" w14:textId="0C7B163F" w:rsidR="00CF4C8C" w:rsidRDefault="00CF4C8C">
      <w:pPr>
        <w:pStyle w:val="CommentText"/>
      </w:pPr>
      <w:r>
        <w:rPr>
          <w:rStyle w:val="CommentReference"/>
        </w:rPr>
        <w:annotationRef/>
      </w:r>
      <w:r>
        <w:t>We suggest to align this wording with NR NTN: “</w:t>
      </w:r>
      <w:r w:rsidRPr="00B55E3E">
        <w:t>In case of handover, this field is based on the timing of the target cell, i.e. the SFN and sub-frame number indicated in this field refers to the SFN and sub-frame of the target cell.</w:t>
      </w:r>
      <w:r>
        <w:t xml:space="preserve"> </w:t>
      </w:r>
      <w:r w:rsidRPr="002B7A5B">
        <w:t>The UE considers the target cell epoch time, indicated by the SFN and sub-frame number in this field, to be the frame nearest to the frame in which the message indicating the epoch time is received.</w:t>
      </w:r>
      <w:r>
        <w:t>”</w:t>
      </w:r>
    </w:p>
  </w:comment>
  <w:comment w:id="37" w:author="ZTE-Ting" w:date="2022-10-20T18:38:00Z" w:initials="ZTE-Ting">
    <w:p w14:paraId="530A410A" w14:textId="77777777" w:rsidR="009E7F26" w:rsidRDefault="009E7F26">
      <w:pPr>
        <w:pStyle w:val="CommentText"/>
        <w:rPr>
          <w:rFonts w:eastAsia="DengXian"/>
          <w:lang w:eastAsia="zh-CN"/>
        </w:rPr>
      </w:pPr>
      <w:r>
        <w:rPr>
          <w:rStyle w:val="CommentReference"/>
        </w:rPr>
        <w:annotationRef/>
      </w:r>
      <w:r>
        <w:rPr>
          <w:rFonts w:eastAsia="DengXian"/>
          <w:lang w:eastAsia="zh-CN"/>
        </w:rPr>
        <w:t>In our understanding, even the “reference fram</w:t>
      </w:r>
      <w:r w:rsidRPr="009E7F26">
        <w:rPr>
          <w:rFonts w:eastAsia="DengXian"/>
          <w:lang w:eastAsia="zh-CN"/>
        </w:rPr>
        <w:t xml:space="preserve">e” for </w:t>
      </w:r>
      <w:r w:rsidRPr="009E7F26">
        <w:rPr>
          <w:rFonts w:eastAsia="DengXian"/>
          <w:lang w:eastAsia="zh-CN"/>
        </w:rPr>
        <w:t xml:space="preserve">determing “nearest” is the frame where </w:t>
      </w:r>
      <w:r w:rsidRPr="009E7F26">
        <w:rPr>
          <w:i/>
          <w:lang w:val="sv-SE"/>
        </w:rPr>
        <w:t>RRCConnectionReconfiguration</w:t>
      </w:r>
      <w:r w:rsidRPr="009E7F26">
        <w:rPr>
          <w:rFonts w:eastAsia="DengXian"/>
          <w:lang w:eastAsia="zh-CN"/>
        </w:rPr>
        <w:t xml:space="preserve"> is received, it should also be based on the timing of the target cell.</w:t>
      </w:r>
      <w:r>
        <w:rPr>
          <w:rFonts w:eastAsia="DengXian"/>
          <w:lang w:eastAsia="zh-CN"/>
        </w:rPr>
        <w:t xml:space="preserve"> </w:t>
      </w:r>
    </w:p>
    <w:p w14:paraId="0874FA9F" w14:textId="731D720A" w:rsidR="009E7F26" w:rsidRDefault="009E7F26">
      <w:pPr>
        <w:pStyle w:val="CommentText"/>
        <w:rPr>
          <w:rFonts w:eastAsia="DengXian"/>
          <w:lang w:eastAsia="zh-CN"/>
        </w:rPr>
      </w:pPr>
      <w:r>
        <w:rPr>
          <w:rFonts w:eastAsia="DengXian"/>
          <w:lang w:eastAsia="zh-CN"/>
        </w:rPr>
        <w:t>As mentioned during meeting discussion, we think UE needs to record this frame in serving cell and after accessing the target cell, UE can deduce the “reference fram</w:t>
      </w:r>
      <w:r w:rsidRPr="009E7F26">
        <w:rPr>
          <w:rFonts w:eastAsia="DengXian"/>
          <w:lang w:eastAsia="zh-CN"/>
        </w:rPr>
        <w:t>e”</w:t>
      </w:r>
      <w:r>
        <w:rPr>
          <w:rFonts w:eastAsia="DengXian"/>
          <w:lang w:eastAsia="zh-CN"/>
        </w:rPr>
        <w:t xml:space="preserve"> based on this frame and also the elapsed duration between the time when receiving the reconfiguration messgage and the time when accessing the target cell.</w:t>
      </w:r>
    </w:p>
    <w:p w14:paraId="7CEC4987" w14:textId="77777777" w:rsidR="009E7F26" w:rsidRDefault="009E7F26">
      <w:pPr>
        <w:pStyle w:val="CommentText"/>
        <w:rPr>
          <w:rFonts w:eastAsia="DengXian"/>
          <w:lang w:eastAsia="zh-CN"/>
        </w:rPr>
      </w:pPr>
    </w:p>
    <w:p w14:paraId="5720D8ED" w14:textId="27975581" w:rsidR="009E7F26" w:rsidRDefault="009E7F26">
      <w:pPr>
        <w:pStyle w:val="CommentText"/>
        <w:rPr>
          <w:rFonts w:eastAsia="DengXian"/>
          <w:lang w:eastAsia="zh-CN"/>
        </w:rPr>
      </w:pPr>
      <w:r>
        <w:rPr>
          <w:rFonts w:eastAsia="DengXian"/>
          <w:lang w:eastAsia="zh-CN"/>
        </w:rPr>
        <w:t>Then our further comment on top of Ericsson’s suggestion is:</w:t>
      </w:r>
    </w:p>
    <w:p w14:paraId="3752C2ED" w14:textId="5D9D8BC0" w:rsidR="009E7F26" w:rsidRPr="009E7F26" w:rsidRDefault="009E7F26">
      <w:pPr>
        <w:pStyle w:val="CommentText"/>
        <w:rPr>
          <w:rFonts w:eastAsia="DengXian"/>
          <w:lang w:eastAsia="zh-CN"/>
        </w:rPr>
      </w:pPr>
      <w:r>
        <w:rPr>
          <w:rFonts w:eastAsia="DengXian"/>
          <w:lang w:eastAsia="zh-CN"/>
        </w:rPr>
        <w:t>“…….</w:t>
      </w:r>
      <w:r w:rsidRPr="002B7A5B">
        <w:t xml:space="preserve">The UE considers the target cell epoch time, indicated by the SFN and sub-frame number in this field, to be the frame nearest to the frame </w:t>
      </w:r>
      <w:r w:rsidRPr="009E7F26">
        <w:rPr>
          <w:strike/>
          <w:color w:val="FF0000"/>
        </w:rPr>
        <w:t>in which</w:t>
      </w:r>
      <w:r w:rsidRPr="002B7A5B">
        <w:t xml:space="preserve"> </w:t>
      </w:r>
      <w:r w:rsidRPr="002354B5">
        <w:rPr>
          <w:color w:val="0070C0"/>
          <w:u w:val="single"/>
        </w:rPr>
        <w:t>which refl</w:t>
      </w:r>
      <w:r w:rsidRPr="009E7F26">
        <w:rPr>
          <w:color w:val="0070C0"/>
          <w:u w:val="single"/>
        </w:rPr>
        <w:t>ects the frame where</w:t>
      </w:r>
      <w:r>
        <w:t xml:space="preserve"> </w:t>
      </w:r>
      <w:r w:rsidRPr="002B7A5B">
        <w:t>the message indicating the epoch time is received</w:t>
      </w:r>
      <w:r w:rsidRPr="009E7F26">
        <w:rPr>
          <w:color w:val="0070C0"/>
          <w:u w:val="single"/>
        </w:rPr>
        <w:t xml:space="preserve"> and is also based on the timing of the target cell</w:t>
      </w:r>
      <w:r>
        <w:rPr>
          <w:color w:val="0070C0"/>
          <w:u w:val="single"/>
        </w:rPr>
        <w:t>.</w:t>
      </w:r>
      <w:r>
        <w:rPr>
          <w:rFonts w:eastAsia="DengXian"/>
          <w:lang w:eastAsia="zh-CN"/>
        </w:rPr>
        <w:t>”</w:t>
      </w:r>
    </w:p>
  </w:comment>
  <w:comment w:id="45" w:author="Qualcomm-Bharat" w:date="2022-10-20T12:07:00Z" w:initials="BS">
    <w:p w14:paraId="68BB25FF" w14:textId="77777777" w:rsidR="00E703A1" w:rsidRDefault="00E703A1" w:rsidP="00A432A8">
      <w:pPr>
        <w:pStyle w:val="CommentText"/>
      </w:pPr>
      <w:r>
        <w:rPr>
          <w:rStyle w:val="CommentReference"/>
        </w:rPr>
        <w:annotationRef/>
      </w:r>
      <w:r>
        <w:t>Since MAC CR has not changed the differential Koffset Unit to subframe, we should change this to subframe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FBE32" w15:done="0"/>
  <w15:commentEx w15:paraId="05A1F926" w15:done="0"/>
  <w15:commentEx w15:paraId="2FB33509" w15:paraIdParent="05A1F926" w15:done="0"/>
  <w15:commentEx w15:paraId="4A5EE377" w15:paraIdParent="05A1F926" w15:done="0"/>
  <w15:commentEx w15:paraId="2451A175" w15:done="0"/>
  <w15:commentEx w15:paraId="3752C2ED" w15:paraIdParent="2451A175" w15:done="0"/>
  <w15:commentEx w15:paraId="68BB2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8348" w14:textId="77777777" w:rsidR="007E4200" w:rsidRDefault="007E4200">
      <w:pPr>
        <w:spacing w:after="0"/>
      </w:pPr>
      <w:r>
        <w:separator/>
      </w:r>
    </w:p>
  </w:endnote>
  <w:endnote w:type="continuationSeparator" w:id="0">
    <w:p w14:paraId="36231208" w14:textId="77777777" w:rsidR="007E4200" w:rsidRDefault="007E4200">
      <w:pPr>
        <w:spacing w:after="0"/>
      </w:pPr>
      <w:r>
        <w:continuationSeparator/>
      </w:r>
    </w:p>
  </w:endnote>
  <w:endnote w:type="continuationNotice" w:id="1">
    <w:p w14:paraId="5985A78E" w14:textId="77777777" w:rsidR="007E4200" w:rsidRDefault="007E4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916B" w14:textId="77777777" w:rsidR="002354B5" w:rsidRDefault="0023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248B" w14:textId="77777777" w:rsidR="002354B5" w:rsidRDefault="00235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76E" w14:textId="77777777" w:rsidR="002354B5" w:rsidRDefault="002354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2D0F" w:rsidRDefault="00AE2D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A366" w14:textId="77777777" w:rsidR="007E4200" w:rsidRDefault="007E4200">
      <w:pPr>
        <w:spacing w:after="0"/>
      </w:pPr>
      <w:r>
        <w:separator/>
      </w:r>
    </w:p>
  </w:footnote>
  <w:footnote w:type="continuationSeparator" w:id="0">
    <w:p w14:paraId="5F785281" w14:textId="77777777" w:rsidR="007E4200" w:rsidRDefault="007E4200">
      <w:pPr>
        <w:spacing w:after="0"/>
      </w:pPr>
      <w:r>
        <w:continuationSeparator/>
      </w:r>
    </w:p>
  </w:footnote>
  <w:footnote w:type="continuationNotice" w:id="1">
    <w:p w14:paraId="355B5B4E" w14:textId="77777777" w:rsidR="007E4200" w:rsidRDefault="007E42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AE2D0F" w:rsidRDefault="00AE2D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71C1" w14:textId="77777777" w:rsidR="002354B5" w:rsidRDefault="00235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CD6F" w14:textId="77777777" w:rsidR="002354B5" w:rsidRDefault="00235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AE2D0F" w:rsidRDefault="00AE2D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B5">
      <w:rPr>
        <w:rFonts w:ascii="Arial" w:hAnsi="Arial" w:cs="Arial"/>
        <w:b/>
        <w:noProof/>
        <w:sz w:val="18"/>
        <w:szCs w:val="18"/>
      </w:rPr>
      <w:t>5</w:t>
    </w:r>
    <w:r>
      <w:rPr>
        <w:rFonts w:ascii="Arial" w:hAnsi="Arial" w:cs="Arial"/>
        <w:b/>
        <w:sz w:val="18"/>
        <w:szCs w:val="18"/>
      </w:rPr>
      <w:fldChar w:fldCharType="end"/>
    </w:r>
  </w:p>
  <w:p w14:paraId="346C1704" w14:textId="77777777" w:rsidR="00AE2D0F" w:rsidRDefault="00AE2D0F">
    <w:pPr>
      <w:pStyle w:val="Header"/>
    </w:pPr>
  </w:p>
  <w:p w14:paraId="31BBBCD6" w14:textId="77777777" w:rsidR="00AE2D0F" w:rsidRDefault="00AE2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2240344">
    <w:abstractNumId w:val="0"/>
  </w:num>
  <w:num w:numId="2" w16cid:durableId="1581061015">
    <w:abstractNumId w:val="18"/>
  </w:num>
  <w:num w:numId="3" w16cid:durableId="174810330">
    <w:abstractNumId w:val="23"/>
  </w:num>
  <w:num w:numId="4" w16cid:durableId="96948406">
    <w:abstractNumId w:val="20"/>
  </w:num>
  <w:num w:numId="5" w16cid:durableId="2063140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7408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8551">
    <w:abstractNumId w:val="7"/>
  </w:num>
  <w:num w:numId="8" w16cid:durableId="1841651821">
    <w:abstractNumId w:val="6"/>
  </w:num>
  <w:num w:numId="9" w16cid:durableId="179011153">
    <w:abstractNumId w:val="5"/>
  </w:num>
  <w:num w:numId="10" w16cid:durableId="93592593">
    <w:abstractNumId w:val="4"/>
  </w:num>
  <w:num w:numId="11" w16cid:durableId="1028216883">
    <w:abstractNumId w:val="3"/>
  </w:num>
  <w:num w:numId="12" w16cid:durableId="1316563689">
    <w:abstractNumId w:val="2"/>
  </w:num>
  <w:num w:numId="13" w16cid:durableId="433332370">
    <w:abstractNumId w:val="1"/>
  </w:num>
  <w:num w:numId="14" w16cid:durableId="571354646">
    <w:abstractNumId w:val="25"/>
  </w:num>
  <w:num w:numId="15" w16cid:durableId="65417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249850">
    <w:abstractNumId w:val="9"/>
  </w:num>
  <w:num w:numId="17" w16cid:durableId="559901493">
    <w:abstractNumId w:val="26"/>
  </w:num>
  <w:num w:numId="18" w16cid:durableId="1243611952">
    <w:abstractNumId w:val="11"/>
  </w:num>
  <w:num w:numId="19" w16cid:durableId="854998388">
    <w:abstractNumId w:val="33"/>
  </w:num>
  <w:num w:numId="20" w16cid:durableId="383456224">
    <w:abstractNumId w:val="14"/>
  </w:num>
  <w:num w:numId="21" w16cid:durableId="1817795694">
    <w:abstractNumId w:val="8"/>
  </w:num>
  <w:num w:numId="22" w16cid:durableId="295836487">
    <w:abstractNumId w:val="27"/>
  </w:num>
  <w:num w:numId="23" w16cid:durableId="336082782">
    <w:abstractNumId w:val="15"/>
  </w:num>
  <w:num w:numId="24" w16cid:durableId="1349066820">
    <w:abstractNumId w:val="16"/>
  </w:num>
  <w:num w:numId="25" w16cid:durableId="571240480">
    <w:abstractNumId w:val="29"/>
  </w:num>
  <w:num w:numId="26" w16cid:durableId="1478305358">
    <w:abstractNumId w:val="12"/>
  </w:num>
  <w:num w:numId="27" w16cid:durableId="1133526907">
    <w:abstractNumId w:val="22"/>
  </w:num>
  <w:num w:numId="28" w16cid:durableId="1561819577">
    <w:abstractNumId w:val="17"/>
  </w:num>
  <w:num w:numId="29" w16cid:durableId="406609342">
    <w:abstractNumId w:val="30"/>
  </w:num>
  <w:num w:numId="30" w16cid:durableId="523595058">
    <w:abstractNumId w:val="10"/>
  </w:num>
  <w:num w:numId="31" w16cid:durableId="671294976">
    <w:abstractNumId w:val="29"/>
  </w:num>
  <w:num w:numId="32" w16cid:durableId="1416435345">
    <w:abstractNumId w:val="21"/>
  </w:num>
  <w:num w:numId="33" w16cid:durableId="1376662659">
    <w:abstractNumId w:val="19"/>
  </w:num>
  <w:num w:numId="34" w16cid:durableId="201207662">
    <w:abstractNumId w:val="28"/>
  </w:num>
  <w:num w:numId="35" w16cid:durableId="719019366">
    <w:abstractNumId w:val="24"/>
  </w:num>
  <w:num w:numId="36" w16cid:durableId="1975256799">
    <w:abstractNumId w:val="31"/>
  </w:num>
  <w:num w:numId="37" w16cid:durableId="110250322">
    <w:abstractNumId w:val="32"/>
  </w:num>
  <w:num w:numId="38" w16cid:durableId="1104031823">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E7C99DB-F7C9-4236-A8B4-E59A25DB9681}">
  <ds:schemaRefs>
    <ds:schemaRef ds:uri="http://schemas.openxmlformats.org/officeDocument/2006/bibliography"/>
  </ds:schemaRefs>
</ds:datastoreItem>
</file>

<file path=customXml/itemProps4.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3724</Words>
  <Characters>21227</Characters>
  <Application>Microsoft Office Word</Application>
  <DocSecurity>0</DocSecurity>
  <Lines>176</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Qualcomm-Bharat</cp:lastModifiedBy>
  <cp:revision>5</cp:revision>
  <cp:lastPrinted>2017-05-08T10:55:00Z</cp:lastPrinted>
  <dcterms:created xsi:type="dcterms:W3CDTF">2022-10-20T10:52:00Z</dcterms:created>
  <dcterms:modified xsi:type="dcterms:W3CDTF">2022-10-20T19:07:00Z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(3)f+d3TI1n4J1gjEIk+ihYHSUEZnHnc6mOkwM2gpR8np+46+wV0NM0SAnnBpnv2e0nY9ff7nnt
lQZdfhQVJASEBCQ49GjyvAf+WpjcnbeKXwxbOeuKFgKPH+PhC0xJUfgXJ0qfUbL8Vw5faP8b
Hb+H2bSvLP0Gm4GtDEI3BCu5SoBekt7SSTibO7vuAhEiEwmnMpB2GH5r8cqGGplRlyItPPUU
+FW4W2AKsV6HCbd3w1</vt:lpwstr>
  </property>
  <property fmtid="{D5CDD505-2E9C-101B-9397-08002B2CF9AE}" pid="60" name="_2015_ms_pID_7253431">
    <vt:lpwstr>i9QakfU7OzOWDC7UeieREdslJb1KKD+W4yst791YWKUbefvAkJsjrQ
yTW6ht+oxl1by2niffUrH8pM51PTk8NOgNbwcPr7xsQPZHDoMEVneuKZPtbUawg/bqAuACYK
Cyln0Ocp80nHrHrSgk826MdtKf8Ok1RH5E4cv7aoBIYarg3UNTQ34iuNw/ARlVg7yYGWqy3h
DRujuONgbTdwYwzvsJZkvRmAKK803Hj4KdU+</vt:lpwstr>
  </property>
  <property fmtid="{D5CDD505-2E9C-101B-9397-08002B2CF9AE}" pid="61" name="_2015_ms_pID_7253432">
    <vt:lpwstr>1xeKb34YeiiV6Kb+19AENco=</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1666141208</vt:lpwstr>
  </property>
</Properties>
</file>