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746C0E" w14:textId="77777777" w:rsidR="007159BE" w:rsidRDefault="007D3121">
      <w:pPr>
        <w:pStyle w:val="3GPPHeader"/>
        <w:spacing w:after="60"/>
        <w:rPr>
          <w:sz w:val="32"/>
          <w:szCs w:val="32"/>
          <w:highlight w:val="yellow"/>
        </w:rPr>
      </w:pPr>
      <w:r>
        <w:t>3GPP TSG-RAN WG2 #120</w:t>
      </w:r>
      <w:r>
        <w:tab/>
      </w:r>
      <w:proofErr w:type="spellStart"/>
      <w:r>
        <w:rPr>
          <w:sz w:val="32"/>
          <w:szCs w:val="32"/>
        </w:rPr>
        <w:t>Tdoc</w:t>
      </w:r>
      <w:proofErr w:type="spellEnd"/>
      <w:r>
        <w:rPr>
          <w:sz w:val="32"/>
          <w:szCs w:val="32"/>
        </w:rPr>
        <w:t xml:space="preserve"> R2-22</w:t>
      </w:r>
      <w:r>
        <w:rPr>
          <w:sz w:val="32"/>
          <w:szCs w:val="32"/>
          <w:highlight w:val="yellow"/>
        </w:rPr>
        <w:t>xxxxx</w:t>
      </w:r>
    </w:p>
    <w:p w14:paraId="516215C0" w14:textId="77777777" w:rsidR="007159BE" w:rsidRDefault="007D3121">
      <w:pPr>
        <w:pStyle w:val="3GPPHeader"/>
      </w:pPr>
      <w:r>
        <w:t>Electronic meeting, 2022-08-17 - 2022-08-29</w:t>
      </w:r>
    </w:p>
    <w:p w14:paraId="3AE93739" w14:textId="77777777" w:rsidR="007159BE" w:rsidRDefault="007159BE">
      <w:pPr>
        <w:pStyle w:val="3GPPHeader"/>
      </w:pPr>
    </w:p>
    <w:p w14:paraId="1FF862B2" w14:textId="77777777" w:rsidR="007159BE" w:rsidRDefault="007D3121">
      <w:pPr>
        <w:pStyle w:val="3GPPHeader"/>
        <w:rPr>
          <w:sz w:val="22"/>
          <w:szCs w:val="22"/>
        </w:rPr>
      </w:pPr>
      <w:r>
        <w:rPr>
          <w:sz w:val="22"/>
          <w:szCs w:val="22"/>
        </w:rPr>
        <w:t>Agenda Item:</w:t>
      </w:r>
      <w:r>
        <w:rPr>
          <w:sz w:val="22"/>
          <w:szCs w:val="22"/>
        </w:rPr>
        <w:tab/>
      </w:r>
      <w:proofErr w:type="spellStart"/>
      <w:r>
        <w:rPr>
          <w:sz w:val="22"/>
          <w:szCs w:val="22"/>
          <w:highlight w:val="yellow"/>
        </w:rPr>
        <w:t>x.x.x.x</w:t>
      </w:r>
      <w:proofErr w:type="spellEnd"/>
    </w:p>
    <w:p w14:paraId="16EF0A1A" w14:textId="77777777" w:rsidR="007159BE" w:rsidRDefault="007D3121">
      <w:pPr>
        <w:pStyle w:val="3GPPHeader"/>
        <w:rPr>
          <w:sz w:val="22"/>
          <w:szCs w:val="22"/>
        </w:rPr>
      </w:pPr>
      <w:r>
        <w:rPr>
          <w:sz w:val="22"/>
          <w:szCs w:val="22"/>
        </w:rPr>
        <w:t>Source:</w:t>
      </w:r>
      <w:r>
        <w:rPr>
          <w:sz w:val="22"/>
          <w:szCs w:val="22"/>
        </w:rPr>
        <w:tab/>
        <w:t>Ericsson</w:t>
      </w:r>
    </w:p>
    <w:p w14:paraId="6B634D34" w14:textId="77777777" w:rsidR="007159BE" w:rsidRDefault="007D3121">
      <w:pPr>
        <w:pStyle w:val="3GPPHeader"/>
        <w:rPr>
          <w:sz w:val="22"/>
          <w:szCs w:val="22"/>
        </w:rPr>
      </w:pPr>
      <w:r>
        <w:rPr>
          <w:sz w:val="22"/>
          <w:szCs w:val="22"/>
        </w:rPr>
        <w:t>Title:</w:t>
      </w:r>
      <w:r>
        <w:rPr>
          <w:sz w:val="22"/>
          <w:szCs w:val="22"/>
        </w:rPr>
        <w:tab/>
        <w:t>Report from [Post119-e][650][IDC] Comparison of FDM solutions (Ericsson)</w:t>
      </w:r>
    </w:p>
    <w:p w14:paraId="5B95A1D9" w14:textId="77777777" w:rsidR="007159BE" w:rsidRDefault="007D3121">
      <w:pPr>
        <w:pStyle w:val="3GPPHeader"/>
        <w:rPr>
          <w:sz w:val="22"/>
          <w:szCs w:val="22"/>
        </w:rPr>
      </w:pPr>
      <w:r>
        <w:rPr>
          <w:sz w:val="22"/>
          <w:szCs w:val="22"/>
        </w:rPr>
        <w:t>Document for:</w:t>
      </w:r>
      <w:r>
        <w:rPr>
          <w:sz w:val="22"/>
          <w:szCs w:val="22"/>
        </w:rPr>
        <w:tab/>
        <w:t>Discussion, Decision</w:t>
      </w:r>
    </w:p>
    <w:p w14:paraId="166EF9A5" w14:textId="77777777" w:rsidR="007159BE" w:rsidRDefault="007159BE"/>
    <w:p w14:paraId="3A6BF36D" w14:textId="77777777" w:rsidR="007159BE" w:rsidRDefault="007D3121">
      <w:pPr>
        <w:pStyle w:val="1"/>
      </w:pPr>
      <w:r>
        <w:t>1</w:t>
      </w:r>
      <w:r>
        <w:tab/>
        <w:t>Introduction</w:t>
      </w:r>
    </w:p>
    <w:p w14:paraId="5A66772F" w14:textId="77777777" w:rsidR="007159BE" w:rsidRDefault="007D3121">
      <w:pPr>
        <w:pStyle w:val="a6"/>
      </w:pPr>
      <w:r>
        <w:t>This is the report from the following email discussion.</w:t>
      </w:r>
    </w:p>
    <w:p w14:paraId="27F73711" w14:textId="77777777" w:rsidR="007159BE" w:rsidRDefault="007D3121">
      <w:pPr>
        <w:pStyle w:val="EmailDiscussion"/>
        <w:overflowPunct/>
        <w:autoSpaceDE/>
        <w:autoSpaceDN/>
        <w:adjustRightInd/>
        <w:textAlignment w:val="auto"/>
        <w:rPr>
          <w:rFonts w:eastAsia="Times New Roman"/>
          <w:szCs w:val="20"/>
          <w:lang w:eastAsia="zh-CN"/>
        </w:rPr>
      </w:pPr>
      <w:r>
        <w:t>[Post119-e][650][IDC] Comparison of FDM solutions (Ericsson)</w:t>
      </w:r>
    </w:p>
    <w:p w14:paraId="52085DB8" w14:textId="77777777" w:rsidR="007159BE" w:rsidRDefault="007D3121">
      <w:pPr>
        <w:pStyle w:val="EmailDiscussion2"/>
      </w:pPr>
      <w:r>
        <w:t xml:space="preserve">      </w:t>
      </w:r>
      <w:r>
        <w:tab/>
        <w:t xml:space="preserve">Scope: Analyse the details of FDM candidate solutions raised in </w:t>
      </w:r>
      <w:r w:rsidRPr="00B926CF">
        <w:rPr>
          <w:highlight w:val="green"/>
        </w:rPr>
        <w:t>R2-2208951</w:t>
      </w:r>
      <w:r>
        <w:t>, and compare solutions , e.g. applied scenarios (e.g. serving, non-serving, different MR-DC architecture), complexity (e.g. Unified for all scenarios or not), etc;</w:t>
      </w:r>
    </w:p>
    <w:p w14:paraId="26002DD1" w14:textId="77777777" w:rsidR="007159BE" w:rsidRDefault="007D3121">
      <w:pPr>
        <w:pStyle w:val="EmailDiscussion2"/>
        <w:ind w:firstLine="0"/>
        <w:rPr>
          <w:rFonts w:cs="Arial"/>
          <w:szCs w:val="20"/>
        </w:rPr>
      </w:pPr>
      <w:r>
        <w:t>Intended outcome: Report to RAN2#120</w:t>
      </w:r>
    </w:p>
    <w:p w14:paraId="6FEA79D3" w14:textId="77777777" w:rsidR="007159BE" w:rsidRDefault="007D3121">
      <w:pPr>
        <w:pStyle w:val="EmailDiscussion2"/>
        <w:ind w:firstLine="0"/>
        <w:rPr>
          <w:rFonts w:cs="Arial"/>
          <w:szCs w:val="20"/>
        </w:rPr>
      </w:pPr>
      <w:r>
        <w:t xml:space="preserve">Deadline:  </w:t>
      </w:r>
      <w:r w:rsidRPr="001E20DA">
        <w:rPr>
          <w:highlight w:val="green"/>
        </w:rPr>
        <w:t>Nov 3</w:t>
      </w:r>
      <w:r w:rsidRPr="001E20DA">
        <w:rPr>
          <w:highlight w:val="green"/>
          <w:vertAlign w:val="superscript"/>
        </w:rPr>
        <w:t>rd</w:t>
      </w:r>
      <w:r>
        <w:t xml:space="preserve"> (Rapporteur may introduce intermediate deadlines, but no deadline during an inactive period, and no deadline in the period from </w:t>
      </w:r>
      <w:proofErr w:type="spellStart"/>
      <w:r>
        <w:t>Submisssion</w:t>
      </w:r>
      <w:proofErr w:type="spellEnd"/>
      <w:r>
        <w:t xml:space="preserve"> deadline to EOM of R2-119bis).</w:t>
      </w:r>
    </w:p>
    <w:p w14:paraId="115077C2" w14:textId="77777777" w:rsidR="007159BE" w:rsidRDefault="007159BE">
      <w:pPr>
        <w:pStyle w:val="a6"/>
      </w:pPr>
    </w:p>
    <w:p w14:paraId="570F1ABA" w14:textId="77777777" w:rsidR="007159BE" w:rsidRDefault="007D3121">
      <w:pPr>
        <w:pStyle w:val="a6"/>
        <w:rPr>
          <w:color w:val="FF0000"/>
        </w:rPr>
      </w:pPr>
      <w:r>
        <w:rPr>
          <w:color w:val="FF0000"/>
        </w:rPr>
        <w:t xml:space="preserve">Please provide input by </w:t>
      </w:r>
      <w:r w:rsidRPr="001E20DA">
        <w:rPr>
          <w:b/>
          <w:bCs/>
          <w:color w:val="FF0000"/>
          <w:highlight w:val="green"/>
        </w:rPr>
        <w:t>31</w:t>
      </w:r>
      <w:r w:rsidRPr="001E20DA">
        <w:rPr>
          <w:b/>
          <w:bCs/>
          <w:color w:val="FF0000"/>
          <w:highlight w:val="green"/>
          <w:vertAlign w:val="superscript"/>
        </w:rPr>
        <w:t>st</w:t>
      </w:r>
      <w:r w:rsidRPr="001E20DA">
        <w:rPr>
          <w:b/>
          <w:bCs/>
          <w:color w:val="FF0000"/>
          <w:highlight w:val="green"/>
        </w:rPr>
        <w:t xml:space="preserve"> October 23:59 UTC</w:t>
      </w:r>
      <w:r>
        <w:rPr>
          <w:color w:val="FF0000"/>
        </w:rPr>
        <w:t xml:space="preserve"> to give time to compile the report.</w:t>
      </w:r>
    </w:p>
    <w:p w14:paraId="798135D2" w14:textId="77777777" w:rsidR="007159BE" w:rsidRDefault="007159BE">
      <w:pPr>
        <w:pStyle w:val="a6"/>
      </w:pPr>
    </w:p>
    <w:p w14:paraId="6CFABAD6" w14:textId="77777777" w:rsidR="007159BE" w:rsidRDefault="007D3121">
      <w:pPr>
        <w:rPr>
          <w:rFonts w:ascii="Arial" w:hAnsi="Arial"/>
          <w:lang w:eastAsia="zh-CN"/>
        </w:rPr>
      </w:pPr>
      <w:r>
        <w:rPr>
          <w:rFonts w:ascii="Arial" w:hAnsi="Arial"/>
          <w:lang w:eastAsia="zh-CN"/>
        </w:rPr>
        <w:t>Please take note of the guidance provided by the Chair:</w:t>
      </w:r>
    </w:p>
    <w:tbl>
      <w:tblPr>
        <w:tblStyle w:val="afc"/>
        <w:tblW w:w="0" w:type="auto"/>
        <w:tblLook w:val="04A0" w:firstRow="1" w:lastRow="0" w:firstColumn="1" w:lastColumn="0" w:noHBand="0" w:noVBand="1"/>
      </w:tblPr>
      <w:tblGrid>
        <w:gridCol w:w="9629"/>
      </w:tblGrid>
      <w:tr w:rsidR="007159BE" w14:paraId="21494F4D" w14:textId="77777777">
        <w:tc>
          <w:tcPr>
            <w:tcW w:w="9631" w:type="dxa"/>
          </w:tcPr>
          <w:p w14:paraId="69DEA631" w14:textId="77777777" w:rsidR="007159BE" w:rsidRDefault="007D3121">
            <w:pPr>
              <w:rPr>
                <w:rFonts w:ascii="Arial" w:eastAsia="Times New Roman" w:hAnsi="Arial"/>
                <w:sz w:val="20"/>
                <w:szCs w:val="20"/>
                <w:lang w:eastAsia="zh-CN"/>
              </w:rPr>
            </w:pPr>
            <w:r>
              <w:rPr>
                <w:rFonts w:ascii="Arial" w:eastAsia="Times New Roman" w:hAnsi="Arial"/>
                <w:sz w:val="20"/>
                <w:szCs w:val="20"/>
                <w:lang w:eastAsia="zh-CN"/>
              </w:rPr>
              <w:t xml:space="preserve">Extra Long email discussions after R2-119-e, for R2-120, Deadline: Nov 3rd </w:t>
            </w:r>
          </w:p>
          <w:p w14:paraId="1D9A88C9" w14:textId="77777777" w:rsidR="007159BE" w:rsidRDefault="007D3121">
            <w:pPr>
              <w:rPr>
                <w:rFonts w:ascii="Arial" w:eastAsia="Times New Roman" w:hAnsi="Arial"/>
                <w:sz w:val="20"/>
                <w:szCs w:val="20"/>
                <w:lang w:eastAsia="zh-CN"/>
              </w:rPr>
            </w:pPr>
            <w:r>
              <w:rPr>
                <w:rFonts w:ascii="Arial" w:eastAsia="Times New Roman" w:hAnsi="Arial"/>
                <w:sz w:val="20"/>
                <w:szCs w:val="20"/>
                <w:lang w:eastAsia="zh-CN"/>
              </w:rPr>
              <w:t xml:space="preserve">Outcome </w:t>
            </w:r>
            <w:proofErr w:type="spellStart"/>
            <w:r>
              <w:rPr>
                <w:rFonts w:ascii="Arial" w:eastAsia="Times New Roman" w:hAnsi="Arial"/>
                <w:sz w:val="20"/>
                <w:szCs w:val="20"/>
                <w:lang w:eastAsia="zh-CN"/>
              </w:rPr>
              <w:t>tdocs</w:t>
            </w:r>
            <w:proofErr w:type="spellEnd"/>
            <w:r>
              <w:rPr>
                <w:rFonts w:ascii="Arial" w:eastAsia="Times New Roman" w:hAnsi="Arial"/>
                <w:sz w:val="20"/>
                <w:szCs w:val="20"/>
                <w:lang w:eastAsia="zh-CN"/>
              </w:rPr>
              <w:t xml:space="preserve"> for long email discussions shall be submitted to RAN2 120-e (Nov meeting). Please request </w:t>
            </w:r>
            <w:proofErr w:type="spellStart"/>
            <w:r>
              <w:rPr>
                <w:rFonts w:ascii="Arial" w:eastAsia="Times New Roman" w:hAnsi="Arial"/>
                <w:sz w:val="20"/>
                <w:szCs w:val="20"/>
                <w:lang w:eastAsia="zh-CN"/>
              </w:rPr>
              <w:t>tdoc</w:t>
            </w:r>
            <w:proofErr w:type="spellEnd"/>
            <w:r>
              <w:rPr>
                <w:rFonts w:ascii="Arial" w:eastAsia="Times New Roman" w:hAnsi="Arial"/>
                <w:sz w:val="20"/>
                <w:szCs w:val="20"/>
                <w:lang w:eastAsia="zh-CN"/>
              </w:rPr>
              <w:t xml:space="preserve"> numbers as for any other input </w:t>
            </w:r>
            <w:proofErr w:type="spellStart"/>
            <w:r>
              <w:rPr>
                <w:rFonts w:ascii="Arial" w:eastAsia="Times New Roman" w:hAnsi="Arial"/>
                <w:sz w:val="20"/>
                <w:szCs w:val="20"/>
                <w:lang w:eastAsia="zh-CN"/>
              </w:rPr>
              <w:t>tdoc</w:t>
            </w:r>
            <w:proofErr w:type="spellEnd"/>
            <w:r>
              <w:rPr>
                <w:rFonts w:ascii="Arial" w:eastAsia="Times New Roman" w:hAnsi="Arial"/>
                <w:sz w:val="20"/>
                <w:szCs w:val="20"/>
                <w:lang w:eastAsia="zh-CN"/>
              </w:rPr>
              <w:t xml:space="preserve"> to next meeting, i.e. by 3GU. </w:t>
            </w:r>
          </w:p>
          <w:p w14:paraId="4C7E3879" w14:textId="77777777" w:rsidR="007159BE" w:rsidRDefault="007D3121">
            <w:r>
              <w:rPr>
                <w:rFonts w:ascii="Arial" w:eastAsia="Times New Roman" w:hAnsi="Arial"/>
                <w:sz w:val="20"/>
                <w:szCs w:val="20"/>
                <w:lang w:eastAsia="zh-CN"/>
              </w:rPr>
              <w:t>NOTE that these discussions shall consider the duration of R2 119bis-e to be an inactive period (in addition to the general 3GPP inactive periods).</w:t>
            </w:r>
            <w:r>
              <w:t xml:space="preserve"> </w:t>
            </w:r>
          </w:p>
        </w:tc>
      </w:tr>
    </w:tbl>
    <w:p w14:paraId="1474128B" w14:textId="77777777" w:rsidR="007159BE" w:rsidRDefault="007159BE">
      <w:pPr>
        <w:pStyle w:val="a6"/>
      </w:pPr>
    </w:p>
    <w:p w14:paraId="43F8229B" w14:textId="77777777" w:rsidR="007159BE" w:rsidRDefault="007D3121">
      <w:pPr>
        <w:rPr>
          <w:rFonts w:ascii="Arial" w:hAnsi="Arial"/>
          <w:lang w:eastAsia="zh-CN"/>
        </w:rPr>
      </w:pPr>
      <w:r>
        <w:rPr>
          <w:rFonts w:ascii="Arial" w:hAnsi="Arial"/>
          <w:lang w:eastAsia="zh-CN"/>
        </w:rPr>
        <w:t>In RAN2-119e the following was agreed:</w:t>
      </w:r>
    </w:p>
    <w:p w14:paraId="2154726C" w14:textId="77777777" w:rsidR="007159BE" w:rsidRPr="00B23851" w:rsidRDefault="007D3121">
      <w:pPr>
        <w:pStyle w:val="Doc-text2"/>
        <w:pBdr>
          <w:top w:val="single" w:sz="4" w:space="1" w:color="auto"/>
          <w:left w:val="single" w:sz="4" w:space="4" w:color="auto"/>
          <w:bottom w:val="single" w:sz="4" w:space="1" w:color="auto"/>
          <w:right w:val="single" w:sz="4" w:space="4" w:color="auto"/>
        </w:pBdr>
        <w:ind w:left="0" w:firstLine="0"/>
        <w:rPr>
          <w:lang w:val="en-US"/>
        </w:rPr>
      </w:pPr>
      <w:r w:rsidRPr="00B23851">
        <w:rPr>
          <w:lang w:val="en-US"/>
        </w:rPr>
        <w:t>Agreements:</w:t>
      </w:r>
    </w:p>
    <w:p w14:paraId="3FB6521B" w14:textId="77777777" w:rsidR="007159BE" w:rsidRPr="00B23851" w:rsidRDefault="007D3121">
      <w:pPr>
        <w:pStyle w:val="Doc-text2"/>
        <w:pBdr>
          <w:top w:val="single" w:sz="4" w:space="1" w:color="auto"/>
          <w:left w:val="single" w:sz="4" w:space="4" w:color="auto"/>
          <w:bottom w:val="single" w:sz="4" w:space="1" w:color="auto"/>
          <w:right w:val="single" w:sz="4" w:space="4" w:color="auto"/>
        </w:pBdr>
        <w:ind w:left="0" w:firstLine="0"/>
        <w:rPr>
          <w:lang w:val="en-US"/>
        </w:rPr>
      </w:pPr>
      <w:r w:rsidRPr="00B23851">
        <w:rPr>
          <w:lang w:val="en-US"/>
        </w:rPr>
        <w:t>1 The Adjacent channel interference between NR Stand Alone (SA) or MN of NR-DC and non-3GPP should be considered for the FDM enhancement in Rel.18.</w:t>
      </w:r>
    </w:p>
    <w:p w14:paraId="5078AA7A" w14:textId="77777777" w:rsidR="007159BE" w:rsidRPr="00B23851" w:rsidRDefault="007159BE">
      <w:pPr>
        <w:pStyle w:val="Doc-text2"/>
        <w:pBdr>
          <w:top w:val="single" w:sz="4" w:space="1" w:color="auto"/>
          <w:left w:val="single" w:sz="4" w:space="4" w:color="auto"/>
          <w:bottom w:val="single" w:sz="4" w:space="1" w:color="auto"/>
          <w:right w:val="single" w:sz="4" w:space="4" w:color="auto"/>
        </w:pBdr>
        <w:ind w:left="0" w:firstLine="0"/>
        <w:rPr>
          <w:lang w:val="en-US"/>
        </w:rPr>
      </w:pPr>
    </w:p>
    <w:p w14:paraId="4030EDE6" w14:textId="77777777" w:rsidR="007159BE" w:rsidRPr="00B23851" w:rsidRDefault="007D3121">
      <w:pPr>
        <w:pStyle w:val="Doc-text2"/>
        <w:pBdr>
          <w:top w:val="single" w:sz="4" w:space="1" w:color="auto"/>
          <w:left w:val="single" w:sz="4" w:space="4" w:color="auto"/>
          <w:bottom w:val="single" w:sz="4" w:space="1" w:color="auto"/>
          <w:right w:val="single" w:sz="4" w:space="4" w:color="auto"/>
        </w:pBdr>
        <w:ind w:left="0" w:firstLine="0"/>
        <w:rPr>
          <w:lang w:val="en-US"/>
        </w:rPr>
      </w:pPr>
      <w:r w:rsidRPr="00B23851">
        <w:rPr>
          <w:lang w:val="en-US"/>
        </w:rPr>
        <w:t>2 The Adjacent channel interference between SN (NR) of MR-DC and non-3GPP  should be considered for the FDM enhancement in Rel.18.</w:t>
      </w:r>
    </w:p>
    <w:p w14:paraId="302379C1" w14:textId="77777777" w:rsidR="007159BE" w:rsidRPr="00B23851" w:rsidRDefault="007159BE">
      <w:pPr>
        <w:pStyle w:val="Doc-text2"/>
        <w:pBdr>
          <w:top w:val="single" w:sz="4" w:space="1" w:color="auto"/>
          <w:left w:val="single" w:sz="4" w:space="4" w:color="auto"/>
          <w:bottom w:val="single" w:sz="4" w:space="1" w:color="auto"/>
          <w:right w:val="single" w:sz="4" w:space="4" w:color="auto"/>
        </w:pBdr>
        <w:ind w:left="0" w:firstLine="0"/>
        <w:rPr>
          <w:lang w:val="en-US"/>
        </w:rPr>
      </w:pPr>
    </w:p>
    <w:p w14:paraId="5C02BBDA" w14:textId="77777777" w:rsidR="007159BE" w:rsidRPr="00B23851" w:rsidRDefault="007D3121">
      <w:pPr>
        <w:pStyle w:val="Doc-text2"/>
        <w:pBdr>
          <w:top w:val="single" w:sz="4" w:space="1" w:color="auto"/>
          <w:left w:val="single" w:sz="4" w:space="4" w:color="auto"/>
          <w:bottom w:val="single" w:sz="4" w:space="1" w:color="auto"/>
          <w:right w:val="single" w:sz="4" w:space="4" w:color="auto"/>
        </w:pBdr>
        <w:ind w:left="0" w:firstLine="0"/>
        <w:rPr>
          <w:lang w:val="en-US"/>
        </w:rPr>
      </w:pPr>
      <w:r w:rsidRPr="00B23851">
        <w:rPr>
          <w:lang w:val="en-US"/>
        </w:rPr>
        <w:t xml:space="preserve">3 NE-DC is not considered; We will work on NR </w:t>
      </w:r>
      <w:proofErr w:type="spellStart"/>
      <w:r w:rsidRPr="00B23851">
        <w:rPr>
          <w:lang w:val="en-US"/>
        </w:rPr>
        <w:t>freq</w:t>
      </w:r>
      <w:proofErr w:type="spellEnd"/>
      <w:r w:rsidRPr="00B23851">
        <w:rPr>
          <w:lang w:val="en-US"/>
        </w:rPr>
        <w:t xml:space="preserve"> as SA NR case. </w:t>
      </w:r>
    </w:p>
    <w:p w14:paraId="6FED72C2" w14:textId="77777777" w:rsidR="007159BE" w:rsidRPr="00B23851" w:rsidRDefault="007159BE">
      <w:pPr>
        <w:pStyle w:val="Doc-text2"/>
        <w:pBdr>
          <w:top w:val="single" w:sz="4" w:space="1" w:color="auto"/>
          <w:left w:val="single" w:sz="4" w:space="4" w:color="auto"/>
          <w:bottom w:val="single" w:sz="4" w:space="1" w:color="auto"/>
          <w:right w:val="single" w:sz="4" w:space="4" w:color="auto"/>
        </w:pBdr>
        <w:ind w:left="0" w:firstLine="0"/>
        <w:rPr>
          <w:lang w:val="en-US"/>
        </w:rPr>
      </w:pPr>
    </w:p>
    <w:p w14:paraId="03587125" w14:textId="77777777" w:rsidR="007159BE" w:rsidRPr="00B23851" w:rsidRDefault="007D3121">
      <w:pPr>
        <w:pStyle w:val="Doc-text2"/>
        <w:pBdr>
          <w:top w:val="single" w:sz="4" w:space="1" w:color="auto"/>
          <w:left w:val="single" w:sz="4" w:space="4" w:color="auto"/>
          <w:bottom w:val="single" w:sz="4" w:space="1" w:color="auto"/>
          <w:right w:val="single" w:sz="4" w:space="4" w:color="auto"/>
        </w:pBdr>
        <w:ind w:left="0" w:firstLine="0"/>
        <w:rPr>
          <w:lang w:val="en-US"/>
        </w:rPr>
      </w:pPr>
      <w:r w:rsidRPr="00B23851">
        <w:rPr>
          <w:lang w:val="en-US"/>
        </w:rPr>
        <w:t xml:space="preserve">4 We will not consider the enhancements on E-UTRA </w:t>
      </w:r>
      <w:proofErr w:type="spellStart"/>
      <w:r w:rsidRPr="00B23851">
        <w:rPr>
          <w:lang w:val="en-US"/>
        </w:rPr>
        <w:t>freq</w:t>
      </w:r>
      <w:proofErr w:type="spellEnd"/>
      <w:r w:rsidRPr="00B23851">
        <w:rPr>
          <w:lang w:val="en-US"/>
        </w:rPr>
        <w:t xml:space="preserve"> for EN-DC scenario. </w:t>
      </w:r>
    </w:p>
    <w:p w14:paraId="72F944DF" w14:textId="77777777" w:rsidR="007159BE" w:rsidRPr="00B23851" w:rsidRDefault="007159BE">
      <w:pPr>
        <w:pStyle w:val="Doc-text2"/>
        <w:pBdr>
          <w:top w:val="single" w:sz="4" w:space="1" w:color="auto"/>
          <w:left w:val="single" w:sz="4" w:space="4" w:color="auto"/>
          <w:bottom w:val="single" w:sz="4" w:space="1" w:color="auto"/>
          <w:right w:val="single" w:sz="4" w:space="4" w:color="auto"/>
        </w:pBdr>
        <w:ind w:left="0" w:firstLine="0"/>
        <w:rPr>
          <w:lang w:val="en-US"/>
        </w:rPr>
      </w:pPr>
    </w:p>
    <w:p w14:paraId="5FD41433" w14:textId="77777777" w:rsidR="007159BE" w:rsidRPr="00B23851" w:rsidRDefault="007D3121">
      <w:pPr>
        <w:pStyle w:val="Doc-text2"/>
        <w:pBdr>
          <w:top w:val="single" w:sz="4" w:space="1" w:color="auto"/>
          <w:left w:val="single" w:sz="4" w:space="4" w:color="auto"/>
          <w:bottom w:val="single" w:sz="4" w:space="1" w:color="auto"/>
          <w:right w:val="single" w:sz="4" w:space="4" w:color="auto"/>
        </w:pBdr>
        <w:ind w:left="0" w:firstLine="0"/>
        <w:rPr>
          <w:lang w:val="en-US"/>
        </w:rPr>
      </w:pPr>
      <w:r w:rsidRPr="00B23851">
        <w:rPr>
          <w:lang w:val="en-US"/>
        </w:rPr>
        <w:t xml:space="preserve">FFS, on </w:t>
      </w:r>
      <w:proofErr w:type="spellStart"/>
      <w:r w:rsidRPr="00B23851">
        <w:rPr>
          <w:lang w:val="en-US"/>
        </w:rPr>
        <w:t>signalling</w:t>
      </w:r>
      <w:proofErr w:type="spellEnd"/>
      <w:r w:rsidRPr="00B23851">
        <w:rPr>
          <w:lang w:val="en-US"/>
        </w:rPr>
        <w:t xml:space="preserve"> details;</w:t>
      </w:r>
    </w:p>
    <w:p w14:paraId="6617C5A9" w14:textId="77777777" w:rsidR="007159BE" w:rsidRPr="00B23851" w:rsidRDefault="007159BE">
      <w:pPr>
        <w:pStyle w:val="Doc-text2"/>
        <w:ind w:left="0" w:firstLine="0"/>
        <w:rPr>
          <w:lang w:val="en-US"/>
        </w:rPr>
      </w:pPr>
    </w:p>
    <w:p w14:paraId="3906DC21" w14:textId="77777777" w:rsidR="007159BE" w:rsidRPr="00B23851" w:rsidRDefault="007D3121">
      <w:pPr>
        <w:pStyle w:val="Doc-text2"/>
        <w:pBdr>
          <w:top w:val="single" w:sz="4" w:space="1" w:color="auto"/>
          <w:left w:val="single" w:sz="4" w:space="4" w:color="auto"/>
          <w:bottom w:val="single" w:sz="4" w:space="1" w:color="auto"/>
          <w:right w:val="single" w:sz="4" w:space="4" w:color="auto"/>
        </w:pBdr>
        <w:ind w:left="0" w:firstLine="0"/>
        <w:rPr>
          <w:lang w:val="en-US"/>
        </w:rPr>
      </w:pPr>
      <w:r w:rsidRPr="00B23851">
        <w:rPr>
          <w:lang w:val="en-US"/>
        </w:rPr>
        <w:t>Agreements:</w:t>
      </w:r>
    </w:p>
    <w:p w14:paraId="5737C1DE" w14:textId="77777777" w:rsidR="007159BE" w:rsidRPr="00B23851" w:rsidRDefault="007159BE">
      <w:pPr>
        <w:pStyle w:val="Doc-text2"/>
        <w:pBdr>
          <w:top w:val="single" w:sz="4" w:space="1" w:color="auto"/>
          <w:left w:val="single" w:sz="4" w:space="4" w:color="auto"/>
          <w:bottom w:val="single" w:sz="4" w:space="1" w:color="auto"/>
          <w:right w:val="single" w:sz="4" w:space="4" w:color="auto"/>
        </w:pBdr>
        <w:ind w:left="0" w:firstLine="0"/>
        <w:rPr>
          <w:lang w:val="en-US"/>
        </w:rPr>
      </w:pPr>
    </w:p>
    <w:p w14:paraId="1115405C" w14:textId="77777777" w:rsidR="007159BE" w:rsidRPr="00B23851" w:rsidRDefault="007D3121">
      <w:pPr>
        <w:pStyle w:val="Doc-text2"/>
        <w:pBdr>
          <w:top w:val="single" w:sz="4" w:space="1" w:color="auto"/>
          <w:left w:val="single" w:sz="4" w:space="4" w:color="auto"/>
          <w:bottom w:val="single" w:sz="4" w:space="1" w:color="auto"/>
          <w:right w:val="single" w:sz="4" w:space="4" w:color="auto"/>
        </w:pBdr>
        <w:ind w:left="0" w:firstLine="0"/>
        <w:rPr>
          <w:lang w:val="en-US"/>
        </w:rPr>
      </w:pPr>
      <w:r w:rsidRPr="00B23851">
        <w:rPr>
          <w:lang w:val="en-US"/>
        </w:rPr>
        <w:lastRenderedPageBreak/>
        <w:t>1 The IMD interference from simultaneous Tx in EN-DC to non-3GPP  should be considered for the FDM enhancement in Rel.18.</w:t>
      </w:r>
    </w:p>
    <w:p w14:paraId="7752D3AC" w14:textId="77777777" w:rsidR="007159BE" w:rsidRPr="00B23851" w:rsidRDefault="007D3121">
      <w:pPr>
        <w:pStyle w:val="Doc-text2"/>
        <w:pBdr>
          <w:top w:val="single" w:sz="4" w:space="1" w:color="auto"/>
          <w:left w:val="single" w:sz="4" w:space="4" w:color="auto"/>
          <w:bottom w:val="single" w:sz="4" w:space="1" w:color="auto"/>
          <w:right w:val="single" w:sz="4" w:space="4" w:color="auto"/>
        </w:pBdr>
        <w:ind w:left="0" w:firstLine="0"/>
        <w:rPr>
          <w:lang w:val="en-US"/>
        </w:rPr>
      </w:pPr>
      <w:r w:rsidRPr="00B23851">
        <w:rPr>
          <w:lang w:val="en-US"/>
        </w:rPr>
        <w:t>2 The IMD interference from simultaneous Tx in NR-DC to non-3GPP  should be considered for the FDM enhancement in Rel.18.</w:t>
      </w:r>
    </w:p>
    <w:p w14:paraId="3F8F6DE9" w14:textId="77777777" w:rsidR="007159BE" w:rsidRPr="00B23851" w:rsidRDefault="007D3121">
      <w:pPr>
        <w:pStyle w:val="Doc-text2"/>
        <w:pBdr>
          <w:top w:val="single" w:sz="4" w:space="1" w:color="auto"/>
          <w:left w:val="single" w:sz="4" w:space="4" w:color="auto"/>
          <w:bottom w:val="single" w:sz="4" w:space="1" w:color="auto"/>
          <w:right w:val="single" w:sz="4" w:space="4" w:color="auto"/>
        </w:pBdr>
        <w:ind w:left="0" w:firstLine="0"/>
        <w:rPr>
          <w:lang w:val="en-US"/>
        </w:rPr>
      </w:pPr>
      <w:r w:rsidRPr="00B23851">
        <w:rPr>
          <w:lang w:val="en-US"/>
        </w:rPr>
        <w:t xml:space="preserve">Note: the solution (on </w:t>
      </w:r>
      <w:proofErr w:type="spellStart"/>
      <w:r w:rsidRPr="00B23851">
        <w:rPr>
          <w:lang w:val="en-US"/>
        </w:rPr>
        <w:t>freq</w:t>
      </w:r>
      <w:proofErr w:type="spellEnd"/>
      <w:r w:rsidRPr="00B23851">
        <w:rPr>
          <w:lang w:val="en-US"/>
        </w:rPr>
        <w:t xml:space="preserve"> granularity) for adjacent can be reused for IMD, we will not invent new solution on </w:t>
      </w:r>
      <w:proofErr w:type="spellStart"/>
      <w:r w:rsidRPr="00B23851">
        <w:rPr>
          <w:lang w:val="en-US"/>
        </w:rPr>
        <w:t>freq</w:t>
      </w:r>
      <w:proofErr w:type="spellEnd"/>
      <w:r w:rsidRPr="00B23851">
        <w:rPr>
          <w:lang w:val="en-US"/>
        </w:rPr>
        <w:t xml:space="preserve"> granularity for IMD. FFS on </w:t>
      </w:r>
      <w:proofErr w:type="spellStart"/>
      <w:r w:rsidRPr="00B23851">
        <w:rPr>
          <w:lang w:val="en-US"/>
        </w:rPr>
        <w:t>signalling</w:t>
      </w:r>
      <w:proofErr w:type="spellEnd"/>
      <w:r w:rsidRPr="00B23851">
        <w:rPr>
          <w:lang w:val="en-US"/>
        </w:rPr>
        <w:t xml:space="preserve"> details. </w:t>
      </w:r>
    </w:p>
    <w:p w14:paraId="7C786A5E" w14:textId="77777777" w:rsidR="007159BE" w:rsidRPr="00B23851" w:rsidRDefault="007159BE">
      <w:pPr>
        <w:pStyle w:val="Doc-text2"/>
        <w:ind w:left="0" w:firstLine="0"/>
        <w:rPr>
          <w:lang w:val="en-US"/>
        </w:rPr>
      </w:pPr>
    </w:p>
    <w:p w14:paraId="3295997A" w14:textId="77777777" w:rsidR="007159BE" w:rsidRPr="00B23851" w:rsidRDefault="007D3121">
      <w:pPr>
        <w:pStyle w:val="Doc-text2"/>
        <w:pBdr>
          <w:top w:val="single" w:sz="4" w:space="1" w:color="auto"/>
          <w:left w:val="single" w:sz="4" w:space="4" w:color="auto"/>
          <w:bottom w:val="single" w:sz="4" w:space="1" w:color="auto"/>
          <w:right w:val="single" w:sz="4" w:space="4" w:color="auto"/>
        </w:pBdr>
        <w:ind w:left="0" w:firstLine="0"/>
        <w:rPr>
          <w:lang w:val="en-US"/>
        </w:rPr>
      </w:pPr>
      <w:r w:rsidRPr="00B23851">
        <w:rPr>
          <w:lang w:val="en-US"/>
        </w:rPr>
        <w:t>Agreements:</w:t>
      </w:r>
    </w:p>
    <w:p w14:paraId="302DA494" w14:textId="77777777" w:rsidR="007159BE" w:rsidRPr="00B23851" w:rsidRDefault="007D3121">
      <w:pPr>
        <w:pStyle w:val="Doc-text2"/>
        <w:pBdr>
          <w:top w:val="single" w:sz="4" w:space="1" w:color="auto"/>
          <w:left w:val="single" w:sz="4" w:space="4" w:color="auto"/>
          <w:bottom w:val="single" w:sz="4" w:space="1" w:color="auto"/>
          <w:right w:val="single" w:sz="4" w:space="4" w:color="auto"/>
        </w:pBdr>
        <w:ind w:left="0" w:firstLine="0"/>
        <w:rPr>
          <w:lang w:val="en-US"/>
        </w:rPr>
      </w:pPr>
      <w:r w:rsidRPr="00B23851">
        <w:rPr>
          <w:lang w:val="en-US"/>
        </w:rPr>
        <w:t>1 Granular indications of the affected NR frequency reported for IDC issue needs to consider both serving and non-serving frequency as in the legacy FDM solution.</w:t>
      </w:r>
    </w:p>
    <w:p w14:paraId="620F91A3" w14:textId="77777777" w:rsidR="007159BE" w:rsidRPr="00B23851" w:rsidRDefault="007159BE">
      <w:pPr>
        <w:pStyle w:val="a6"/>
        <w:rPr>
          <w:lang w:val="en-US"/>
        </w:rPr>
      </w:pPr>
    </w:p>
    <w:p w14:paraId="0A530C2F" w14:textId="77777777" w:rsidR="007159BE" w:rsidRDefault="007D3121">
      <w:pPr>
        <w:pStyle w:val="1"/>
      </w:pPr>
      <w:bookmarkStart w:id="0" w:name="_Ref178064866"/>
      <w:r>
        <w:t>2</w:t>
      </w:r>
      <w:r>
        <w:tab/>
        <w:t>Contact information</w:t>
      </w:r>
    </w:p>
    <w:p w14:paraId="2F07251E" w14:textId="77777777" w:rsidR="007159BE" w:rsidRDefault="007D3121">
      <w:pPr>
        <w:rPr>
          <w:rFonts w:ascii="Arial" w:hAnsi="Arial"/>
          <w:lang w:eastAsia="zh-CN"/>
        </w:rPr>
      </w:pPr>
      <w:r>
        <w:rPr>
          <w:rFonts w:ascii="Arial" w:hAnsi="Arial"/>
          <w:lang w:eastAsia="zh-CN"/>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159BE" w14:paraId="578655D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4B083"/>
          </w:tcPr>
          <w:p w14:paraId="4027B2A9" w14:textId="77777777" w:rsidR="007159BE" w:rsidRDefault="007D3121">
            <w:pPr>
              <w:pStyle w:val="TAH"/>
              <w:spacing w:before="20" w:after="20"/>
              <w:ind w:left="57" w:right="57"/>
              <w:rPr>
                <w:rFonts w:cs="Arial"/>
                <w:sz w:val="20"/>
                <w:lang w:val="en-GB"/>
              </w:rPr>
            </w:pPr>
            <w:r>
              <w:rPr>
                <w:rFonts w:cs="Arial"/>
                <w:sz w:val="20"/>
                <w:lang w:val="en-GB"/>
              </w:rPr>
              <w:t>Company</w:t>
            </w:r>
          </w:p>
        </w:tc>
        <w:tc>
          <w:tcPr>
            <w:tcW w:w="3118" w:type="dxa"/>
            <w:tcBorders>
              <w:top w:val="single" w:sz="4" w:space="0" w:color="auto"/>
              <w:left w:val="single" w:sz="4" w:space="0" w:color="auto"/>
              <w:bottom w:val="single" w:sz="4" w:space="0" w:color="auto"/>
              <w:right w:val="single" w:sz="4" w:space="0" w:color="auto"/>
            </w:tcBorders>
            <w:shd w:val="clear" w:color="auto" w:fill="F4B083"/>
          </w:tcPr>
          <w:p w14:paraId="4DFDD12A" w14:textId="77777777" w:rsidR="007159BE" w:rsidRDefault="007D3121">
            <w:pPr>
              <w:pStyle w:val="TAH"/>
              <w:spacing w:before="20" w:after="20"/>
              <w:ind w:left="57" w:right="57"/>
              <w:rPr>
                <w:rFonts w:cs="Arial"/>
                <w:sz w:val="20"/>
                <w:lang w:val="en-GB"/>
              </w:rPr>
            </w:pPr>
            <w:r>
              <w:rPr>
                <w:rFonts w:cs="Arial"/>
                <w:sz w:val="20"/>
                <w:lang w:val="en-GB"/>
              </w:rPr>
              <w:t>Name</w:t>
            </w:r>
          </w:p>
        </w:tc>
        <w:tc>
          <w:tcPr>
            <w:tcW w:w="4391" w:type="dxa"/>
            <w:tcBorders>
              <w:top w:val="single" w:sz="4" w:space="0" w:color="auto"/>
              <w:left w:val="single" w:sz="4" w:space="0" w:color="auto"/>
              <w:bottom w:val="single" w:sz="4" w:space="0" w:color="auto"/>
              <w:right w:val="single" w:sz="4" w:space="0" w:color="auto"/>
            </w:tcBorders>
            <w:shd w:val="clear" w:color="auto" w:fill="F4B083"/>
          </w:tcPr>
          <w:p w14:paraId="1D4E14F2" w14:textId="77777777" w:rsidR="007159BE" w:rsidRDefault="007D3121">
            <w:pPr>
              <w:pStyle w:val="TAH"/>
              <w:spacing w:before="20" w:after="20"/>
              <w:ind w:left="57" w:right="57"/>
              <w:rPr>
                <w:rFonts w:cs="Arial"/>
                <w:sz w:val="20"/>
                <w:lang w:val="en-GB"/>
              </w:rPr>
            </w:pPr>
            <w:r>
              <w:rPr>
                <w:rFonts w:cs="Arial"/>
                <w:sz w:val="20"/>
                <w:lang w:val="en-GB"/>
              </w:rPr>
              <w:t>Email Address</w:t>
            </w:r>
          </w:p>
        </w:tc>
      </w:tr>
      <w:tr w:rsidR="007159BE" w14:paraId="391900A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797EF59" w14:textId="77777777" w:rsidR="007159BE" w:rsidRDefault="007D3121">
            <w:pPr>
              <w:pStyle w:val="TAC"/>
              <w:spacing w:before="20" w:after="20"/>
              <w:ind w:left="57" w:right="57"/>
              <w:rPr>
                <w:rFonts w:ascii="Times New Roman" w:hAnsi="Times New Roman"/>
                <w:sz w:val="20"/>
                <w:lang w:val="en-GB"/>
              </w:rPr>
            </w:pPr>
            <w:r>
              <w:rPr>
                <w:rFonts w:ascii="Times New Roman" w:hAnsi="Times New Roman"/>
                <w:sz w:val="20"/>
                <w:lang w:val="en-GB"/>
              </w:rPr>
              <w:t>Nokia</w:t>
            </w:r>
          </w:p>
        </w:tc>
        <w:tc>
          <w:tcPr>
            <w:tcW w:w="3118" w:type="dxa"/>
            <w:tcBorders>
              <w:top w:val="single" w:sz="4" w:space="0" w:color="auto"/>
              <w:left w:val="single" w:sz="4" w:space="0" w:color="auto"/>
              <w:bottom w:val="single" w:sz="4" w:space="0" w:color="auto"/>
              <w:right w:val="single" w:sz="4" w:space="0" w:color="auto"/>
            </w:tcBorders>
          </w:tcPr>
          <w:p w14:paraId="7AC605CA" w14:textId="77777777" w:rsidR="007159BE" w:rsidRDefault="007D3121">
            <w:pPr>
              <w:pStyle w:val="TAC"/>
              <w:spacing w:before="20" w:after="20"/>
              <w:ind w:left="57" w:right="57"/>
              <w:rPr>
                <w:rFonts w:ascii="Times New Roman" w:hAnsi="Times New Roman"/>
                <w:sz w:val="20"/>
                <w:lang w:val="en-GB"/>
              </w:rPr>
            </w:pPr>
            <w:r>
              <w:rPr>
                <w:rFonts w:ascii="Times New Roman" w:hAnsi="Times New Roman"/>
                <w:sz w:val="20"/>
                <w:lang w:val="en-GB"/>
              </w:rPr>
              <w:t>Jarkko Koskela</w:t>
            </w:r>
          </w:p>
        </w:tc>
        <w:tc>
          <w:tcPr>
            <w:tcW w:w="4391" w:type="dxa"/>
            <w:tcBorders>
              <w:top w:val="single" w:sz="4" w:space="0" w:color="auto"/>
              <w:left w:val="single" w:sz="4" w:space="0" w:color="auto"/>
              <w:bottom w:val="single" w:sz="4" w:space="0" w:color="auto"/>
              <w:right w:val="single" w:sz="4" w:space="0" w:color="auto"/>
            </w:tcBorders>
          </w:tcPr>
          <w:p w14:paraId="19D91C22" w14:textId="77777777" w:rsidR="007159BE" w:rsidRDefault="00837484">
            <w:pPr>
              <w:pStyle w:val="TAC"/>
              <w:spacing w:before="20" w:after="20"/>
              <w:ind w:left="57" w:right="57"/>
              <w:rPr>
                <w:rFonts w:ascii="Times New Roman" w:hAnsi="Times New Roman"/>
                <w:sz w:val="20"/>
                <w:lang w:val="en-GB"/>
              </w:rPr>
            </w:pPr>
            <w:hyperlink r:id="rId14" w:history="1">
              <w:r w:rsidR="007D3121">
                <w:rPr>
                  <w:rStyle w:val="aff1"/>
                  <w:rFonts w:ascii="Times New Roman" w:hAnsi="Times New Roman"/>
                  <w:sz w:val="20"/>
                  <w:lang w:val="en-GB"/>
                </w:rPr>
                <w:t>jarkko.t.koskela@outlook.com</w:t>
              </w:r>
            </w:hyperlink>
          </w:p>
        </w:tc>
      </w:tr>
      <w:tr w:rsidR="007159BE" w14:paraId="1C10347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F3B826E" w14:textId="77777777" w:rsidR="007159BE" w:rsidRDefault="007D3121">
            <w:pPr>
              <w:pStyle w:val="TAC"/>
              <w:spacing w:before="20" w:after="20"/>
              <w:ind w:left="57" w:right="57"/>
              <w:rPr>
                <w:rFonts w:ascii="Times New Roman" w:hAnsi="Times New Roman"/>
                <w:sz w:val="20"/>
                <w:lang w:val="en-GB"/>
              </w:rPr>
            </w:pPr>
            <w:r>
              <w:rPr>
                <w:rFonts w:ascii="Times New Roman" w:eastAsia="Times New Roman" w:hAnsi="Times New Roman"/>
                <w:sz w:val="20"/>
                <w:lang w:val="en-GB"/>
              </w:rPr>
              <w:t>Xiaomi</w:t>
            </w:r>
          </w:p>
        </w:tc>
        <w:tc>
          <w:tcPr>
            <w:tcW w:w="3118" w:type="dxa"/>
            <w:tcBorders>
              <w:top w:val="single" w:sz="4" w:space="0" w:color="auto"/>
              <w:left w:val="single" w:sz="4" w:space="0" w:color="auto"/>
              <w:bottom w:val="single" w:sz="4" w:space="0" w:color="auto"/>
              <w:right w:val="single" w:sz="4" w:space="0" w:color="auto"/>
            </w:tcBorders>
          </w:tcPr>
          <w:p w14:paraId="7907756C" w14:textId="77777777" w:rsidR="007159BE" w:rsidRDefault="007D3121">
            <w:pPr>
              <w:pStyle w:val="TAC"/>
              <w:spacing w:before="20" w:after="20"/>
              <w:ind w:left="57" w:right="57"/>
              <w:rPr>
                <w:rFonts w:ascii="Times New Roman" w:hAnsi="Times New Roman"/>
                <w:sz w:val="20"/>
                <w:lang w:val="en-GB"/>
              </w:rPr>
            </w:pPr>
            <w:r>
              <w:rPr>
                <w:rFonts w:ascii="Times New Roman" w:hAnsi="Times New Roman"/>
                <w:sz w:val="20"/>
                <w:lang w:val="en-GB"/>
              </w:rPr>
              <w:t>Yumin Wu</w:t>
            </w:r>
          </w:p>
        </w:tc>
        <w:tc>
          <w:tcPr>
            <w:tcW w:w="4391" w:type="dxa"/>
            <w:tcBorders>
              <w:top w:val="single" w:sz="4" w:space="0" w:color="auto"/>
              <w:left w:val="single" w:sz="4" w:space="0" w:color="auto"/>
              <w:bottom w:val="single" w:sz="4" w:space="0" w:color="auto"/>
              <w:right w:val="single" w:sz="4" w:space="0" w:color="auto"/>
            </w:tcBorders>
          </w:tcPr>
          <w:p w14:paraId="2E30AAAB" w14:textId="77777777" w:rsidR="007159BE" w:rsidRDefault="00837484">
            <w:pPr>
              <w:pStyle w:val="TAC"/>
              <w:spacing w:before="20" w:after="20"/>
              <w:ind w:left="57" w:right="57"/>
              <w:rPr>
                <w:rFonts w:ascii="Times New Roman" w:hAnsi="Times New Roman"/>
                <w:sz w:val="20"/>
                <w:lang w:val="en-GB"/>
              </w:rPr>
            </w:pPr>
            <w:hyperlink r:id="rId15" w:history="1">
              <w:r w:rsidR="007D3121">
                <w:rPr>
                  <w:rStyle w:val="aff1"/>
                  <w:rFonts w:ascii="Times New Roman" w:hAnsi="Times New Roman"/>
                  <w:sz w:val="20"/>
                  <w:lang w:val="en-GB"/>
                </w:rPr>
                <w:t>wuyumin@xiaomi.com</w:t>
              </w:r>
            </w:hyperlink>
          </w:p>
        </w:tc>
      </w:tr>
      <w:tr w:rsidR="007159BE" w14:paraId="33ADFD1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B9AAF9" w14:textId="77777777" w:rsidR="007159BE" w:rsidRDefault="007D3121">
            <w:pPr>
              <w:pStyle w:val="TAC"/>
              <w:spacing w:before="20" w:after="20"/>
              <w:ind w:left="57" w:right="57"/>
              <w:rPr>
                <w:rFonts w:ascii="Times New Roman" w:hAnsi="Times New Roman"/>
                <w:sz w:val="20"/>
                <w:lang w:val="en-GB"/>
              </w:rPr>
            </w:pPr>
            <w:r>
              <w:rPr>
                <w:rFonts w:ascii="Times New Roman" w:hAnsi="Times New Roman"/>
                <w:sz w:val="20"/>
                <w:lang w:val="en-GB"/>
              </w:rPr>
              <w:t>OPPO</w:t>
            </w:r>
          </w:p>
        </w:tc>
        <w:tc>
          <w:tcPr>
            <w:tcW w:w="3118" w:type="dxa"/>
            <w:tcBorders>
              <w:top w:val="single" w:sz="4" w:space="0" w:color="auto"/>
              <w:left w:val="single" w:sz="4" w:space="0" w:color="auto"/>
              <w:bottom w:val="single" w:sz="4" w:space="0" w:color="auto"/>
              <w:right w:val="single" w:sz="4" w:space="0" w:color="auto"/>
            </w:tcBorders>
          </w:tcPr>
          <w:p w14:paraId="51E0E1F5" w14:textId="77777777" w:rsidR="007159BE" w:rsidRDefault="007D3121">
            <w:pPr>
              <w:pStyle w:val="TAC"/>
              <w:spacing w:before="20" w:after="20"/>
              <w:ind w:left="57" w:right="57"/>
              <w:rPr>
                <w:rFonts w:ascii="Times New Roman" w:hAnsi="Times New Roman"/>
                <w:sz w:val="20"/>
                <w:lang w:val="en-GB"/>
              </w:rPr>
            </w:pPr>
            <w:proofErr w:type="spellStart"/>
            <w:r>
              <w:rPr>
                <w:rFonts w:ascii="Times New Roman" w:hAnsi="Times New Roman"/>
                <w:sz w:val="20"/>
                <w:lang w:val="en-GB"/>
              </w:rPr>
              <w:t>S</w:t>
            </w:r>
            <w:r>
              <w:rPr>
                <w:rFonts w:ascii="Times New Roman" w:hAnsi="Times New Roman" w:hint="eastAsia"/>
                <w:sz w:val="20"/>
                <w:lang w:val="en-GB"/>
              </w:rPr>
              <w:t>hi</w:t>
            </w:r>
            <w:r>
              <w:rPr>
                <w:rFonts w:ascii="Times New Roman" w:hAnsi="Times New Roman"/>
                <w:sz w:val="20"/>
                <w:lang w:val="en-GB"/>
              </w:rPr>
              <w:t>C</w:t>
            </w:r>
            <w:r>
              <w:rPr>
                <w:rFonts w:ascii="Times New Roman" w:hAnsi="Times New Roman" w:hint="eastAsia"/>
                <w:sz w:val="20"/>
                <w:lang w:val="en-GB"/>
              </w:rPr>
              <w:t>ong</w:t>
            </w:r>
            <w:proofErr w:type="spellEnd"/>
            <w:r>
              <w:rPr>
                <w:rFonts w:ascii="Times New Roman" w:hAnsi="Times New Roman" w:hint="eastAsia"/>
                <w:sz w:val="20"/>
                <w:lang w:val="en-GB"/>
              </w:rPr>
              <w:t>/</w:t>
            </w:r>
            <w:proofErr w:type="spellStart"/>
            <w:r>
              <w:rPr>
                <w:rFonts w:ascii="Times New Roman" w:hAnsi="Times New Roman"/>
                <w:sz w:val="20"/>
                <w:lang w:val="en-GB"/>
              </w:rPr>
              <w:t>Xinlei</w:t>
            </w:r>
            <w:proofErr w:type="spellEnd"/>
            <w:r>
              <w:rPr>
                <w:rFonts w:ascii="Times New Roman" w:hAnsi="Times New Roman"/>
                <w:sz w:val="20"/>
                <w:lang w:val="en-GB"/>
              </w:rPr>
              <w:t xml:space="preserve"> Yu</w:t>
            </w:r>
          </w:p>
        </w:tc>
        <w:tc>
          <w:tcPr>
            <w:tcW w:w="4391" w:type="dxa"/>
            <w:tcBorders>
              <w:top w:val="single" w:sz="4" w:space="0" w:color="auto"/>
              <w:left w:val="single" w:sz="4" w:space="0" w:color="auto"/>
              <w:bottom w:val="single" w:sz="4" w:space="0" w:color="auto"/>
              <w:right w:val="single" w:sz="4" w:space="0" w:color="auto"/>
            </w:tcBorders>
          </w:tcPr>
          <w:p w14:paraId="3B494321" w14:textId="77777777" w:rsidR="007159BE" w:rsidRDefault="007D3121">
            <w:pPr>
              <w:pStyle w:val="TAC"/>
              <w:spacing w:before="20" w:after="20"/>
              <w:ind w:left="57" w:right="57"/>
              <w:rPr>
                <w:rFonts w:ascii="Times New Roman" w:hAnsi="Times New Roman"/>
                <w:sz w:val="20"/>
                <w:lang w:val="en-GB"/>
              </w:rPr>
            </w:pPr>
            <w:r>
              <w:rPr>
                <w:rFonts w:ascii="Times New Roman" w:hAnsi="Times New Roman" w:hint="eastAsia"/>
                <w:sz w:val="20"/>
                <w:lang w:val="en-GB"/>
              </w:rPr>
              <w:t>shicong</w:t>
            </w:r>
            <w:r>
              <w:rPr>
                <w:rFonts w:ascii="Times New Roman" w:hAnsi="Times New Roman"/>
                <w:sz w:val="20"/>
                <w:lang w:val="en-GB"/>
              </w:rPr>
              <w:t>@oppo.com</w:t>
            </w:r>
          </w:p>
          <w:p w14:paraId="04A11BA3" w14:textId="77777777" w:rsidR="007159BE" w:rsidRDefault="007D3121">
            <w:pPr>
              <w:pStyle w:val="TAC"/>
              <w:spacing w:before="20" w:after="20"/>
              <w:ind w:left="57" w:right="57"/>
              <w:rPr>
                <w:rFonts w:ascii="Times New Roman" w:hAnsi="Times New Roman"/>
                <w:sz w:val="20"/>
                <w:lang w:val="en-GB"/>
              </w:rPr>
            </w:pPr>
            <w:r>
              <w:rPr>
                <w:rFonts w:ascii="Times New Roman" w:hAnsi="Times New Roman"/>
                <w:sz w:val="20"/>
                <w:lang w:val="en-GB"/>
              </w:rPr>
              <w:t>yuxinlei@oppo.com</w:t>
            </w:r>
          </w:p>
        </w:tc>
      </w:tr>
      <w:tr w:rsidR="007159BE" w14:paraId="55DBCC40" w14:textId="77777777">
        <w:trPr>
          <w:trHeight w:val="90"/>
          <w:jc w:val="center"/>
        </w:trPr>
        <w:tc>
          <w:tcPr>
            <w:tcW w:w="2122" w:type="dxa"/>
            <w:tcBorders>
              <w:top w:val="single" w:sz="4" w:space="0" w:color="auto"/>
              <w:left w:val="single" w:sz="4" w:space="0" w:color="auto"/>
              <w:bottom w:val="single" w:sz="4" w:space="0" w:color="auto"/>
              <w:right w:val="single" w:sz="4" w:space="0" w:color="auto"/>
            </w:tcBorders>
          </w:tcPr>
          <w:p w14:paraId="34D3B3D3" w14:textId="77777777" w:rsidR="007159BE" w:rsidRDefault="007D3121">
            <w:pPr>
              <w:pStyle w:val="TAC"/>
              <w:spacing w:before="20" w:after="20"/>
              <w:ind w:left="57" w:right="57"/>
              <w:rPr>
                <w:rFonts w:ascii="Times New Roman" w:hAnsi="Times New Roman"/>
                <w:sz w:val="20"/>
                <w:lang w:val="en-GB"/>
              </w:rPr>
            </w:pPr>
            <w:r>
              <w:rPr>
                <w:rFonts w:ascii="Times New Roman" w:hAnsi="Times New Roman"/>
                <w:sz w:val="20"/>
                <w:lang w:val="en-GB"/>
              </w:rPr>
              <w:t>Qualcomm</w:t>
            </w:r>
          </w:p>
        </w:tc>
        <w:tc>
          <w:tcPr>
            <w:tcW w:w="3118" w:type="dxa"/>
            <w:tcBorders>
              <w:top w:val="single" w:sz="4" w:space="0" w:color="auto"/>
              <w:left w:val="single" w:sz="4" w:space="0" w:color="auto"/>
              <w:bottom w:val="single" w:sz="4" w:space="0" w:color="auto"/>
              <w:right w:val="single" w:sz="4" w:space="0" w:color="auto"/>
            </w:tcBorders>
          </w:tcPr>
          <w:p w14:paraId="38A67647" w14:textId="77777777" w:rsidR="007159BE" w:rsidRDefault="007D3121">
            <w:pPr>
              <w:pStyle w:val="TAC"/>
              <w:spacing w:before="20" w:after="20"/>
              <w:ind w:left="57" w:right="57"/>
              <w:rPr>
                <w:rFonts w:ascii="Times New Roman" w:hAnsi="Times New Roman"/>
                <w:sz w:val="20"/>
                <w:lang w:val="en-GB"/>
              </w:rPr>
            </w:pPr>
            <w:proofErr w:type="spellStart"/>
            <w:r>
              <w:rPr>
                <w:rFonts w:ascii="Times New Roman" w:hAnsi="Times New Roman"/>
                <w:sz w:val="20"/>
                <w:lang w:val="en-GB"/>
              </w:rPr>
              <w:t>Sherif</w:t>
            </w:r>
            <w:proofErr w:type="spellEnd"/>
            <w:r>
              <w:rPr>
                <w:rFonts w:ascii="Times New Roman" w:hAnsi="Times New Roman"/>
                <w:sz w:val="20"/>
                <w:lang w:val="en-GB"/>
              </w:rPr>
              <w:t xml:space="preserve"> </w:t>
            </w:r>
            <w:proofErr w:type="spellStart"/>
            <w:r>
              <w:rPr>
                <w:rFonts w:ascii="Times New Roman" w:hAnsi="Times New Roman"/>
                <w:sz w:val="20"/>
                <w:lang w:val="en-GB"/>
              </w:rPr>
              <w:t>ElAzzouni</w:t>
            </w:r>
            <w:proofErr w:type="spellEnd"/>
          </w:p>
        </w:tc>
        <w:tc>
          <w:tcPr>
            <w:tcW w:w="4391" w:type="dxa"/>
            <w:tcBorders>
              <w:top w:val="single" w:sz="4" w:space="0" w:color="auto"/>
              <w:left w:val="single" w:sz="4" w:space="0" w:color="auto"/>
              <w:bottom w:val="single" w:sz="4" w:space="0" w:color="auto"/>
              <w:right w:val="single" w:sz="4" w:space="0" w:color="auto"/>
            </w:tcBorders>
          </w:tcPr>
          <w:p w14:paraId="6514465A" w14:textId="77777777" w:rsidR="007159BE" w:rsidRDefault="007D3121">
            <w:pPr>
              <w:pStyle w:val="TAC"/>
              <w:spacing w:before="20" w:after="20"/>
              <w:ind w:left="57" w:right="57"/>
              <w:rPr>
                <w:rFonts w:ascii="Times New Roman" w:hAnsi="Times New Roman"/>
                <w:sz w:val="20"/>
                <w:lang w:val="en-GB"/>
              </w:rPr>
            </w:pPr>
            <w:r>
              <w:rPr>
                <w:rFonts w:ascii="Times New Roman" w:hAnsi="Times New Roman"/>
                <w:sz w:val="20"/>
                <w:lang w:val="en-GB"/>
              </w:rPr>
              <w:t>selazzou@qti.qualcomm.com</w:t>
            </w:r>
          </w:p>
        </w:tc>
      </w:tr>
      <w:tr w:rsidR="007159BE" w14:paraId="7D29888C" w14:textId="77777777">
        <w:trPr>
          <w:trHeight w:val="90"/>
          <w:jc w:val="center"/>
        </w:trPr>
        <w:tc>
          <w:tcPr>
            <w:tcW w:w="2122" w:type="dxa"/>
            <w:tcBorders>
              <w:top w:val="single" w:sz="4" w:space="0" w:color="auto"/>
              <w:left w:val="single" w:sz="4" w:space="0" w:color="auto"/>
              <w:bottom w:val="single" w:sz="4" w:space="0" w:color="auto"/>
              <w:right w:val="single" w:sz="4" w:space="0" w:color="auto"/>
            </w:tcBorders>
          </w:tcPr>
          <w:p w14:paraId="6C37A01E" w14:textId="77777777" w:rsidR="007159BE" w:rsidRDefault="007D3121">
            <w:pPr>
              <w:pStyle w:val="TAC"/>
              <w:spacing w:before="20" w:after="20"/>
              <w:ind w:left="57" w:right="57"/>
              <w:rPr>
                <w:rFonts w:ascii="Times New Roman" w:hAnsi="Times New Roman"/>
                <w:sz w:val="20"/>
                <w:lang w:val="en-US"/>
              </w:rPr>
            </w:pPr>
            <w:r>
              <w:rPr>
                <w:rFonts w:ascii="Times New Roman" w:hAnsi="Times New Roman" w:hint="eastAsia"/>
                <w:sz w:val="20"/>
                <w:lang w:val="en-US"/>
              </w:rPr>
              <w:t>ZTE</w:t>
            </w:r>
          </w:p>
        </w:tc>
        <w:tc>
          <w:tcPr>
            <w:tcW w:w="3118" w:type="dxa"/>
            <w:tcBorders>
              <w:top w:val="single" w:sz="4" w:space="0" w:color="auto"/>
              <w:left w:val="single" w:sz="4" w:space="0" w:color="auto"/>
              <w:bottom w:val="single" w:sz="4" w:space="0" w:color="auto"/>
              <w:right w:val="single" w:sz="4" w:space="0" w:color="auto"/>
            </w:tcBorders>
          </w:tcPr>
          <w:p w14:paraId="2D069C2E" w14:textId="77777777" w:rsidR="007159BE" w:rsidRDefault="007D3121">
            <w:pPr>
              <w:pStyle w:val="TAC"/>
              <w:spacing w:before="20" w:after="20"/>
              <w:ind w:left="57" w:right="57"/>
              <w:rPr>
                <w:rFonts w:ascii="Times New Roman" w:hAnsi="Times New Roman"/>
                <w:sz w:val="20"/>
                <w:lang w:val="en-US"/>
              </w:rPr>
            </w:pPr>
            <w:r>
              <w:rPr>
                <w:rFonts w:ascii="Times New Roman" w:hAnsi="Times New Roman" w:hint="eastAsia"/>
                <w:sz w:val="20"/>
                <w:lang w:val="en-US"/>
              </w:rPr>
              <w:t>Wenting Li</w:t>
            </w:r>
          </w:p>
        </w:tc>
        <w:tc>
          <w:tcPr>
            <w:tcW w:w="4391" w:type="dxa"/>
            <w:tcBorders>
              <w:top w:val="single" w:sz="4" w:space="0" w:color="auto"/>
              <w:left w:val="single" w:sz="4" w:space="0" w:color="auto"/>
              <w:bottom w:val="single" w:sz="4" w:space="0" w:color="auto"/>
              <w:right w:val="single" w:sz="4" w:space="0" w:color="auto"/>
            </w:tcBorders>
          </w:tcPr>
          <w:p w14:paraId="71A25F28" w14:textId="77777777" w:rsidR="007159BE" w:rsidRDefault="007D3121">
            <w:pPr>
              <w:pStyle w:val="TAC"/>
              <w:spacing w:before="20" w:after="20"/>
              <w:ind w:left="57" w:right="57"/>
              <w:rPr>
                <w:rFonts w:ascii="Times New Roman" w:hAnsi="Times New Roman"/>
                <w:sz w:val="20"/>
                <w:lang w:val="en-US"/>
              </w:rPr>
            </w:pPr>
            <w:r>
              <w:rPr>
                <w:rFonts w:ascii="Times New Roman" w:hAnsi="Times New Roman" w:hint="eastAsia"/>
                <w:sz w:val="20"/>
                <w:lang w:val="en-US"/>
              </w:rPr>
              <w:t>Li.wenting@zte.com.cn</w:t>
            </w:r>
          </w:p>
        </w:tc>
      </w:tr>
      <w:tr w:rsidR="007159BE" w14:paraId="07F5761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D686F5A" w14:textId="2BEC4386" w:rsidR="007159BE" w:rsidRDefault="0097427E">
            <w:pPr>
              <w:pStyle w:val="TAC"/>
              <w:spacing w:before="20" w:after="20"/>
              <w:ind w:right="57"/>
              <w:rPr>
                <w:rFonts w:ascii="Times New Roman" w:eastAsia="Malgun Gothic" w:hAnsi="Times New Roman"/>
                <w:sz w:val="20"/>
                <w:lang w:val="en-GB" w:eastAsia="ko-KR"/>
              </w:rPr>
            </w:pPr>
            <w:r>
              <w:rPr>
                <w:rFonts w:ascii="Times New Roman" w:eastAsia="Malgun Gothic" w:hAnsi="Times New Roman"/>
                <w:sz w:val="20"/>
                <w:lang w:val="en-GB" w:eastAsia="ko-KR"/>
              </w:rPr>
              <w:t>Apple</w:t>
            </w:r>
          </w:p>
        </w:tc>
        <w:tc>
          <w:tcPr>
            <w:tcW w:w="3118" w:type="dxa"/>
            <w:tcBorders>
              <w:top w:val="single" w:sz="4" w:space="0" w:color="auto"/>
              <w:left w:val="single" w:sz="4" w:space="0" w:color="auto"/>
              <w:bottom w:val="single" w:sz="4" w:space="0" w:color="auto"/>
              <w:right w:val="single" w:sz="4" w:space="0" w:color="auto"/>
            </w:tcBorders>
          </w:tcPr>
          <w:p w14:paraId="6A849959" w14:textId="729B05BE" w:rsidR="007159BE" w:rsidRDefault="0097427E">
            <w:pPr>
              <w:pStyle w:val="TAC"/>
              <w:spacing w:before="20" w:after="20"/>
              <w:ind w:left="57" w:right="57"/>
              <w:rPr>
                <w:rFonts w:ascii="Times New Roman" w:eastAsia="Malgun Gothic" w:hAnsi="Times New Roman"/>
                <w:sz w:val="20"/>
                <w:lang w:val="en-GB" w:eastAsia="ko-KR"/>
              </w:rPr>
            </w:pPr>
            <w:r>
              <w:rPr>
                <w:rFonts w:ascii="Times New Roman" w:eastAsia="Malgun Gothic" w:hAnsi="Times New Roman"/>
                <w:sz w:val="20"/>
                <w:lang w:val="en-GB" w:eastAsia="ko-KR"/>
              </w:rPr>
              <w:t>Yuqin Chen</w:t>
            </w:r>
          </w:p>
        </w:tc>
        <w:tc>
          <w:tcPr>
            <w:tcW w:w="4391" w:type="dxa"/>
            <w:tcBorders>
              <w:top w:val="single" w:sz="4" w:space="0" w:color="auto"/>
              <w:left w:val="single" w:sz="4" w:space="0" w:color="auto"/>
              <w:bottom w:val="single" w:sz="4" w:space="0" w:color="auto"/>
              <w:right w:val="single" w:sz="4" w:space="0" w:color="auto"/>
            </w:tcBorders>
          </w:tcPr>
          <w:p w14:paraId="7BFBDA5F" w14:textId="0A1208A5" w:rsidR="007159BE" w:rsidRDefault="0097427E">
            <w:pPr>
              <w:pStyle w:val="TAC"/>
              <w:spacing w:before="20" w:after="20"/>
              <w:ind w:left="57" w:right="57"/>
              <w:rPr>
                <w:rFonts w:ascii="Times New Roman" w:eastAsia="Malgun Gothic" w:hAnsi="Times New Roman"/>
                <w:sz w:val="20"/>
                <w:lang w:val="en-GB" w:eastAsia="ko-KR"/>
              </w:rPr>
            </w:pPr>
            <w:r>
              <w:rPr>
                <w:rFonts w:ascii="Times New Roman" w:eastAsia="Malgun Gothic" w:hAnsi="Times New Roman"/>
                <w:sz w:val="20"/>
                <w:lang w:val="en-GB" w:eastAsia="ko-KR"/>
              </w:rPr>
              <w:t>yuqin_chen@apple.com</w:t>
            </w:r>
          </w:p>
        </w:tc>
      </w:tr>
      <w:tr w:rsidR="007159BE" w14:paraId="467E157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BEE78D" w14:textId="7E167FB4" w:rsidR="007159BE" w:rsidRDefault="00906D30">
            <w:pPr>
              <w:pStyle w:val="TAC"/>
              <w:spacing w:before="20" w:after="20"/>
              <w:ind w:left="57" w:right="57"/>
              <w:rPr>
                <w:rFonts w:ascii="Times New Roman" w:hAnsi="Times New Roman"/>
                <w:sz w:val="20"/>
                <w:lang w:val="en-GB"/>
              </w:rPr>
            </w:pPr>
            <w:r>
              <w:rPr>
                <w:rFonts w:ascii="Times New Roman" w:hAnsi="Times New Roman" w:hint="eastAsia"/>
                <w:sz w:val="20"/>
                <w:lang w:val="en-GB"/>
              </w:rPr>
              <w:t>S</w:t>
            </w:r>
            <w:r>
              <w:rPr>
                <w:rFonts w:ascii="Times New Roman" w:hAnsi="Times New Roman"/>
                <w:sz w:val="20"/>
                <w:lang w:val="en-GB"/>
              </w:rPr>
              <w:t>amsung</w:t>
            </w:r>
          </w:p>
        </w:tc>
        <w:tc>
          <w:tcPr>
            <w:tcW w:w="3118" w:type="dxa"/>
            <w:tcBorders>
              <w:top w:val="single" w:sz="4" w:space="0" w:color="auto"/>
              <w:left w:val="single" w:sz="4" w:space="0" w:color="auto"/>
              <w:bottom w:val="single" w:sz="4" w:space="0" w:color="auto"/>
              <w:right w:val="single" w:sz="4" w:space="0" w:color="auto"/>
            </w:tcBorders>
          </w:tcPr>
          <w:p w14:paraId="2CC5FEB7" w14:textId="2ADD5993" w:rsidR="007159BE" w:rsidRDefault="00906D30">
            <w:pPr>
              <w:pStyle w:val="TAC"/>
              <w:spacing w:before="20" w:after="20"/>
              <w:ind w:left="57" w:right="57"/>
              <w:rPr>
                <w:rFonts w:ascii="Times New Roman" w:hAnsi="Times New Roman"/>
                <w:sz w:val="20"/>
                <w:lang w:val="en-GB"/>
              </w:rPr>
            </w:pPr>
            <w:r>
              <w:rPr>
                <w:rFonts w:ascii="Times New Roman" w:hAnsi="Times New Roman" w:hint="eastAsia"/>
                <w:sz w:val="20"/>
                <w:lang w:val="en-GB"/>
              </w:rPr>
              <w:t>W</w:t>
            </w:r>
            <w:r>
              <w:rPr>
                <w:rFonts w:ascii="Times New Roman" w:hAnsi="Times New Roman"/>
                <w:sz w:val="20"/>
                <w:lang w:val="en-GB"/>
              </w:rPr>
              <w:t>eiwei Wang</w:t>
            </w:r>
          </w:p>
        </w:tc>
        <w:tc>
          <w:tcPr>
            <w:tcW w:w="4391" w:type="dxa"/>
            <w:tcBorders>
              <w:top w:val="single" w:sz="4" w:space="0" w:color="auto"/>
              <w:left w:val="single" w:sz="4" w:space="0" w:color="auto"/>
              <w:bottom w:val="single" w:sz="4" w:space="0" w:color="auto"/>
              <w:right w:val="single" w:sz="4" w:space="0" w:color="auto"/>
            </w:tcBorders>
          </w:tcPr>
          <w:p w14:paraId="42C97AF0" w14:textId="6667A662" w:rsidR="007159BE" w:rsidRDefault="00906D30">
            <w:pPr>
              <w:pStyle w:val="TAC"/>
              <w:spacing w:before="20" w:after="20"/>
              <w:ind w:left="57" w:right="57"/>
              <w:rPr>
                <w:rFonts w:ascii="Times New Roman" w:hAnsi="Times New Roman"/>
                <w:sz w:val="20"/>
                <w:lang w:val="en-GB"/>
              </w:rPr>
            </w:pPr>
            <w:r>
              <w:rPr>
                <w:rFonts w:ascii="Times New Roman" w:hAnsi="Times New Roman"/>
                <w:sz w:val="20"/>
                <w:lang w:val="en-GB"/>
              </w:rPr>
              <w:t>ww1016.wang@samsung.com</w:t>
            </w:r>
          </w:p>
        </w:tc>
      </w:tr>
      <w:tr w:rsidR="00736AF6" w14:paraId="4A0E72A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0A4C9F" w14:textId="43EC7F08" w:rsidR="00736AF6" w:rsidRDefault="00736AF6" w:rsidP="00736AF6">
            <w:pPr>
              <w:pStyle w:val="TAC"/>
              <w:spacing w:before="20" w:after="20"/>
              <w:ind w:left="57" w:right="57"/>
              <w:rPr>
                <w:rFonts w:ascii="Times New Roman" w:hAnsi="Times New Roman"/>
                <w:sz w:val="20"/>
                <w:lang w:val="en-GB"/>
              </w:rPr>
            </w:pPr>
            <w:r>
              <w:rPr>
                <w:rFonts w:ascii="Times New Roman" w:hAnsi="Times New Roman"/>
                <w:sz w:val="20"/>
                <w:lang w:val="en-GB"/>
              </w:rPr>
              <w:t>Intel</w:t>
            </w:r>
          </w:p>
        </w:tc>
        <w:tc>
          <w:tcPr>
            <w:tcW w:w="3118" w:type="dxa"/>
            <w:tcBorders>
              <w:top w:val="single" w:sz="4" w:space="0" w:color="auto"/>
              <w:left w:val="single" w:sz="4" w:space="0" w:color="auto"/>
              <w:bottom w:val="single" w:sz="4" w:space="0" w:color="auto"/>
              <w:right w:val="single" w:sz="4" w:space="0" w:color="auto"/>
            </w:tcBorders>
          </w:tcPr>
          <w:p w14:paraId="1C2A5A2A" w14:textId="62D2228E" w:rsidR="00736AF6" w:rsidRDefault="00736AF6" w:rsidP="00736AF6">
            <w:pPr>
              <w:pStyle w:val="TAC"/>
              <w:spacing w:before="20" w:after="20"/>
              <w:ind w:left="57" w:right="57"/>
              <w:rPr>
                <w:rFonts w:ascii="Times New Roman" w:hAnsi="Times New Roman"/>
                <w:sz w:val="20"/>
                <w:lang w:val="en-GB"/>
              </w:rPr>
            </w:pPr>
            <w:proofErr w:type="spellStart"/>
            <w:r>
              <w:rPr>
                <w:rFonts w:ascii="Times New Roman" w:hAnsi="Times New Roman"/>
                <w:sz w:val="20"/>
                <w:lang w:val="en-GB"/>
              </w:rPr>
              <w:t>Yujian</w:t>
            </w:r>
            <w:proofErr w:type="spellEnd"/>
            <w:r>
              <w:rPr>
                <w:rFonts w:ascii="Times New Roman" w:hAnsi="Times New Roman"/>
                <w:sz w:val="20"/>
                <w:lang w:val="en-GB"/>
              </w:rPr>
              <w:t xml:space="preserve"> Zhang</w:t>
            </w:r>
          </w:p>
        </w:tc>
        <w:tc>
          <w:tcPr>
            <w:tcW w:w="4391" w:type="dxa"/>
            <w:tcBorders>
              <w:top w:val="single" w:sz="4" w:space="0" w:color="auto"/>
              <w:left w:val="single" w:sz="4" w:space="0" w:color="auto"/>
              <w:bottom w:val="single" w:sz="4" w:space="0" w:color="auto"/>
              <w:right w:val="single" w:sz="4" w:space="0" w:color="auto"/>
            </w:tcBorders>
          </w:tcPr>
          <w:p w14:paraId="1FD1AE0A" w14:textId="32849AD2" w:rsidR="00736AF6" w:rsidRDefault="00736AF6" w:rsidP="00736AF6">
            <w:pPr>
              <w:pStyle w:val="TAC"/>
              <w:spacing w:before="20" w:after="20"/>
              <w:ind w:left="57" w:right="57"/>
              <w:rPr>
                <w:rFonts w:ascii="Times New Roman" w:hAnsi="Times New Roman"/>
                <w:sz w:val="20"/>
                <w:lang w:val="en-GB"/>
              </w:rPr>
            </w:pPr>
            <w:r>
              <w:rPr>
                <w:rFonts w:ascii="Times New Roman" w:hAnsi="Times New Roman"/>
                <w:sz w:val="20"/>
                <w:lang w:val="en-GB"/>
              </w:rPr>
              <w:t>yujian.zhang@intel.com</w:t>
            </w:r>
          </w:p>
        </w:tc>
      </w:tr>
      <w:tr w:rsidR="00736AF6" w14:paraId="7DAD3A6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750386C" w14:textId="4BBBC0E5" w:rsidR="00736AF6" w:rsidRDefault="00BB7153" w:rsidP="00736AF6">
            <w:pPr>
              <w:pStyle w:val="TAC"/>
              <w:spacing w:before="20" w:after="20"/>
              <w:ind w:left="57" w:right="57"/>
              <w:rPr>
                <w:rFonts w:ascii="Times New Roman" w:hAnsi="Times New Roman"/>
                <w:sz w:val="20"/>
                <w:lang w:val="en-GB"/>
              </w:rPr>
            </w:pPr>
            <w:r>
              <w:rPr>
                <w:rFonts w:ascii="Times New Roman" w:hAnsi="Times New Roman" w:hint="eastAsia"/>
                <w:sz w:val="20"/>
                <w:lang w:val="en-GB"/>
              </w:rPr>
              <w:t>vivo</w:t>
            </w:r>
          </w:p>
        </w:tc>
        <w:tc>
          <w:tcPr>
            <w:tcW w:w="3118" w:type="dxa"/>
            <w:tcBorders>
              <w:top w:val="single" w:sz="4" w:space="0" w:color="auto"/>
              <w:left w:val="single" w:sz="4" w:space="0" w:color="auto"/>
              <w:bottom w:val="single" w:sz="4" w:space="0" w:color="auto"/>
              <w:right w:val="single" w:sz="4" w:space="0" w:color="auto"/>
            </w:tcBorders>
          </w:tcPr>
          <w:p w14:paraId="4B9147F9" w14:textId="5A79DCB5" w:rsidR="00736AF6" w:rsidRDefault="00BB7153" w:rsidP="00736AF6">
            <w:pPr>
              <w:pStyle w:val="TAC"/>
              <w:spacing w:before="20" w:after="20"/>
              <w:ind w:left="57" w:right="57"/>
              <w:rPr>
                <w:rFonts w:ascii="Times New Roman" w:hAnsi="Times New Roman"/>
                <w:sz w:val="20"/>
                <w:lang w:val="en-GB"/>
              </w:rPr>
            </w:pPr>
            <w:r>
              <w:rPr>
                <w:rFonts w:ascii="Times New Roman" w:hAnsi="Times New Roman" w:hint="eastAsia"/>
                <w:sz w:val="20"/>
                <w:lang w:val="en-GB"/>
              </w:rPr>
              <w:t>Xiaodong</w:t>
            </w:r>
            <w:r>
              <w:rPr>
                <w:rFonts w:ascii="Times New Roman" w:hAnsi="Times New Roman"/>
                <w:sz w:val="20"/>
                <w:lang w:val="en-GB"/>
              </w:rPr>
              <w:t xml:space="preserve"> Y</w:t>
            </w:r>
            <w:r>
              <w:rPr>
                <w:rFonts w:ascii="Times New Roman" w:hAnsi="Times New Roman" w:hint="eastAsia"/>
                <w:sz w:val="20"/>
                <w:lang w:val="en-GB"/>
              </w:rPr>
              <w:t>ang</w:t>
            </w:r>
          </w:p>
        </w:tc>
        <w:tc>
          <w:tcPr>
            <w:tcW w:w="4391" w:type="dxa"/>
            <w:tcBorders>
              <w:top w:val="single" w:sz="4" w:space="0" w:color="auto"/>
              <w:left w:val="single" w:sz="4" w:space="0" w:color="auto"/>
              <w:bottom w:val="single" w:sz="4" w:space="0" w:color="auto"/>
              <w:right w:val="single" w:sz="4" w:space="0" w:color="auto"/>
            </w:tcBorders>
          </w:tcPr>
          <w:p w14:paraId="1F82F2E7" w14:textId="70D14AEA" w:rsidR="00736AF6" w:rsidRDefault="00BB7153" w:rsidP="00736AF6">
            <w:pPr>
              <w:pStyle w:val="TAC"/>
              <w:spacing w:before="20" w:after="20"/>
              <w:ind w:left="57" w:right="57"/>
              <w:rPr>
                <w:rFonts w:ascii="Times New Roman" w:hAnsi="Times New Roman" w:hint="eastAsia"/>
                <w:sz w:val="20"/>
                <w:lang w:val="en-GB"/>
              </w:rPr>
            </w:pPr>
            <w:r>
              <w:rPr>
                <w:rFonts w:ascii="Times New Roman" w:hAnsi="Times New Roman"/>
                <w:sz w:val="20"/>
                <w:lang w:val="en-GB"/>
              </w:rPr>
              <w:t>Y</w:t>
            </w:r>
            <w:r>
              <w:rPr>
                <w:rFonts w:ascii="Times New Roman" w:hAnsi="Times New Roman" w:hint="eastAsia"/>
                <w:sz w:val="20"/>
                <w:lang w:val="en-GB"/>
              </w:rPr>
              <w:t>angxiaodong</w:t>
            </w:r>
            <w:r>
              <w:rPr>
                <w:rFonts w:ascii="Times New Roman" w:hAnsi="Times New Roman"/>
                <w:sz w:val="20"/>
                <w:lang w:val="en-GB"/>
              </w:rPr>
              <w:t>5</w:t>
            </w:r>
            <w:r>
              <w:rPr>
                <w:rFonts w:ascii="Times New Roman" w:hAnsi="Times New Roman" w:hint="eastAsia"/>
                <w:sz w:val="20"/>
                <w:lang w:val="en-GB"/>
              </w:rPr>
              <w:t>g@vivo.</w:t>
            </w:r>
            <w:r>
              <w:rPr>
                <w:rFonts w:ascii="Times New Roman" w:hAnsi="Times New Roman"/>
                <w:sz w:val="20"/>
                <w:lang w:val="en-GB"/>
              </w:rPr>
              <w:t>com</w:t>
            </w:r>
          </w:p>
        </w:tc>
      </w:tr>
      <w:tr w:rsidR="00736AF6" w14:paraId="1CE5C91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A7050B" w14:textId="77777777" w:rsidR="00736AF6" w:rsidRDefault="00736AF6" w:rsidP="00736AF6">
            <w:pPr>
              <w:pStyle w:val="TAC"/>
              <w:spacing w:before="20" w:after="20"/>
              <w:ind w:left="57" w:right="57"/>
              <w:rPr>
                <w:rFonts w:ascii="Times New Roman" w:hAnsi="Times New Roman"/>
                <w:sz w:val="20"/>
                <w:lang w:val="en-GB"/>
              </w:rPr>
            </w:pPr>
          </w:p>
        </w:tc>
        <w:tc>
          <w:tcPr>
            <w:tcW w:w="3118" w:type="dxa"/>
            <w:tcBorders>
              <w:top w:val="single" w:sz="4" w:space="0" w:color="auto"/>
              <w:left w:val="single" w:sz="4" w:space="0" w:color="auto"/>
              <w:bottom w:val="single" w:sz="4" w:space="0" w:color="auto"/>
              <w:right w:val="single" w:sz="4" w:space="0" w:color="auto"/>
            </w:tcBorders>
          </w:tcPr>
          <w:p w14:paraId="17795FAC" w14:textId="77777777" w:rsidR="00736AF6" w:rsidRDefault="00736AF6" w:rsidP="00736AF6">
            <w:pPr>
              <w:pStyle w:val="TAC"/>
              <w:spacing w:before="20" w:after="20"/>
              <w:ind w:left="57" w:right="57"/>
              <w:rPr>
                <w:rFonts w:ascii="Times New Roman" w:hAnsi="Times New Roman"/>
                <w:sz w:val="20"/>
                <w:lang w:val="en-GB"/>
              </w:rPr>
            </w:pPr>
          </w:p>
        </w:tc>
        <w:tc>
          <w:tcPr>
            <w:tcW w:w="4391" w:type="dxa"/>
            <w:tcBorders>
              <w:top w:val="single" w:sz="4" w:space="0" w:color="auto"/>
              <w:left w:val="single" w:sz="4" w:space="0" w:color="auto"/>
              <w:bottom w:val="single" w:sz="4" w:space="0" w:color="auto"/>
              <w:right w:val="single" w:sz="4" w:space="0" w:color="auto"/>
            </w:tcBorders>
          </w:tcPr>
          <w:p w14:paraId="265819E2" w14:textId="77777777" w:rsidR="00736AF6" w:rsidRDefault="00736AF6" w:rsidP="00736AF6">
            <w:pPr>
              <w:pStyle w:val="TAC"/>
              <w:spacing w:before="20" w:after="20"/>
              <w:ind w:left="57" w:right="57"/>
              <w:rPr>
                <w:rFonts w:ascii="Times New Roman" w:hAnsi="Times New Roman"/>
                <w:sz w:val="20"/>
                <w:lang w:val="en-GB"/>
              </w:rPr>
            </w:pPr>
            <w:bookmarkStart w:id="1" w:name="_GoBack"/>
            <w:bookmarkEnd w:id="1"/>
          </w:p>
        </w:tc>
      </w:tr>
      <w:tr w:rsidR="00736AF6" w14:paraId="09FAAEA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66171D2" w14:textId="77777777" w:rsidR="00736AF6" w:rsidRDefault="00736AF6" w:rsidP="00736AF6">
            <w:pPr>
              <w:pStyle w:val="TAC"/>
              <w:spacing w:before="20" w:after="20"/>
              <w:ind w:left="57" w:right="57"/>
              <w:rPr>
                <w:rFonts w:ascii="Times New Roman" w:hAnsi="Times New Roman"/>
                <w:sz w:val="20"/>
                <w:lang w:val="en-GB"/>
              </w:rPr>
            </w:pPr>
          </w:p>
        </w:tc>
        <w:tc>
          <w:tcPr>
            <w:tcW w:w="3118" w:type="dxa"/>
            <w:tcBorders>
              <w:top w:val="single" w:sz="4" w:space="0" w:color="auto"/>
              <w:left w:val="single" w:sz="4" w:space="0" w:color="auto"/>
              <w:bottom w:val="single" w:sz="4" w:space="0" w:color="auto"/>
              <w:right w:val="single" w:sz="4" w:space="0" w:color="auto"/>
            </w:tcBorders>
          </w:tcPr>
          <w:p w14:paraId="53584AAC" w14:textId="77777777" w:rsidR="00736AF6" w:rsidRDefault="00736AF6" w:rsidP="00736AF6">
            <w:pPr>
              <w:pStyle w:val="TAC"/>
              <w:spacing w:before="20" w:after="20"/>
              <w:ind w:left="57" w:right="57"/>
              <w:rPr>
                <w:rFonts w:ascii="Times New Roman" w:hAnsi="Times New Roman"/>
                <w:sz w:val="20"/>
                <w:lang w:val="en-GB"/>
              </w:rPr>
            </w:pPr>
          </w:p>
        </w:tc>
        <w:tc>
          <w:tcPr>
            <w:tcW w:w="4391" w:type="dxa"/>
            <w:tcBorders>
              <w:top w:val="single" w:sz="4" w:space="0" w:color="auto"/>
              <w:left w:val="single" w:sz="4" w:space="0" w:color="auto"/>
              <w:bottom w:val="single" w:sz="4" w:space="0" w:color="auto"/>
              <w:right w:val="single" w:sz="4" w:space="0" w:color="auto"/>
            </w:tcBorders>
          </w:tcPr>
          <w:p w14:paraId="7D3589F6" w14:textId="77777777" w:rsidR="00736AF6" w:rsidRDefault="00736AF6" w:rsidP="00736AF6">
            <w:pPr>
              <w:pStyle w:val="TAC"/>
              <w:spacing w:before="20" w:after="20"/>
              <w:ind w:left="57" w:right="57"/>
              <w:rPr>
                <w:rFonts w:ascii="Times New Roman" w:hAnsi="Times New Roman"/>
                <w:sz w:val="20"/>
                <w:lang w:val="en-GB"/>
              </w:rPr>
            </w:pPr>
          </w:p>
        </w:tc>
      </w:tr>
      <w:tr w:rsidR="00736AF6" w14:paraId="13C8F80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10A57E3" w14:textId="77777777" w:rsidR="00736AF6" w:rsidRDefault="00736AF6" w:rsidP="00736AF6">
            <w:pPr>
              <w:pStyle w:val="TAC"/>
              <w:spacing w:before="20" w:after="20"/>
              <w:ind w:left="57" w:right="57"/>
              <w:rPr>
                <w:rFonts w:ascii="Times New Roman" w:hAnsi="Times New Roman"/>
                <w:sz w:val="20"/>
                <w:lang w:val="en-GB"/>
              </w:rPr>
            </w:pPr>
          </w:p>
        </w:tc>
        <w:tc>
          <w:tcPr>
            <w:tcW w:w="3118" w:type="dxa"/>
            <w:tcBorders>
              <w:top w:val="single" w:sz="4" w:space="0" w:color="auto"/>
              <w:left w:val="single" w:sz="4" w:space="0" w:color="auto"/>
              <w:bottom w:val="single" w:sz="4" w:space="0" w:color="auto"/>
              <w:right w:val="single" w:sz="4" w:space="0" w:color="auto"/>
            </w:tcBorders>
          </w:tcPr>
          <w:p w14:paraId="34DA93E8" w14:textId="77777777" w:rsidR="00736AF6" w:rsidRDefault="00736AF6" w:rsidP="00736AF6">
            <w:pPr>
              <w:pStyle w:val="TAC"/>
              <w:spacing w:before="20" w:after="20"/>
              <w:ind w:left="57" w:right="57"/>
              <w:rPr>
                <w:rFonts w:ascii="Times New Roman" w:hAnsi="Times New Roman"/>
                <w:sz w:val="20"/>
                <w:lang w:val="en-GB"/>
              </w:rPr>
            </w:pPr>
          </w:p>
        </w:tc>
        <w:tc>
          <w:tcPr>
            <w:tcW w:w="4391" w:type="dxa"/>
            <w:tcBorders>
              <w:top w:val="single" w:sz="4" w:space="0" w:color="auto"/>
              <w:left w:val="single" w:sz="4" w:space="0" w:color="auto"/>
              <w:bottom w:val="single" w:sz="4" w:space="0" w:color="auto"/>
              <w:right w:val="single" w:sz="4" w:space="0" w:color="auto"/>
            </w:tcBorders>
          </w:tcPr>
          <w:p w14:paraId="4068E93F" w14:textId="77777777" w:rsidR="00736AF6" w:rsidRDefault="00736AF6" w:rsidP="00736AF6">
            <w:pPr>
              <w:pStyle w:val="TAC"/>
              <w:spacing w:before="20" w:after="20"/>
              <w:ind w:left="57" w:right="57"/>
              <w:rPr>
                <w:rFonts w:ascii="Times New Roman" w:hAnsi="Times New Roman"/>
                <w:sz w:val="20"/>
                <w:lang w:val="en-GB"/>
              </w:rPr>
            </w:pPr>
          </w:p>
        </w:tc>
      </w:tr>
      <w:tr w:rsidR="00736AF6" w14:paraId="43D13D8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FE095E4" w14:textId="77777777" w:rsidR="00736AF6" w:rsidRDefault="00736AF6" w:rsidP="00736AF6">
            <w:pPr>
              <w:pStyle w:val="TAC"/>
              <w:spacing w:before="20" w:after="20"/>
              <w:ind w:left="57" w:right="57"/>
              <w:rPr>
                <w:rFonts w:ascii="Times New Roman" w:hAnsi="Times New Roman"/>
                <w:sz w:val="20"/>
                <w:lang w:val="en-GB"/>
              </w:rPr>
            </w:pPr>
          </w:p>
        </w:tc>
        <w:tc>
          <w:tcPr>
            <w:tcW w:w="3118" w:type="dxa"/>
            <w:tcBorders>
              <w:top w:val="single" w:sz="4" w:space="0" w:color="auto"/>
              <w:left w:val="single" w:sz="4" w:space="0" w:color="auto"/>
              <w:bottom w:val="single" w:sz="4" w:space="0" w:color="auto"/>
              <w:right w:val="single" w:sz="4" w:space="0" w:color="auto"/>
            </w:tcBorders>
          </w:tcPr>
          <w:p w14:paraId="05E301C8" w14:textId="77777777" w:rsidR="00736AF6" w:rsidRDefault="00736AF6" w:rsidP="00736AF6">
            <w:pPr>
              <w:pStyle w:val="TAC"/>
              <w:spacing w:before="20" w:after="20"/>
              <w:ind w:left="57" w:right="57"/>
              <w:rPr>
                <w:rFonts w:ascii="Times New Roman" w:hAnsi="Times New Roman"/>
                <w:sz w:val="20"/>
                <w:lang w:val="en-GB"/>
              </w:rPr>
            </w:pPr>
          </w:p>
        </w:tc>
        <w:tc>
          <w:tcPr>
            <w:tcW w:w="4391" w:type="dxa"/>
            <w:tcBorders>
              <w:top w:val="single" w:sz="4" w:space="0" w:color="auto"/>
              <w:left w:val="single" w:sz="4" w:space="0" w:color="auto"/>
              <w:bottom w:val="single" w:sz="4" w:space="0" w:color="auto"/>
              <w:right w:val="single" w:sz="4" w:space="0" w:color="auto"/>
            </w:tcBorders>
          </w:tcPr>
          <w:p w14:paraId="70C800BD" w14:textId="77777777" w:rsidR="00736AF6" w:rsidRDefault="00736AF6" w:rsidP="00736AF6">
            <w:pPr>
              <w:pStyle w:val="TAC"/>
              <w:spacing w:before="20" w:after="20"/>
              <w:ind w:left="57" w:right="57"/>
              <w:rPr>
                <w:rFonts w:ascii="Times New Roman" w:hAnsi="Times New Roman"/>
                <w:sz w:val="20"/>
                <w:lang w:val="en-GB"/>
              </w:rPr>
            </w:pPr>
          </w:p>
        </w:tc>
      </w:tr>
      <w:tr w:rsidR="00736AF6" w14:paraId="5E38BC7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317EF7" w14:textId="77777777" w:rsidR="00736AF6" w:rsidRDefault="00736AF6" w:rsidP="00736AF6">
            <w:pPr>
              <w:pStyle w:val="TAC"/>
              <w:spacing w:before="20" w:after="20"/>
              <w:ind w:left="57" w:right="57"/>
              <w:rPr>
                <w:rFonts w:ascii="Times New Roman" w:hAnsi="Times New Roman"/>
                <w:sz w:val="20"/>
                <w:lang w:val="en-GB"/>
              </w:rPr>
            </w:pPr>
          </w:p>
        </w:tc>
        <w:tc>
          <w:tcPr>
            <w:tcW w:w="3118" w:type="dxa"/>
            <w:tcBorders>
              <w:top w:val="single" w:sz="4" w:space="0" w:color="auto"/>
              <w:left w:val="single" w:sz="4" w:space="0" w:color="auto"/>
              <w:bottom w:val="single" w:sz="4" w:space="0" w:color="auto"/>
              <w:right w:val="single" w:sz="4" w:space="0" w:color="auto"/>
            </w:tcBorders>
          </w:tcPr>
          <w:p w14:paraId="7EE0A24B" w14:textId="77777777" w:rsidR="00736AF6" w:rsidRDefault="00736AF6" w:rsidP="00736AF6">
            <w:pPr>
              <w:pStyle w:val="TAC"/>
              <w:spacing w:before="20" w:after="20"/>
              <w:ind w:left="57" w:right="57"/>
              <w:rPr>
                <w:rFonts w:ascii="Times New Roman" w:hAnsi="Times New Roman"/>
                <w:sz w:val="20"/>
                <w:lang w:val="en-GB"/>
              </w:rPr>
            </w:pPr>
          </w:p>
        </w:tc>
        <w:tc>
          <w:tcPr>
            <w:tcW w:w="4391" w:type="dxa"/>
            <w:tcBorders>
              <w:top w:val="single" w:sz="4" w:space="0" w:color="auto"/>
              <w:left w:val="single" w:sz="4" w:space="0" w:color="auto"/>
              <w:bottom w:val="single" w:sz="4" w:space="0" w:color="auto"/>
              <w:right w:val="single" w:sz="4" w:space="0" w:color="auto"/>
            </w:tcBorders>
          </w:tcPr>
          <w:p w14:paraId="0ABF0BEA" w14:textId="77777777" w:rsidR="00736AF6" w:rsidRDefault="00736AF6" w:rsidP="00736AF6">
            <w:pPr>
              <w:pStyle w:val="TAC"/>
              <w:spacing w:before="20" w:after="20"/>
              <w:ind w:left="57" w:right="57"/>
              <w:rPr>
                <w:rFonts w:ascii="Times New Roman" w:hAnsi="Times New Roman"/>
                <w:sz w:val="20"/>
                <w:lang w:val="en-GB"/>
              </w:rPr>
            </w:pPr>
          </w:p>
        </w:tc>
      </w:tr>
    </w:tbl>
    <w:p w14:paraId="41A209E0" w14:textId="77777777" w:rsidR="007159BE" w:rsidRDefault="007159BE"/>
    <w:p w14:paraId="0061B384" w14:textId="77777777" w:rsidR="007159BE" w:rsidRDefault="007D3121">
      <w:pPr>
        <w:pStyle w:val="1"/>
        <w:rPr>
          <w:lang w:eastAsia="zh-CN"/>
        </w:rPr>
      </w:pPr>
      <w:r>
        <w:t>3</w:t>
      </w:r>
      <w:r>
        <w:tab/>
      </w:r>
      <w:bookmarkEnd w:id="0"/>
      <w:r>
        <w:rPr>
          <w:lang w:eastAsia="zh-CN"/>
        </w:rPr>
        <w:t>Background</w:t>
      </w:r>
    </w:p>
    <w:p w14:paraId="3F3079F6" w14:textId="77777777" w:rsidR="007159BE" w:rsidRDefault="007D3121">
      <w:pPr>
        <w:rPr>
          <w:rFonts w:ascii="Arial" w:hAnsi="Arial"/>
          <w:lang w:eastAsia="zh-CN"/>
        </w:rPr>
      </w:pPr>
      <w:r>
        <w:rPr>
          <w:rFonts w:ascii="Arial" w:hAnsi="Arial"/>
          <w:lang w:eastAsia="zh-CN"/>
        </w:rPr>
        <w:t>Current NR IDC FDM solution allows the network to configure a set of candidate frequencies of the granularity of ARFCNs:</w:t>
      </w:r>
    </w:p>
    <w:tbl>
      <w:tblPr>
        <w:tblStyle w:val="afc"/>
        <w:tblW w:w="0" w:type="auto"/>
        <w:tblInd w:w="279" w:type="dxa"/>
        <w:tblLook w:val="04A0" w:firstRow="1" w:lastRow="0" w:firstColumn="1" w:lastColumn="0" w:noHBand="0" w:noVBand="1"/>
      </w:tblPr>
      <w:tblGrid>
        <w:gridCol w:w="9072"/>
      </w:tblGrid>
      <w:tr w:rsidR="007159BE" w14:paraId="113370FB" w14:textId="77777777">
        <w:tc>
          <w:tcPr>
            <w:tcW w:w="9072" w:type="dxa"/>
          </w:tcPr>
          <w:p w14:paraId="41C3B640" w14:textId="77777777" w:rsidR="007159BE" w:rsidRDefault="007D3121">
            <w:pPr>
              <w:pStyle w:val="PL"/>
            </w:pPr>
            <w:r>
              <w:t xml:space="preserve">OtherConfig-v1610 ::=                   </w:t>
            </w:r>
            <w:r>
              <w:rPr>
                <w:color w:val="993366"/>
              </w:rPr>
              <w:t>SEQUENCE</w:t>
            </w:r>
            <w:r>
              <w:t xml:space="preserve"> {</w:t>
            </w:r>
          </w:p>
          <w:p w14:paraId="0C337BFC" w14:textId="77777777" w:rsidR="007159BE" w:rsidRDefault="007D3121">
            <w:pPr>
              <w:pStyle w:val="PL"/>
              <w:rPr>
                <w:color w:val="808080"/>
              </w:rPr>
            </w:pPr>
            <w:r>
              <w:t xml:space="preserve">   idc-AssistanceConfig-r16 </w:t>
            </w:r>
            <w:proofErr w:type="spellStart"/>
            <w:r>
              <w:t>SetupRelease</w:t>
            </w:r>
            <w:proofErr w:type="spellEnd"/>
            <w:r>
              <w:t xml:space="preserve"> {IDC-AssistanceConfig-r16} </w:t>
            </w:r>
            <w:r>
              <w:rPr>
                <w:color w:val="993366"/>
              </w:rPr>
              <w:t>OPTIONAL</w:t>
            </w:r>
            <w:r>
              <w:t xml:space="preserve">, </w:t>
            </w:r>
            <w:r>
              <w:rPr>
                <w:color w:val="808080"/>
              </w:rPr>
              <w:t>-- Need M</w:t>
            </w:r>
          </w:p>
          <w:p w14:paraId="2E283802" w14:textId="77777777" w:rsidR="007159BE" w:rsidRDefault="007D3121">
            <w:pPr>
              <w:pStyle w:val="PL"/>
              <w:rPr>
                <w:color w:val="808080"/>
              </w:rPr>
            </w:pPr>
            <w:r>
              <w:t xml:space="preserve">    ...</w:t>
            </w:r>
          </w:p>
          <w:p w14:paraId="57F966D0" w14:textId="77777777" w:rsidR="007159BE" w:rsidRDefault="007D3121">
            <w:pPr>
              <w:pStyle w:val="PL"/>
            </w:pPr>
            <w:r>
              <w:t>}</w:t>
            </w:r>
          </w:p>
          <w:p w14:paraId="15EA1B59" w14:textId="77777777" w:rsidR="007159BE" w:rsidRDefault="007159BE">
            <w:pPr>
              <w:pStyle w:val="PL"/>
            </w:pPr>
          </w:p>
          <w:p w14:paraId="5127DA61" w14:textId="77777777" w:rsidR="007159BE" w:rsidRDefault="007D3121">
            <w:pPr>
              <w:pStyle w:val="PL"/>
            </w:pPr>
            <w:r>
              <w:t xml:space="preserve">IDC-AssistanceConfig-r16 ::=    </w:t>
            </w:r>
            <w:r>
              <w:rPr>
                <w:color w:val="993366"/>
              </w:rPr>
              <w:t>SEQUENCE</w:t>
            </w:r>
            <w:r>
              <w:t xml:space="preserve"> {</w:t>
            </w:r>
          </w:p>
          <w:p w14:paraId="00F1AC29" w14:textId="77777777" w:rsidR="007159BE" w:rsidRDefault="007D3121">
            <w:pPr>
              <w:pStyle w:val="PL"/>
              <w:rPr>
                <w:color w:val="808080"/>
              </w:rPr>
            </w:pPr>
            <w:r>
              <w:t xml:space="preserve">    candidateServingFreqListNR-r16  </w:t>
            </w:r>
            <w:proofErr w:type="spellStart"/>
            <w:r>
              <w:t>CandidateServingFreqListNR-r16</w:t>
            </w:r>
            <w:proofErr w:type="spellEnd"/>
            <w:r>
              <w:t xml:space="preserve">  </w:t>
            </w:r>
            <w:r>
              <w:rPr>
                <w:color w:val="993366"/>
              </w:rPr>
              <w:t>OPTIONAL</w:t>
            </w:r>
            <w:r>
              <w:t xml:space="preserve">, </w:t>
            </w:r>
            <w:r>
              <w:rPr>
                <w:color w:val="808080"/>
              </w:rPr>
              <w:t>-- Need R</w:t>
            </w:r>
          </w:p>
          <w:p w14:paraId="52664A1B" w14:textId="77777777" w:rsidR="007159BE" w:rsidRDefault="007D3121">
            <w:pPr>
              <w:pStyle w:val="PL"/>
            </w:pPr>
            <w:r>
              <w:t xml:space="preserve">    ...</w:t>
            </w:r>
          </w:p>
          <w:p w14:paraId="3935C3E7" w14:textId="77777777" w:rsidR="007159BE" w:rsidRDefault="007D3121">
            <w:pPr>
              <w:pStyle w:val="PL"/>
            </w:pPr>
            <w:r>
              <w:t>}</w:t>
            </w:r>
          </w:p>
          <w:p w14:paraId="5EA94EE8" w14:textId="77777777" w:rsidR="007159BE" w:rsidRDefault="007159BE">
            <w:pPr>
              <w:pStyle w:val="PL"/>
            </w:pPr>
          </w:p>
          <w:p w14:paraId="2044F9E4" w14:textId="77777777" w:rsidR="007159BE" w:rsidRDefault="007D3121">
            <w:pPr>
              <w:pStyle w:val="PL"/>
            </w:pPr>
            <w:r>
              <w:t xml:space="preserve">CandidateServingFreqListNR-r16 ::= </w:t>
            </w:r>
            <w:r>
              <w:rPr>
                <w:color w:val="993366"/>
              </w:rPr>
              <w:t>SEQUENCE</w:t>
            </w:r>
            <w:r>
              <w:t xml:space="preserve"> (</w:t>
            </w:r>
            <w:r>
              <w:rPr>
                <w:color w:val="993366"/>
              </w:rPr>
              <w:t>SIZE</w:t>
            </w:r>
            <w:r>
              <w:t xml:space="preserve"> (1..maxFreqIDC-r16))</w:t>
            </w:r>
            <w:r>
              <w:rPr>
                <w:color w:val="993366"/>
              </w:rPr>
              <w:t xml:space="preserve"> OF</w:t>
            </w:r>
            <w:r>
              <w:t xml:space="preserve"> ARFCN-</w:t>
            </w:r>
            <w:proofErr w:type="spellStart"/>
            <w:r>
              <w:t>ValueNR</w:t>
            </w:r>
            <w:proofErr w:type="spellEnd"/>
          </w:p>
        </w:tc>
      </w:tr>
    </w:tbl>
    <w:p w14:paraId="7D81F5CB" w14:textId="77777777" w:rsidR="007159BE" w:rsidRDefault="007159BE">
      <w:pPr>
        <w:rPr>
          <w:rFonts w:ascii="Arial" w:hAnsi="Arial"/>
          <w:lang w:eastAsia="zh-CN"/>
        </w:rPr>
      </w:pPr>
    </w:p>
    <w:p w14:paraId="7DBF57D1" w14:textId="77777777" w:rsidR="007159BE" w:rsidRDefault="007D3121">
      <w:pPr>
        <w:rPr>
          <w:rFonts w:ascii="Arial" w:hAnsi="Arial"/>
          <w:lang w:eastAsia="zh-CN"/>
        </w:rPr>
      </w:pPr>
      <w:r>
        <w:rPr>
          <w:rFonts w:ascii="Arial" w:hAnsi="Arial"/>
          <w:lang w:eastAsia="zh-CN"/>
        </w:rPr>
        <w:t>If the UE experiences (or will experience) IDC issues that the UE cannot solve by itself on any of those candidate ARFCNs, the UE sends an IDC indication:</w:t>
      </w:r>
    </w:p>
    <w:tbl>
      <w:tblPr>
        <w:tblStyle w:val="afc"/>
        <w:tblW w:w="0" w:type="auto"/>
        <w:tblInd w:w="279" w:type="dxa"/>
        <w:tblLook w:val="04A0" w:firstRow="1" w:lastRow="0" w:firstColumn="1" w:lastColumn="0" w:noHBand="0" w:noVBand="1"/>
      </w:tblPr>
      <w:tblGrid>
        <w:gridCol w:w="9072"/>
      </w:tblGrid>
      <w:tr w:rsidR="007159BE" w14:paraId="17824A0C" w14:textId="77777777">
        <w:tc>
          <w:tcPr>
            <w:tcW w:w="9072" w:type="dxa"/>
          </w:tcPr>
          <w:p w14:paraId="3098DC7F" w14:textId="77777777" w:rsidR="007159BE" w:rsidRDefault="007D3121">
            <w:pPr>
              <w:pStyle w:val="B1"/>
            </w:pPr>
            <w:r>
              <w:t>1&gt;</w:t>
            </w:r>
            <w:r>
              <w:tab/>
              <w:t>if configured to provide IDC assistance information:</w:t>
            </w:r>
          </w:p>
          <w:p w14:paraId="734FB971" w14:textId="77777777" w:rsidR="007159BE" w:rsidRDefault="007D3121">
            <w:pPr>
              <w:pStyle w:val="B2"/>
            </w:pPr>
            <w:r>
              <w:lastRenderedPageBreak/>
              <w:t>2&gt;</w:t>
            </w:r>
            <w:r>
              <w:tab/>
              <w:t xml:space="preserve">if the UE did not transmit a </w:t>
            </w:r>
            <w:proofErr w:type="spellStart"/>
            <w:r>
              <w:rPr>
                <w:i/>
                <w:iCs/>
              </w:rPr>
              <w:t>UEAssistanceInformation</w:t>
            </w:r>
            <w:proofErr w:type="spellEnd"/>
            <w:r>
              <w:t xml:space="preserve"> message</w:t>
            </w:r>
            <w:r>
              <w:rPr>
                <w:lang w:eastAsia="zh-CN"/>
              </w:rPr>
              <w:t xml:space="preserve"> with </w:t>
            </w:r>
            <w:proofErr w:type="spellStart"/>
            <w:r>
              <w:rPr>
                <w:i/>
                <w:iCs/>
              </w:rPr>
              <w:t>idc</w:t>
            </w:r>
            <w:proofErr w:type="spellEnd"/>
            <w:r>
              <w:rPr>
                <w:i/>
                <w:iCs/>
              </w:rPr>
              <w:t xml:space="preserve">-Assistance </w:t>
            </w:r>
            <w:r>
              <w:t>since it was configured to provide IDC assistance information:</w:t>
            </w:r>
          </w:p>
          <w:p w14:paraId="548A24ED" w14:textId="77777777" w:rsidR="007159BE" w:rsidRDefault="007D3121">
            <w:pPr>
              <w:pStyle w:val="B2"/>
              <w:ind w:left="1135"/>
            </w:pPr>
            <w:r>
              <w:t>3&gt;</w:t>
            </w:r>
            <w:r>
              <w:tab/>
              <w:t xml:space="preserve">if on one or more frequencies included in </w:t>
            </w:r>
            <w:proofErr w:type="spellStart"/>
            <w:r>
              <w:rPr>
                <w:i/>
                <w:iCs/>
              </w:rPr>
              <w:t>candidateServingFreqListNR</w:t>
            </w:r>
            <w:proofErr w:type="spellEnd"/>
            <w:r>
              <w:t>, the UE is experiencing IDC problems that it cannot solve by itself; or</w:t>
            </w:r>
          </w:p>
          <w:p w14:paraId="52B7821F" w14:textId="77777777" w:rsidR="007159BE" w:rsidRDefault="007D3121">
            <w:pPr>
              <w:pStyle w:val="B2"/>
              <w:ind w:left="1135"/>
            </w:pPr>
            <w:r>
              <w:t>3&gt;</w:t>
            </w:r>
            <w:r>
              <w:tab/>
              <w:t xml:space="preserve">if on one or more supported UL CA combination comprising of carrier frequencies included in </w:t>
            </w:r>
            <w:proofErr w:type="spellStart"/>
            <w:r>
              <w:rPr>
                <w:i/>
                <w:iCs/>
              </w:rPr>
              <w:t>candidateServingFreqListNR</w:t>
            </w:r>
            <w:proofErr w:type="spellEnd"/>
            <w:r>
              <w:t>, the UE is experiencing IDC problems that it cannot solve by itself:</w:t>
            </w:r>
          </w:p>
          <w:p w14:paraId="6507B9EC" w14:textId="77777777" w:rsidR="007159BE" w:rsidRDefault="007D3121">
            <w:pPr>
              <w:pStyle w:val="B4"/>
            </w:pPr>
            <w:r>
              <w:t>4&gt;</w:t>
            </w:r>
            <w:r>
              <w:tab/>
              <w:t xml:space="preserve">initiate transmission of the </w:t>
            </w:r>
            <w:proofErr w:type="spellStart"/>
            <w:r>
              <w:rPr>
                <w:i/>
                <w:iCs/>
              </w:rPr>
              <w:t>UEAssistanceInformation</w:t>
            </w:r>
            <w:proofErr w:type="spellEnd"/>
            <w:r>
              <w:t xml:space="preserve"> message in accordance with 5.</w:t>
            </w:r>
            <w:r>
              <w:rPr>
                <w:lang w:eastAsia="zh-CN"/>
              </w:rPr>
              <w:t>7</w:t>
            </w:r>
            <w:r>
              <w:t>.</w:t>
            </w:r>
            <w:r>
              <w:rPr>
                <w:lang w:eastAsia="zh-CN"/>
              </w:rPr>
              <w:t>4</w:t>
            </w:r>
            <w:r>
              <w:t>.3 to provide IDC assistance information;</w:t>
            </w:r>
          </w:p>
          <w:p w14:paraId="74748AB1" w14:textId="77777777" w:rsidR="007159BE" w:rsidRDefault="007D3121">
            <w:pPr>
              <w:pStyle w:val="B2"/>
            </w:pPr>
            <w:r>
              <w:t>2&gt;</w:t>
            </w:r>
            <w:r>
              <w:tab/>
              <w:t xml:space="preserve">else if the current IDC assistance information is different from the one indicated in the last transmission of the </w:t>
            </w:r>
            <w:proofErr w:type="spellStart"/>
            <w:r>
              <w:rPr>
                <w:i/>
                <w:iCs/>
              </w:rPr>
              <w:t>UEAssistanceInformation</w:t>
            </w:r>
            <w:proofErr w:type="spellEnd"/>
            <w:r>
              <w:t xml:space="preserve"> message:</w:t>
            </w:r>
          </w:p>
          <w:p w14:paraId="35F9A116" w14:textId="77777777" w:rsidR="007159BE" w:rsidRDefault="007D3121">
            <w:pPr>
              <w:pStyle w:val="B3"/>
            </w:pPr>
            <w:r>
              <w:t>3&gt;</w:t>
            </w:r>
            <w:r>
              <w:tab/>
              <w:t xml:space="preserve">initiate transmission of the </w:t>
            </w:r>
            <w:proofErr w:type="spellStart"/>
            <w:r>
              <w:rPr>
                <w:i/>
                <w:iCs/>
              </w:rPr>
              <w:t>UEAssistanceInformation</w:t>
            </w:r>
            <w:proofErr w:type="spellEnd"/>
            <w:r>
              <w:t xml:space="preserve"> message in accordance with 5.</w:t>
            </w:r>
            <w:r>
              <w:rPr>
                <w:lang w:eastAsia="zh-CN"/>
              </w:rPr>
              <w:t>7</w:t>
            </w:r>
            <w:r>
              <w:t>.</w:t>
            </w:r>
            <w:r>
              <w:rPr>
                <w:lang w:eastAsia="zh-CN"/>
              </w:rPr>
              <w:t>4</w:t>
            </w:r>
            <w:r>
              <w:t>.3 to provide IDC assistance information;</w:t>
            </w:r>
          </w:p>
          <w:p w14:paraId="44A59B57" w14:textId="77777777" w:rsidR="007159BE" w:rsidRDefault="007D3121">
            <w:pPr>
              <w:pStyle w:val="NO"/>
            </w:pPr>
            <w:r>
              <w:t>NOTE 1:</w:t>
            </w:r>
            <w:r>
              <w:tab/>
              <w:t>The term "IDC problems" refers to interference issues applicable across several subframes/slots where not necessarily all the subframes/slots are affected.</w:t>
            </w:r>
          </w:p>
          <w:p w14:paraId="204523FC" w14:textId="77777777" w:rsidR="007159BE" w:rsidRDefault="007D3121">
            <w:pPr>
              <w:pStyle w:val="NO"/>
              <w:rPr>
                <w:lang w:eastAsia="zh-CN"/>
              </w:rPr>
            </w:pPr>
            <w:r>
              <w:t>NOTE 2:</w:t>
            </w:r>
            <w:r>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br/>
              <w:t xml:space="preserve">For frequencies on which a </w:t>
            </w:r>
            <w:proofErr w:type="spellStart"/>
            <w:r>
              <w:t>SCell</w:t>
            </w:r>
            <w:proofErr w:type="spellEnd"/>
            <w:r>
              <w:t xml:space="preserve"> or </w:t>
            </w:r>
            <w:proofErr w:type="spellStart"/>
            <w:r>
              <w:t>SCells</w:t>
            </w:r>
            <w:proofErr w:type="spellEnd"/>
            <w:r>
              <w:t xml:space="preserve"> is configured that is deactivated, reporting IDC problems indicates an anticipation that the activation of the </w:t>
            </w:r>
            <w:proofErr w:type="spellStart"/>
            <w:r>
              <w:t>SCell</w:t>
            </w:r>
            <w:proofErr w:type="spellEnd"/>
            <w:r>
              <w:t xml:space="preserve"> or </w:t>
            </w:r>
            <w:proofErr w:type="spellStart"/>
            <w:r>
              <w:t>SCells</w:t>
            </w:r>
            <w:proofErr w:type="spellEnd"/>
            <w:r>
              <w:t xml:space="preserve"> would result in interference issues that the UE would not be able to solve by itself.</w:t>
            </w:r>
            <w:r>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tc>
      </w:tr>
    </w:tbl>
    <w:p w14:paraId="7C5F7D7B" w14:textId="77777777" w:rsidR="007159BE" w:rsidRDefault="007159BE">
      <w:pPr>
        <w:rPr>
          <w:rFonts w:ascii="Arial" w:hAnsi="Arial"/>
          <w:lang w:eastAsia="zh-CN"/>
        </w:rPr>
      </w:pPr>
    </w:p>
    <w:p w14:paraId="765DD0B1" w14:textId="77777777" w:rsidR="007159BE" w:rsidRDefault="007D3121">
      <w:pPr>
        <w:rPr>
          <w:rFonts w:ascii="Arial" w:hAnsi="Arial"/>
          <w:lang w:eastAsia="zh-CN"/>
        </w:rPr>
      </w:pPr>
      <w:r>
        <w:rPr>
          <w:rFonts w:ascii="Arial" w:hAnsi="Arial"/>
          <w:lang w:eastAsia="zh-CN"/>
        </w:rPr>
        <w:t xml:space="preserve">In this WI, RAN2 should </w:t>
      </w:r>
      <w:r w:rsidRPr="001E20DA">
        <w:rPr>
          <w:rFonts w:ascii="Arial" w:hAnsi="Arial"/>
          <w:highlight w:val="green"/>
          <w:lang w:eastAsia="zh-CN"/>
        </w:rPr>
        <w:t>increase the granularity from ARFCNs to something more granular</w:t>
      </w:r>
      <w:r>
        <w:rPr>
          <w:rFonts w:ascii="Arial" w:hAnsi="Arial"/>
          <w:lang w:eastAsia="zh-CN"/>
        </w:rPr>
        <w:t>. And the purpose of this discussion is to analyse and compare the candidate solution that were identified at RAN2#119. Such analysis should be done considering the applicable scenarios and should at least be in terms of complexity.</w:t>
      </w:r>
    </w:p>
    <w:p w14:paraId="081BFDA1" w14:textId="77777777" w:rsidR="007159BE" w:rsidRDefault="007D3121">
      <w:pPr>
        <w:rPr>
          <w:rFonts w:ascii="Arial" w:hAnsi="Arial"/>
          <w:lang w:eastAsia="zh-CN"/>
        </w:rPr>
      </w:pPr>
      <w:r>
        <w:rPr>
          <w:rFonts w:ascii="Arial" w:hAnsi="Arial"/>
          <w:lang w:eastAsia="zh-CN"/>
        </w:rPr>
        <w:t xml:space="preserve">Solutions still in on the table (from </w:t>
      </w:r>
      <w:hyperlink r:id="rId16" w:history="1">
        <w:r>
          <w:rPr>
            <w:rStyle w:val="aff1"/>
            <w:rFonts w:ascii="Arial" w:hAnsi="Arial"/>
            <w:lang w:eastAsia="zh-CN"/>
          </w:rPr>
          <w:t>R2-2208951</w:t>
        </w:r>
      </w:hyperlink>
      <w:r>
        <w:rPr>
          <w:rFonts w:ascii="Arial" w:hAnsi="Arial"/>
          <w:lang w:eastAsia="zh-CN"/>
        </w:rPr>
        <w:t>):</w:t>
      </w:r>
    </w:p>
    <w:p w14:paraId="34DDCF8C" w14:textId="77777777" w:rsidR="007159BE" w:rsidRDefault="007D3121">
      <w:pPr>
        <w:ind w:left="426" w:right="850"/>
        <w:rPr>
          <w:rFonts w:ascii="Arial" w:hAnsi="Arial"/>
          <w:lang w:eastAsia="zh-CN"/>
        </w:rPr>
      </w:pPr>
      <w:r>
        <w:rPr>
          <w:rFonts w:ascii="Arial" w:hAnsi="Arial"/>
          <w:b/>
          <w:bCs/>
          <w:lang w:eastAsia="zh-CN"/>
        </w:rPr>
        <w:t>Option 1</w:t>
      </w:r>
      <w:r>
        <w:rPr>
          <w:rFonts w:ascii="Arial" w:hAnsi="Arial"/>
          <w:lang w:eastAsia="zh-CN"/>
        </w:rPr>
        <w:t xml:space="preserve">: Central frequency + Bandwidth of the actual affected frequency range (3/14 for both serving and </w:t>
      </w:r>
      <w:proofErr w:type="spellStart"/>
      <w:r>
        <w:rPr>
          <w:rFonts w:ascii="Arial" w:hAnsi="Arial"/>
          <w:lang w:eastAsia="zh-CN"/>
        </w:rPr>
        <w:t>non serving</w:t>
      </w:r>
      <w:proofErr w:type="spellEnd"/>
      <w:r>
        <w:rPr>
          <w:rFonts w:ascii="Arial" w:hAnsi="Arial"/>
          <w:lang w:eastAsia="zh-CN"/>
        </w:rPr>
        <w:t xml:space="preserve"> frequency, 2/14 non serving frequency) </w:t>
      </w:r>
      <w:r>
        <w:rPr>
          <w:rFonts w:ascii="Arial" w:eastAsia="Malgun Gothic" w:hAnsi="Arial" w:cs="Arial"/>
          <w:lang w:val="en-US" w:eastAsia="ko-KR"/>
        </w:rPr>
        <w:t>[5], [6], [9], [11].</w:t>
      </w:r>
    </w:p>
    <w:p w14:paraId="3C700154" w14:textId="77777777" w:rsidR="007159BE" w:rsidRDefault="007D3121">
      <w:pPr>
        <w:ind w:left="426" w:right="850"/>
        <w:rPr>
          <w:rFonts w:ascii="Arial" w:hAnsi="Arial"/>
          <w:lang w:eastAsia="zh-CN"/>
        </w:rPr>
      </w:pPr>
      <w:r>
        <w:rPr>
          <w:rFonts w:ascii="Arial" w:hAnsi="Arial"/>
          <w:b/>
          <w:bCs/>
          <w:lang w:eastAsia="zh-CN"/>
        </w:rPr>
        <w:t>Option 2</w:t>
      </w:r>
      <w:r>
        <w:rPr>
          <w:rFonts w:ascii="Arial" w:hAnsi="Arial"/>
          <w:lang w:eastAsia="zh-CN"/>
        </w:rPr>
        <w:t xml:space="preserve">: Starting frequency + Ending frequency of the actual affected frequency range (2/14 for both serving frequency and non-serving frequency) </w:t>
      </w:r>
      <w:r>
        <w:rPr>
          <w:rFonts w:ascii="Arial" w:eastAsia="Malgun Gothic" w:hAnsi="Arial" w:cs="Arial"/>
          <w:lang w:val="en-US" w:eastAsia="ko-KR"/>
        </w:rPr>
        <w:t>[5], [6].</w:t>
      </w:r>
    </w:p>
    <w:p w14:paraId="2FEFDAB1" w14:textId="77777777" w:rsidR="007159BE" w:rsidRDefault="007D3121">
      <w:pPr>
        <w:ind w:left="426" w:right="850"/>
        <w:rPr>
          <w:rFonts w:ascii="Arial" w:hAnsi="Arial"/>
          <w:lang w:eastAsia="zh-CN"/>
        </w:rPr>
      </w:pPr>
      <w:r>
        <w:rPr>
          <w:rFonts w:ascii="Arial" w:hAnsi="Arial"/>
          <w:b/>
          <w:bCs/>
          <w:lang w:eastAsia="zh-CN"/>
        </w:rPr>
        <w:t>Option 2a</w:t>
      </w:r>
      <w:r>
        <w:rPr>
          <w:rFonts w:ascii="Arial" w:hAnsi="Arial"/>
          <w:lang w:eastAsia="zh-CN"/>
        </w:rPr>
        <w:t xml:space="preserve">: starting frequency + Bandwidth of the actual affected frequency range (1/14 for both serving frequency and non-serving frequency) </w:t>
      </w:r>
      <w:r>
        <w:rPr>
          <w:rFonts w:ascii="Arial" w:eastAsia="Malgun Gothic" w:hAnsi="Arial" w:cs="Arial"/>
          <w:lang w:val="en-US" w:eastAsia="ko-KR"/>
        </w:rPr>
        <w:t>[6].</w:t>
      </w:r>
    </w:p>
    <w:p w14:paraId="1FA596B6" w14:textId="77777777" w:rsidR="007159BE" w:rsidRDefault="007D3121">
      <w:pPr>
        <w:ind w:left="426" w:right="850"/>
        <w:rPr>
          <w:rFonts w:ascii="Arial" w:hAnsi="Arial"/>
          <w:lang w:eastAsia="zh-CN"/>
        </w:rPr>
      </w:pPr>
      <w:r>
        <w:rPr>
          <w:rFonts w:ascii="Arial" w:hAnsi="Arial"/>
          <w:b/>
          <w:bCs/>
          <w:lang w:eastAsia="zh-CN"/>
        </w:rPr>
        <w:t>Option 3</w:t>
      </w:r>
      <w:r>
        <w:rPr>
          <w:rFonts w:ascii="Arial" w:hAnsi="Arial"/>
          <w:lang w:eastAsia="zh-CN"/>
        </w:rPr>
        <w:t xml:space="preserve">: BWP-based reporting using BWP ID (5/14 serving frequency only , 2/14 for both serving and </w:t>
      </w:r>
      <w:proofErr w:type="spellStart"/>
      <w:r>
        <w:rPr>
          <w:rFonts w:ascii="Arial" w:hAnsi="Arial"/>
          <w:lang w:eastAsia="zh-CN"/>
        </w:rPr>
        <w:t>non serving</w:t>
      </w:r>
      <w:proofErr w:type="spellEnd"/>
      <w:r>
        <w:rPr>
          <w:rFonts w:ascii="Arial" w:hAnsi="Arial"/>
          <w:lang w:eastAsia="zh-CN"/>
        </w:rPr>
        <w:t xml:space="preserve"> frequency) </w:t>
      </w:r>
      <w:r>
        <w:rPr>
          <w:rFonts w:ascii="Arial" w:eastAsia="Malgun Gothic" w:hAnsi="Arial" w:cs="Arial"/>
          <w:lang w:val="en-US" w:eastAsia="ko-KR"/>
        </w:rPr>
        <w:t>[1], [6], [7], [10], [12], [13].</w:t>
      </w:r>
    </w:p>
    <w:p w14:paraId="2E9398DD" w14:textId="77777777" w:rsidR="007159BE" w:rsidRDefault="007D3121">
      <w:pPr>
        <w:ind w:left="426" w:right="850"/>
        <w:rPr>
          <w:rFonts w:ascii="Arial" w:hAnsi="Arial"/>
          <w:lang w:eastAsia="zh-CN"/>
        </w:rPr>
      </w:pPr>
      <w:r>
        <w:rPr>
          <w:rFonts w:ascii="Arial" w:hAnsi="Arial"/>
          <w:b/>
          <w:bCs/>
          <w:lang w:eastAsia="zh-CN"/>
        </w:rPr>
        <w:t>Option 4</w:t>
      </w:r>
      <w:r>
        <w:rPr>
          <w:rFonts w:ascii="Arial" w:hAnsi="Arial"/>
          <w:lang w:eastAsia="zh-CN"/>
        </w:rPr>
        <w:t xml:space="preserve">: BWP-based reporting using BWP ID + PRB index (2/14 for serving frequency) </w:t>
      </w:r>
      <w:r>
        <w:rPr>
          <w:rFonts w:ascii="Arial" w:eastAsia="Malgun Gothic" w:hAnsi="Arial" w:cs="Arial"/>
          <w:lang w:val="en-US" w:eastAsia="ko-KR"/>
        </w:rPr>
        <w:t>[6]. [7], [9].</w:t>
      </w:r>
    </w:p>
    <w:p w14:paraId="6F5C1A78" w14:textId="77777777" w:rsidR="007159BE" w:rsidRDefault="007D3121">
      <w:pPr>
        <w:ind w:left="426" w:right="850"/>
        <w:rPr>
          <w:rFonts w:ascii="Arial" w:hAnsi="Arial"/>
          <w:lang w:eastAsia="zh-CN"/>
        </w:rPr>
      </w:pPr>
      <w:r>
        <w:rPr>
          <w:rFonts w:ascii="Arial" w:hAnsi="Arial"/>
          <w:b/>
          <w:bCs/>
          <w:lang w:eastAsia="zh-CN"/>
        </w:rPr>
        <w:t>Option 5</w:t>
      </w:r>
      <w:r>
        <w:rPr>
          <w:rFonts w:ascii="Arial" w:hAnsi="Arial"/>
          <w:lang w:eastAsia="zh-CN"/>
        </w:rPr>
        <w:t>: Measurement object ID [5] (1/14 – For LTE frequency only)</w:t>
      </w:r>
    </w:p>
    <w:p w14:paraId="3B7052AC" w14:textId="77777777" w:rsidR="007159BE" w:rsidRDefault="007D3121">
      <w:pPr>
        <w:ind w:left="426" w:right="850"/>
        <w:rPr>
          <w:rFonts w:ascii="Arial" w:hAnsi="Arial" w:cs="Arial"/>
          <w:lang w:eastAsia="zh-CN"/>
        </w:rPr>
      </w:pPr>
      <w:r>
        <w:rPr>
          <w:rFonts w:ascii="Arial" w:hAnsi="Arial"/>
          <w:b/>
          <w:bCs/>
          <w:lang w:eastAsia="zh-CN"/>
        </w:rPr>
        <w:t>Option 6</w:t>
      </w:r>
      <w:r>
        <w:rPr>
          <w:rFonts w:ascii="Arial" w:hAnsi="Arial"/>
          <w:lang w:eastAsia="zh-CN"/>
        </w:rPr>
        <w:t xml:space="preserve">: Resource Block Group (RBG) based reporting (1/14 for both serving frequency and non-serving frequency) </w:t>
      </w:r>
      <w:r>
        <w:rPr>
          <w:rFonts w:ascii="Arial" w:hAnsi="Arial" w:cs="Arial"/>
          <w:lang w:eastAsia="zh-CN"/>
        </w:rPr>
        <w:t>[8].</w:t>
      </w:r>
    </w:p>
    <w:p w14:paraId="5F206BAC" w14:textId="77777777" w:rsidR="007159BE" w:rsidRDefault="007159BE">
      <w:pPr>
        <w:rPr>
          <w:rFonts w:ascii="Arial" w:hAnsi="Arial"/>
          <w:lang w:val="sv-SE" w:eastAsia="zh-CN"/>
        </w:rPr>
      </w:pPr>
    </w:p>
    <w:p w14:paraId="79CF817E" w14:textId="77777777" w:rsidR="007159BE" w:rsidRDefault="007D3121">
      <w:pPr>
        <w:pStyle w:val="1"/>
        <w:rPr>
          <w:lang w:val="sv-SE" w:eastAsia="zh-CN"/>
        </w:rPr>
      </w:pPr>
      <w:r>
        <w:rPr>
          <w:lang w:val="sv-SE" w:eastAsia="zh-CN"/>
        </w:rPr>
        <w:lastRenderedPageBreak/>
        <w:t>4</w:t>
      </w:r>
      <w:r>
        <w:rPr>
          <w:lang w:val="sv-SE" w:eastAsia="zh-CN"/>
        </w:rPr>
        <w:tab/>
        <w:t>Discussion</w:t>
      </w:r>
    </w:p>
    <w:p w14:paraId="28A7C113" w14:textId="77777777" w:rsidR="007159BE" w:rsidRDefault="007D3121">
      <w:pPr>
        <w:rPr>
          <w:rFonts w:ascii="Arial" w:hAnsi="Arial"/>
          <w:lang w:eastAsia="zh-CN"/>
        </w:rPr>
      </w:pPr>
      <w:r>
        <w:rPr>
          <w:rFonts w:ascii="Arial" w:hAnsi="Arial"/>
          <w:lang w:eastAsia="zh-CN"/>
        </w:rPr>
        <w:t xml:space="preserve">Some companies discussed in their papers whether the enhancement should work also for non-serving frequencies (i.e. frequency resources which the UE is currently not using). First, the rapporteur suggests getting a common understanding </w:t>
      </w:r>
      <w:r w:rsidRPr="00392C31">
        <w:rPr>
          <w:rFonts w:ascii="Arial" w:hAnsi="Arial"/>
          <w:highlight w:val="yellow"/>
          <w:lang w:eastAsia="zh-CN"/>
        </w:rPr>
        <w:t>whether the enhanced FDM-granularity should work both on serving and non-serving frequencies.</w:t>
      </w:r>
    </w:p>
    <w:p w14:paraId="46A6CAF2" w14:textId="77777777" w:rsidR="007159BE" w:rsidRDefault="007D3121">
      <w:pPr>
        <w:rPr>
          <w:rFonts w:ascii="Arial" w:hAnsi="Arial"/>
          <w:b/>
          <w:bCs/>
          <w:lang w:eastAsia="zh-CN"/>
        </w:rPr>
      </w:pPr>
      <w:r>
        <w:rPr>
          <w:rFonts w:ascii="Arial" w:hAnsi="Arial"/>
          <w:b/>
          <w:bCs/>
          <w:lang w:eastAsia="zh-CN"/>
        </w:rPr>
        <w:t>Q1: Is it a requirement that RAN2 must define solution(s) for both serving and non-serving frequencies?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1139"/>
        <w:gridCol w:w="7094"/>
      </w:tblGrid>
      <w:tr w:rsidR="007159BE" w14:paraId="6AA38332" w14:textId="77777777" w:rsidTr="00906D30">
        <w:tc>
          <w:tcPr>
            <w:tcW w:w="1396" w:type="dxa"/>
            <w:tcBorders>
              <w:top w:val="single" w:sz="4" w:space="0" w:color="auto"/>
              <w:left w:val="single" w:sz="4" w:space="0" w:color="auto"/>
              <w:bottom w:val="single" w:sz="4" w:space="0" w:color="auto"/>
              <w:right w:val="single" w:sz="4" w:space="0" w:color="auto"/>
            </w:tcBorders>
            <w:shd w:val="clear" w:color="auto" w:fill="D9D9D9"/>
          </w:tcPr>
          <w:p w14:paraId="07C485FA" w14:textId="77777777" w:rsidR="007159BE" w:rsidRDefault="007D3121">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tcPr>
          <w:p w14:paraId="1954760E" w14:textId="77777777" w:rsidR="007159BE" w:rsidRDefault="007D3121">
            <w:pPr>
              <w:spacing w:after="0"/>
              <w:rPr>
                <w:rFonts w:ascii="Arial" w:hAnsi="Arial" w:cs="Arial"/>
                <w:b/>
                <w:bCs/>
                <w:lang w:eastAsia="zh-CN"/>
              </w:rPr>
            </w:pPr>
            <w:r>
              <w:rPr>
                <w:rFonts w:ascii="Arial" w:hAnsi="Arial" w:cs="Arial"/>
                <w:b/>
                <w:bCs/>
                <w:lang w:eastAsia="zh-CN"/>
              </w:rPr>
              <w:t>Yes/No</w:t>
            </w:r>
          </w:p>
        </w:tc>
        <w:tc>
          <w:tcPr>
            <w:tcW w:w="7094" w:type="dxa"/>
            <w:tcBorders>
              <w:top w:val="single" w:sz="4" w:space="0" w:color="auto"/>
              <w:left w:val="single" w:sz="4" w:space="0" w:color="auto"/>
              <w:bottom w:val="single" w:sz="4" w:space="0" w:color="auto"/>
              <w:right w:val="single" w:sz="4" w:space="0" w:color="auto"/>
            </w:tcBorders>
            <w:shd w:val="clear" w:color="auto" w:fill="D9D9D9"/>
          </w:tcPr>
          <w:p w14:paraId="5841AD55" w14:textId="77777777" w:rsidR="007159BE" w:rsidRDefault="007D3121">
            <w:pPr>
              <w:spacing w:after="0"/>
              <w:rPr>
                <w:rFonts w:ascii="Arial" w:hAnsi="Arial" w:cs="Arial"/>
                <w:b/>
                <w:bCs/>
                <w:lang w:eastAsia="zh-CN"/>
              </w:rPr>
            </w:pPr>
            <w:r>
              <w:rPr>
                <w:rFonts w:ascii="Arial" w:hAnsi="Arial" w:cs="Arial"/>
                <w:b/>
                <w:bCs/>
                <w:lang w:eastAsia="zh-CN"/>
              </w:rPr>
              <w:t>Comments</w:t>
            </w:r>
          </w:p>
        </w:tc>
      </w:tr>
      <w:tr w:rsidR="007159BE" w14:paraId="401047DB" w14:textId="77777777" w:rsidTr="00906D30">
        <w:tc>
          <w:tcPr>
            <w:tcW w:w="1396" w:type="dxa"/>
            <w:tcBorders>
              <w:top w:val="single" w:sz="4" w:space="0" w:color="auto"/>
              <w:left w:val="single" w:sz="4" w:space="0" w:color="auto"/>
              <w:bottom w:val="single" w:sz="4" w:space="0" w:color="auto"/>
              <w:right w:val="single" w:sz="4" w:space="0" w:color="auto"/>
            </w:tcBorders>
          </w:tcPr>
          <w:p w14:paraId="1DED15E5" w14:textId="77777777" w:rsidR="007159BE" w:rsidRDefault="007D3121">
            <w:pPr>
              <w:spacing w:after="0"/>
              <w:rPr>
                <w:rFonts w:ascii="Arial" w:eastAsia="MS Mincho" w:hAnsi="Arial" w:cs="Arial"/>
                <w:bCs/>
              </w:rPr>
            </w:pPr>
            <w:r>
              <w:rPr>
                <w:rFonts w:ascii="Arial" w:eastAsia="MS Mincho" w:hAnsi="Arial" w:cs="Arial"/>
                <w:bCs/>
              </w:rPr>
              <w:t>Nokia</w:t>
            </w:r>
          </w:p>
        </w:tc>
        <w:tc>
          <w:tcPr>
            <w:tcW w:w="1139" w:type="dxa"/>
            <w:tcBorders>
              <w:top w:val="single" w:sz="4" w:space="0" w:color="auto"/>
              <w:left w:val="single" w:sz="4" w:space="0" w:color="auto"/>
              <w:bottom w:val="single" w:sz="4" w:space="0" w:color="auto"/>
              <w:right w:val="single" w:sz="4" w:space="0" w:color="auto"/>
            </w:tcBorders>
          </w:tcPr>
          <w:p w14:paraId="2B6DA7EB" w14:textId="77777777" w:rsidR="007159BE" w:rsidRDefault="007D3121">
            <w:pPr>
              <w:spacing w:after="0"/>
              <w:rPr>
                <w:rFonts w:ascii="Arial" w:eastAsia="MS Mincho" w:hAnsi="Arial" w:cs="Arial"/>
                <w:bCs/>
              </w:rPr>
            </w:pPr>
            <w:r>
              <w:rPr>
                <w:rFonts w:ascii="Arial" w:eastAsia="MS Mincho" w:hAnsi="Arial" w:cs="Arial"/>
                <w:bCs/>
              </w:rPr>
              <w:t xml:space="preserve">Yes </w:t>
            </w:r>
          </w:p>
        </w:tc>
        <w:tc>
          <w:tcPr>
            <w:tcW w:w="7094" w:type="dxa"/>
            <w:tcBorders>
              <w:top w:val="single" w:sz="4" w:space="0" w:color="auto"/>
              <w:left w:val="single" w:sz="4" w:space="0" w:color="auto"/>
              <w:bottom w:val="single" w:sz="4" w:space="0" w:color="auto"/>
              <w:right w:val="single" w:sz="4" w:space="0" w:color="auto"/>
            </w:tcBorders>
          </w:tcPr>
          <w:p w14:paraId="28CF9EEA" w14:textId="77777777" w:rsidR="007159BE" w:rsidRDefault="007D3121">
            <w:pPr>
              <w:spacing w:after="0"/>
              <w:rPr>
                <w:rFonts w:ascii="Arial" w:eastAsia="MS Mincho" w:hAnsi="Arial" w:cs="Arial"/>
                <w:bCs/>
              </w:rPr>
            </w:pPr>
            <w:r>
              <w:rPr>
                <w:rFonts w:ascii="Arial" w:eastAsia="MS Mincho" w:hAnsi="Arial" w:cs="Arial"/>
                <w:bCs/>
              </w:rPr>
              <w:t>Solution should work for non-serving frequencies naturally. We do not see any issue allowing finer granularity for non-serving cells as well.</w:t>
            </w:r>
          </w:p>
        </w:tc>
      </w:tr>
      <w:tr w:rsidR="007159BE" w14:paraId="4268AA94" w14:textId="77777777" w:rsidTr="00906D30">
        <w:tc>
          <w:tcPr>
            <w:tcW w:w="1396" w:type="dxa"/>
            <w:tcBorders>
              <w:top w:val="single" w:sz="4" w:space="0" w:color="auto"/>
              <w:left w:val="single" w:sz="4" w:space="0" w:color="auto"/>
              <w:bottom w:val="single" w:sz="4" w:space="0" w:color="auto"/>
              <w:right w:val="single" w:sz="4" w:space="0" w:color="auto"/>
            </w:tcBorders>
          </w:tcPr>
          <w:p w14:paraId="4BA17606" w14:textId="77777777" w:rsidR="007159BE" w:rsidRDefault="007D3121">
            <w:pPr>
              <w:spacing w:after="0"/>
              <w:rPr>
                <w:rFonts w:ascii="Arial" w:eastAsia="MS Mincho" w:hAnsi="Arial" w:cs="Arial"/>
                <w:bCs/>
              </w:rPr>
            </w:pPr>
            <w:r>
              <w:rPr>
                <w:rFonts w:ascii="Arial" w:eastAsia="MS Mincho" w:hAnsi="Arial" w:cs="Arial"/>
                <w:bCs/>
              </w:rPr>
              <w:t>Xiaomi</w:t>
            </w:r>
          </w:p>
        </w:tc>
        <w:tc>
          <w:tcPr>
            <w:tcW w:w="1139" w:type="dxa"/>
            <w:tcBorders>
              <w:top w:val="single" w:sz="4" w:space="0" w:color="auto"/>
              <w:left w:val="single" w:sz="4" w:space="0" w:color="auto"/>
              <w:bottom w:val="single" w:sz="4" w:space="0" w:color="auto"/>
              <w:right w:val="single" w:sz="4" w:space="0" w:color="auto"/>
            </w:tcBorders>
          </w:tcPr>
          <w:p w14:paraId="0C399960" w14:textId="77777777" w:rsidR="007159BE" w:rsidRDefault="007D3121">
            <w:pPr>
              <w:spacing w:after="0"/>
              <w:rPr>
                <w:rFonts w:ascii="Arial" w:eastAsia="MS Mincho" w:hAnsi="Arial" w:cs="Arial"/>
                <w:bCs/>
              </w:rPr>
            </w:pPr>
            <w:r>
              <w:rPr>
                <w:rFonts w:ascii="Arial" w:eastAsia="MS Mincho" w:hAnsi="Arial" w:cs="Arial"/>
                <w:bCs/>
              </w:rPr>
              <w:t>Yes</w:t>
            </w:r>
          </w:p>
        </w:tc>
        <w:tc>
          <w:tcPr>
            <w:tcW w:w="7094" w:type="dxa"/>
            <w:tcBorders>
              <w:top w:val="single" w:sz="4" w:space="0" w:color="auto"/>
              <w:left w:val="single" w:sz="4" w:space="0" w:color="auto"/>
              <w:bottom w:val="single" w:sz="4" w:space="0" w:color="auto"/>
              <w:right w:val="single" w:sz="4" w:space="0" w:color="auto"/>
            </w:tcBorders>
          </w:tcPr>
          <w:p w14:paraId="18BDBF82" w14:textId="77777777" w:rsidR="007159BE" w:rsidRDefault="007D3121">
            <w:pPr>
              <w:spacing w:after="0"/>
              <w:rPr>
                <w:rFonts w:ascii="Arial" w:eastAsia="MS Mincho" w:hAnsi="Arial" w:cs="Arial"/>
                <w:bCs/>
              </w:rPr>
            </w:pPr>
            <w:r>
              <w:rPr>
                <w:rFonts w:ascii="Arial" w:eastAsia="MS Mincho" w:hAnsi="Arial" w:cs="Arial"/>
                <w:bCs/>
              </w:rPr>
              <w:t xml:space="preserve">We think that a non-serving frequency could be later-on configured as serving frequency, or vice-versa. If the UE can use </w:t>
            </w:r>
            <w:r>
              <w:rPr>
                <w:rFonts w:ascii="Arial" w:hAnsi="Arial"/>
                <w:lang w:eastAsia="zh-CN"/>
              </w:rPr>
              <w:t>the enhanced FDM-granularity for the non-serving frequency, the UE does not need to send extra frequency indications when the affected frequency is changed between non-serving frequency and serving frequency.</w:t>
            </w:r>
            <w:r>
              <w:rPr>
                <w:rFonts w:ascii="Arial" w:hAnsi="Arial"/>
              </w:rPr>
              <w:t xml:space="preserve"> This can save some signalling overheads.</w:t>
            </w:r>
          </w:p>
        </w:tc>
      </w:tr>
      <w:tr w:rsidR="007159BE" w14:paraId="7369FD28" w14:textId="77777777" w:rsidTr="00906D30">
        <w:tc>
          <w:tcPr>
            <w:tcW w:w="1396" w:type="dxa"/>
            <w:tcBorders>
              <w:top w:val="single" w:sz="4" w:space="0" w:color="auto"/>
              <w:left w:val="single" w:sz="4" w:space="0" w:color="auto"/>
              <w:bottom w:val="single" w:sz="4" w:space="0" w:color="auto"/>
              <w:right w:val="single" w:sz="4" w:space="0" w:color="auto"/>
            </w:tcBorders>
          </w:tcPr>
          <w:p w14:paraId="4464CD20" w14:textId="77777777" w:rsidR="007159BE" w:rsidRDefault="007D3121">
            <w:pPr>
              <w:spacing w:after="0"/>
              <w:rPr>
                <w:rFonts w:ascii="Arial" w:eastAsia="MS Mincho" w:hAnsi="Arial" w:cs="Arial"/>
                <w:bCs/>
              </w:rPr>
            </w:pPr>
            <w:r>
              <w:rPr>
                <w:rFonts w:ascii="Arial" w:eastAsia="MS Mincho" w:hAnsi="Arial" w:cs="Arial"/>
                <w:bCs/>
              </w:rPr>
              <w:t>OPPO</w:t>
            </w:r>
          </w:p>
        </w:tc>
        <w:tc>
          <w:tcPr>
            <w:tcW w:w="1139" w:type="dxa"/>
            <w:tcBorders>
              <w:top w:val="single" w:sz="4" w:space="0" w:color="auto"/>
              <w:left w:val="single" w:sz="4" w:space="0" w:color="auto"/>
              <w:bottom w:val="single" w:sz="4" w:space="0" w:color="auto"/>
              <w:right w:val="single" w:sz="4" w:space="0" w:color="auto"/>
            </w:tcBorders>
          </w:tcPr>
          <w:p w14:paraId="6A1E2AE6" w14:textId="77777777" w:rsidR="007159BE" w:rsidRDefault="007D3121">
            <w:pPr>
              <w:spacing w:after="0"/>
              <w:rPr>
                <w:rFonts w:ascii="Arial" w:eastAsia="MS Mincho" w:hAnsi="Arial" w:cs="Arial"/>
                <w:bCs/>
              </w:rPr>
            </w:pPr>
            <w:r>
              <w:rPr>
                <w:rFonts w:ascii="Arial" w:eastAsia="MS Mincho" w:hAnsi="Arial" w:cs="Arial"/>
                <w:bCs/>
              </w:rPr>
              <w:t>No</w:t>
            </w:r>
          </w:p>
        </w:tc>
        <w:tc>
          <w:tcPr>
            <w:tcW w:w="7094" w:type="dxa"/>
            <w:tcBorders>
              <w:top w:val="single" w:sz="4" w:space="0" w:color="auto"/>
              <w:left w:val="single" w:sz="4" w:space="0" w:color="auto"/>
              <w:bottom w:val="single" w:sz="4" w:space="0" w:color="auto"/>
              <w:right w:val="single" w:sz="4" w:space="0" w:color="auto"/>
            </w:tcBorders>
          </w:tcPr>
          <w:p w14:paraId="2260B770" w14:textId="77777777" w:rsidR="007159BE" w:rsidRDefault="007D3121">
            <w:pPr>
              <w:spacing w:after="0"/>
              <w:rPr>
                <w:rFonts w:ascii="Arial" w:eastAsia="MS Mincho" w:hAnsi="Arial" w:cs="Arial"/>
                <w:bCs/>
              </w:rPr>
            </w:pPr>
            <w:r>
              <w:rPr>
                <w:rFonts w:ascii="Arial" w:eastAsia="MS Mincho" w:hAnsi="Arial" w:cs="Arial"/>
                <w:bCs/>
              </w:rPr>
              <w:t>We don’t prefer to further enhance non-serving, i.e., the legacy ARFCN based approach works well.</w:t>
            </w:r>
          </w:p>
        </w:tc>
      </w:tr>
      <w:tr w:rsidR="007159BE" w14:paraId="6E8E0670" w14:textId="77777777" w:rsidTr="00906D30">
        <w:tc>
          <w:tcPr>
            <w:tcW w:w="1396" w:type="dxa"/>
            <w:tcBorders>
              <w:top w:val="single" w:sz="4" w:space="0" w:color="auto"/>
              <w:left w:val="single" w:sz="4" w:space="0" w:color="auto"/>
              <w:bottom w:val="single" w:sz="4" w:space="0" w:color="auto"/>
              <w:right w:val="single" w:sz="4" w:space="0" w:color="auto"/>
            </w:tcBorders>
          </w:tcPr>
          <w:p w14:paraId="4421CD95" w14:textId="77777777" w:rsidR="007159BE" w:rsidRDefault="007D3121">
            <w:pPr>
              <w:spacing w:after="0"/>
              <w:rPr>
                <w:rFonts w:ascii="Arial" w:eastAsia="MS Mincho" w:hAnsi="Arial" w:cs="Arial"/>
                <w:bCs/>
              </w:rPr>
            </w:pPr>
            <w:r>
              <w:rPr>
                <w:rFonts w:ascii="Arial" w:eastAsia="MS Mincho" w:hAnsi="Arial" w:cs="Arial"/>
                <w:bCs/>
              </w:rPr>
              <w:t>Qualcomm</w:t>
            </w:r>
          </w:p>
        </w:tc>
        <w:tc>
          <w:tcPr>
            <w:tcW w:w="1139" w:type="dxa"/>
            <w:tcBorders>
              <w:top w:val="single" w:sz="4" w:space="0" w:color="auto"/>
              <w:left w:val="single" w:sz="4" w:space="0" w:color="auto"/>
              <w:bottom w:val="single" w:sz="4" w:space="0" w:color="auto"/>
              <w:right w:val="single" w:sz="4" w:space="0" w:color="auto"/>
            </w:tcBorders>
          </w:tcPr>
          <w:p w14:paraId="5FD8B640" w14:textId="77777777" w:rsidR="007159BE" w:rsidRDefault="007D3121">
            <w:pPr>
              <w:spacing w:after="0"/>
              <w:rPr>
                <w:rFonts w:ascii="Arial" w:eastAsia="MS Mincho" w:hAnsi="Arial" w:cs="Arial"/>
                <w:bCs/>
              </w:rPr>
            </w:pPr>
            <w:r>
              <w:rPr>
                <w:rFonts w:ascii="Arial" w:eastAsia="MS Mincho" w:hAnsi="Arial" w:cs="Arial"/>
                <w:bCs/>
              </w:rPr>
              <w:t>No</w:t>
            </w:r>
          </w:p>
        </w:tc>
        <w:tc>
          <w:tcPr>
            <w:tcW w:w="7094" w:type="dxa"/>
            <w:tcBorders>
              <w:top w:val="single" w:sz="4" w:space="0" w:color="auto"/>
              <w:left w:val="single" w:sz="4" w:space="0" w:color="auto"/>
              <w:bottom w:val="single" w:sz="4" w:space="0" w:color="auto"/>
              <w:right w:val="single" w:sz="4" w:space="0" w:color="auto"/>
            </w:tcBorders>
          </w:tcPr>
          <w:p w14:paraId="17D4AF63" w14:textId="77777777" w:rsidR="007159BE" w:rsidRDefault="007D3121">
            <w:pPr>
              <w:spacing w:after="0"/>
              <w:rPr>
                <w:rFonts w:ascii="Arial" w:eastAsia="MS Mincho" w:hAnsi="Arial" w:cs="Arial"/>
                <w:bCs/>
              </w:rPr>
            </w:pPr>
            <w:r>
              <w:rPr>
                <w:rFonts w:ascii="Arial" w:eastAsia="MS Mincho" w:hAnsi="Arial" w:cs="Arial"/>
                <w:bCs/>
              </w:rPr>
              <w:t xml:space="preserve">There is no technical reason to start off the discussion with a condition that would restrict our design for serving cell (for example </w:t>
            </w:r>
            <w:proofErr w:type="spellStart"/>
            <w:r>
              <w:rPr>
                <w:rFonts w:ascii="Arial" w:eastAsia="MS Mincho" w:hAnsi="Arial" w:cs="Arial"/>
                <w:bCs/>
              </w:rPr>
              <w:t>wrt</w:t>
            </w:r>
            <w:proofErr w:type="spellEnd"/>
            <w:r>
              <w:rPr>
                <w:rFonts w:ascii="Arial" w:eastAsia="MS Mincho" w:hAnsi="Arial" w:cs="Arial"/>
                <w:bCs/>
              </w:rPr>
              <w:t xml:space="preserve"> to BWP reporting). Obviously, most of the time the </w:t>
            </w:r>
            <w:proofErr w:type="spellStart"/>
            <w:r>
              <w:rPr>
                <w:rFonts w:ascii="Arial" w:eastAsia="MS Mincho" w:hAnsi="Arial" w:cs="Arial"/>
                <w:bCs/>
              </w:rPr>
              <w:t>gNB</w:t>
            </w:r>
            <w:proofErr w:type="spellEnd"/>
            <w:r>
              <w:rPr>
                <w:rFonts w:ascii="Arial" w:eastAsia="MS Mincho" w:hAnsi="Arial" w:cs="Arial"/>
                <w:bCs/>
              </w:rPr>
              <w:t xml:space="preserve"> would be trying to solve the issue for the serving cell, that is why we enhance frequency granularity to begin with, to allow the serving cell extra visibility to solve the IDC problem without resorting to HO, so it is counter-intuitive to condition the measurement of the serving cell to being applicable to the non-serving cell and indeed is not a common method to approach measurements. </w:t>
            </w:r>
          </w:p>
          <w:p w14:paraId="55591F49" w14:textId="77777777" w:rsidR="007159BE" w:rsidRDefault="007159BE">
            <w:pPr>
              <w:spacing w:after="0"/>
              <w:rPr>
                <w:rFonts w:ascii="Arial" w:eastAsia="MS Mincho" w:hAnsi="Arial" w:cs="Arial"/>
                <w:bCs/>
              </w:rPr>
            </w:pPr>
          </w:p>
          <w:p w14:paraId="571227CF" w14:textId="77777777" w:rsidR="007159BE" w:rsidRDefault="007D3121">
            <w:pPr>
              <w:spacing w:after="0"/>
              <w:rPr>
                <w:rFonts w:ascii="Arial" w:eastAsia="MS Mincho" w:hAnsi="Arial" w:cs="Arial"/>
                <w:bCs/>
              </w:rPr>
            </w:pPr>
            <w:r>
              <w:rPr>
                <w:rFonts w:ascii="Arial" w:eastAsia="MS Mincho" w:hAnsi="Arial" w:cs="Arial"/>
                <w:bCs/>
              </w:rPr>
              <w:t xml:space="preserve">For the non-serving cell, we have not seen a good technical case yet to enhance the granularity beyond the existing carrier level.  </w:t>
            </w:r>
          </w:p>
        </w:tc>
      </w:tr>
      <w:tr w:rsidR="007159BE" w14:paraId="0BDC42D9" w14:textId="77777777" w:rsidTr="00906D30">
        <w:tc>
          <w:tcPr>
            <w:tcW w:w="1396" w:type="dxa"/>
            <w:tcBorders>
              <w:top w:val="single" w:sz="4" w:space="0" w:color="auto"/>
              <w:left w:val="single" w:sz="4" w:space="0" w:color="auto"/>
              <w:bottom w:val="single" w:sz="4" w:space="0" w:color="auto"/>
              <w:right w:val="single" w:sz="4" w:space="0" w:color="auto"/>
            </w:tcBorders>
          </w:tcPr>
          <w:p w14:paraId="5999F983" w14:textId="77777777" w:rsidR="007159BE" w:rsidRDefault="007D3121">
            <w:pPr>
              <w:spacing w:after="0"/>
              <w:rPr>
                <w:rFonts w:ascii="Arial" w:hAnsi="Arial" w:cs="Arial"/>
                <w:bCs/>
                <w:lang w:val="en-US" w:eastAsia="zh-CN"/>
              </w:rPr>
            </w:pPr>
            <w:r>
              <w:rPr>
                <w:rFonts w:ascii="Arial" w:hAnsi="Arial" w:cs="Arial" w:hint="eastAsia"/>
                <w:bCs/>
                <w:lang w:val="en-US" w:eastAsia="zh-CN"/>
              </w:rPr>
              <w:t>ZTE</w:t>
            </w:r>
          </w:p>
        </w:tc>
        <w:tc>
          <w:tcPr>
            <w:tcW w:w="1139" w:type="dxa"/>
            <w:tcBorders>
              <w:top w:val="single" w:sz="4" w:space="0" w:color="auto"/>
              <w:left w:val="single" w:sz="4" w:space="0" w:color="auto"/>
              <w:bottom w:val="single" w:sz="4" w:space="0" w:color="auto"/>
              <w:right w:val="single" w:sz="4" w:space="0" w:color="auto"/>
            </w:tcBorders>
          </w:tcPr>
          <w:p w14:paraId="0305F621" w14:textId="77777777" w:rsidR="007159BE" w:rsidRDefault="007D3121">
            <w:pPr>
              <w:spacing w:after="0"/>
              <w:rPr>
                <w:rFonts w:ascii="Arial" w:hAnsi="Arial" w:cs="Arial"/>
                <w:bCs/>
                <w:lang w:val="en-US" w:eastAsia="zh-CN"/>
              </w:rPr>
            </w:pPr>
            <w:r>
              <w:rPr>
                <w:rFonts w:ascii="Arial" w:hAnsi="Arial" w:cs="Arial" w:hint="eastAsia"/>
                <w:bCs/>
                <w:lang w:val="en-US" w:eastAsia="zh-CN"/>
              </w:rPr>
              <w:t>No</w:t>
            </w:r>
          </w:p>
        </w:tc>
        <w:tc>
          <w:tcPr>
            <w:tcW w:w="7094" w:type="dxa"/>
            <w:tcBorders>
              <w:top w:val="single" w:sz="4" w:space="0" w:color="auto"/>
              <w:left w:val="single" w:sz="4" w:space="0" w:color="auto"/>
              <w:bottom w:val="single" w:sz="4" w:space="0" w:color="auto"/>
              <w:right w:val="single" w:sz="4" w:space="0" w:color="auto"/>
            </w:tcBorders>
          </w:tcPr>
          <w:p w14:paraId="16BFF3CF" w14:textId="77777777" w:rsidR="007159BE" w:rsidRDefault="007D3121">
            <w:pPr>
              <w:spacing w:after="0"/>
              <w:rPr>
                <w:rFonts w:ascii="Arial" w:hAnsi="Arial" w:cs="Arial"/>
                <w:bCs/>
                <w:lang w:val="en-US" w:eastAsia="zh-CN"/>
              </w:rPr>
            </w:pPr>
            <w:r>
              <w:rPr>
                <w:rFonts w:ascii="Arial" w:hAnsi="Arial" w:cs="Arial" w:hint="eastAsia"/>
                <w:bCs/>
                <w:lang w:val="en-US" w:eastAsia="zh-CN"/>
              </w:rPr>
              <w:t>We share the similar view as Qualcomm and OPPO</w:t>
            </w:r>
          </w:p>
          <w:p w14:paraId="5CF8F8EF" w14:textId="77777777" w:rsidR="007159BE" w:rsidRDefault="007D3121">
            <w:pPr>
              <w:spacing w:after="0"/>
              <w:rPr>
                <w:rFonts w:ascii="Arial" w:hAnsi="Arial" w:cs="Arial"/>
                <w:bCs/>
                <w:lang w:val="en-US" w:eastAsia="zh-CN"/>
              </w:rPr>
            </w:pPr>
            <w:r>
              <w:rPr>
                <w:rFonts w:ascii="Arial" w:hAnsi="Arial" w:cs="Arial" w:hint="eastAsia"/>
                <w:bCs/>
                <w:lang w:val="en-US" w:eastAsia="zh-CN"/>
              </w:rPr>
              <w:t>For the non-serving cell, the network can avoid handover to the affect</w:t>
            </w:r>
            <w:r w:rsidR="00B23851">
              <w:rPr>
                <w:rFonts w:ascii="Arial" w:hAnsi="Arial" w:cs="Arial"/>
                <w:bCs/>
                <w:lang w:val="en-US" w:eastAsia="zh-CN"/>
              </w:rPr>
              <w:t>ed</w:t>
            </w:r>
            <w:r>
              <w:rPr>
                <w:rFonts w:ascii="Arial" w:hAnsi="Arial" w:cs="Arial" w:hint="eastAsia"/>
                <w:bCs/>
                <w:lang w:val="en-US" w:eastAsia="zh-CN"/>
              </w:rPr>
              <w:t xml:space="preserve"> non-serving frequency based on the legacy </w:t>
            </w:r>
            <w:r>
              <w:rPr>
                <w:rFonts w:ascii="Arial" w:eastAsia="MS Mincho" w:hAnsi="Arial" w:cs="Arial"/>
                <w:bCs/>
              </w:rPr>
              <w:t xml:space="preserve">ARFCN </w:t>
            </w:r>
            <w:r>
              <w:rPr>
                <w:rFonts w:ascii="Arial" w:hAnsi="Arial" w:cs="Arial" w:hint="eastAsia"/>
                <w:bCs/>
                <w:lang w:val="en-US" w:eastAsia="zh-CN"/>
              </w:rPr>
              <w:t>reporting,</w:t>
            </w:r>
            <w:r w:rsidR="00B23851">
              <w:rPr>
                <w:rFonts w:ascii="Arial" w:hAnsi="Arial" w:cs="Arial"/>
                <w:bCs/>
                <w:lang w:val="en-US" w:eastAsia="zh-CN"/>
              </w:rPr>
              <w:t xml:space="preserve"> </w:t>
            </w:r>
            <w:r w:rsidR="00B23851">
              <w:rPr>
                <w:rFonts w:ascii="Arial" w:hAnsi="Arial" w:cs="Arial" w:hint="eastAsia"/>
                <w:bCs/>
                <w:lang w:val="en-US" w:eastAsia="zh-CN"/>
              </w:rPr>
              <w:t>thus</w:t>
            </w:r>
            <w:r>
              <w:rPr>
                <w:rFonts w:ascii="Arial" w:hAnsi="Arial" w:cs="Arial" w:hint="eastAsia"/>
                <w:bCs/>
                <w:lang w:val="en-US" w:eastAsia="zh-CN"/>
              </w:rPr>
              <w:t xml:space="preserve"> we don</w:t>
            </w:r>
            <w:r>
              <w:rPr>
                <w:rFonts w:ascii="Arial" w:hAnsi="Arial" w:cs="Arial"/>
                <w:bCs/>
                <w:lang w:val="en-US" w:eastAsia="zh-CN"/>
              </w:rPr>
              <w:t>’</w:t>
            </w:r>
            <w:r>
              <w:rPr>
                <w:rFonts w:ascii="Arial" w:hAnsi="Arial" w:cs="Arial" w:hint="eastAsia"/>
                <w:bCs/>
                <w:lang w:val="en-US" w:eastAsia="zh-CN"/>
              </w:rPr>
              <w:t>t see strong motivation to do granularity enhancement</w:t>
            </w:r>
            <w:r w:rsidR="00B23851">
              <w:rPr>
                <w:rFonts w:ascii="Arial" w:hAnsi="Arial" w:cs="Arial"/>
                <w:bCs/>
                <w:lang w:val="en-US" w:eastAsia="zh-CN"/>
              </w:rPr>
              <w:t xml:space="preserve"> for the non-serving cell</w:t>
            </w:r>
            <w:r>
              <w:rPr>
                <w:rFonts w:ascii="Arial" w:hAnsi="Arial" w:cs="Arial" w:hint="eastAsia"/>
                <w:bCs/>
                <w:lang w:val="en-US" w:eastAsia="zh-CN"/>
              </w:rPr>
              <w:t>.</w:t>
            </w:r>
          </w:p>
          <w:p w14:paraId="5672C429" w14:textId="77777777" w:rsidR="007159BE" w:rsidRDefault="007D3121">
            <w:pPr>
              <w:spacing w:after="0"/>
              <w:rPr>
                <w:rFonts w:ascii="Arial" w:hAnsi="Arial" w:cs="Arial"/>
                <w:bCs/>
                <w:lang w:val="en-US" w:eastAsia="zh-CN"/>
              </w:rPr>
            </w:pPr>
            <w:r>
              <w:rPr>
                <w:rFonts w:ascii="Arial" w:hAnsi="Arial" w:cs="Arial" w:hint="eastAsia"/>
                <w:bCs/>
                <w:lang w:val="en-US" w:eastAsia="zh-CN"/>
              </w:rPr>
              <w:t>For the serving frequency, with BWP/PRB based reporting, the network can avoid unnecessary handover, e.g. the network can solve the IDC issue by BWP switching.</w:t>
            </w:r>
          </w:p>
        </w:tc>
      </w:tr>
      <w:tr w:rsidR="007159BE" w14:paraId="4E183E84" w14:textId="77777777" w:rsidTr="00906D30">
        <w:tc>
          <w:tcPr>
            <w:tcW w:w="1396" w:type="dxa"/>
            <w:tcBorders>
              <w:top w:val="single" w:sz="4" w:space="0" w:color="auto"/>
              <w:left w:val="single" w:sz="4" w:space="0" w:color="auto"/>
              <w:bottom w:val="single" w:sz="4" w:space="0" w:color="auto"/>
              <w:right w:val="single" w:sz="4" w:space="0" w:color="auto"/>
            </w:tcBorders>
          </w:tcPr>
          <w:p w14:paraId="1BFD2C2B" w14:textId="7CDDFCD7" w:rsidR="007159BE" w:rsidRDefault="001320E8">
            <w:pPr>
              <w:spacing w:after="0"/>
              <w:rPr>
                <w:rFonts w:ascii="Arial" w:eastAsia="MS Mincho" w:hAnsi="Arial" w:cs="Arial"/>
                <w:bCs/>
              </w:rPr>
            </w:pPr>
            <w:r>
              <w:rPr>
                <w:rFonts w:ascii="Arial" w:eastAsia="MS Mincho" w:hAnsi="Arial" w:cs="Arial"/>
                <w:bCs/>
              </w:rPr>
              <w:t>Apple</w:t>
            </w:r>
          </w:p>
        </w:tc>
        <w:tc>
          <w:tcPr>
            <w:tcW w:w="1139" w:type="dxa"/>
            <w:tcBorders>
              <w:top w:val="single" w:sz="4" w:space="0" w:color="auto"/>
              <w:left w:val="single" w:sz="4" w:space="0" w:color="auto"/>
              <w:bottom w:val="single" w:sz="4" w:space="0" w:color="auto"/>
              <w:right w:val="single" w:sz="4" w:space="0" w:color="auto"/>
            </w:tcBorders>
          </w:tcPr>
          <w:p w14:paraId="5A941CF9" w14:textId="1F290A49" w:rsidR="007159BE" w:rsidRDefault="001320E8">
            <w:pPr>
              <w:spacing w:after="0"/>
              <w:rPr>
                <w:rFonts w:ascii="Arial" w:eastAsia="MS Mincho" w:hAnsi="Arial" w:cs="Arial"/>
                <w:bCs/>
              </w:rPr>
            </w:pPr>
            <w:r>
              <w:rPr>
                <w:rFonts w:ascii="Arial" w:eastAsia="MS Mincho" w:hAnsi="Arial" w:cs="Arial"/>
                <w:bCs/>
              </w:rPr>
              <w:t>See comments</w:t>
            </w:r>
          </w:p>
        </w:tc>
        <w:tc>
          <w:tcPr>
            <w:tcW w:w="7094" w:type="dxa"/>
            <w:tcBorders>
              <w:top w:val="single" w:sz="4" w:space="0" w:color="auto"/>
              <w:left w:val="single" w:sz="4" w:space="0" w:color="auto"/>
              <w:bottom w:val="single" w:sz="4" w:space="0" w:color="auto"/>
              <w:right w:val="single" w:sz="4" w:space="0" w:color="auto"/>
            </w:tcBorders>
          </w:tcPr>
          <w:p w14:paraId="0819FEB1" w14:textId="00401600" w:rsidR="00DB07CB" w:rsidRDefault="001320E8">
            <w:pPr>
              <w:spacing w:after="0"/>
              <w:rPr>
                <w:rFonts w:ascii="Arial" w:eastAsia="MS Mincho" w:hAnsi="Arial" w:cs="Arial"/>
                <w:bCs/>
              </w:rPr>
            </w:pPr>
            <w:r>
              <w:rPr>
                <w:rFonts w:ascii="Arial" w:eastAsia="MS Mincho" w:hAnsi="Arial" w:cs="Arial"/>
                <w:bCs/>
              </w:rPr>
              <w:t xml:space="preserve">We think non-serving frequencies should be supported </w:t>
            </w:r>
            <w:r w:rsidR="00DB07CB">
              <w:rPr>
                <w:rFonts w:ascii="Arial" w:eastAsia="MS Mincho" w:hAnsi="Arial" w:cs="Arial" w:hint="eastAsia"/>
                <w:bCs/>
                <w:lang w:eastAsia="zh-CN"/>
              </w:rPr>
              <w:t>and</w:t>
            </w:r>
            <w:r>
              <w:rPr>
                <w:rFonts w:ascii="Arial" w:eastAsia="MS Mincho" w:hAnsi="Arial" w:cs="Arial"/>
                <w:bCs/>
              </w:rPr>
              <w:t xml:space="preserve"> </w:t>
            </w:r>
            <w:r w:rsidR="00DB07CB">
              <w:rPr>
                <w:rFonts w:ascii="Arial" w:eastAsia="MS Mincho" w:hAnsi="Arial" w:cs="Arial"/>
                <w:bCs/>
              </w:rPr>
              <w:t>there is no necessity</w:t>
            </w:r>
            <w:r>
              <w:rPr>
                <w:rFonts w:ascii="Arial" w:eastAsia="MS Mincho" w:hAnsi="Arial" w:cs="Arial"/>
                <w:bCs/>
              </w:rPr>
              <w:t xml:space="preserve"> to pursue the same solution for both serving cell and non-serving cells.</w:t>
            </w:r>
          </w:p>
          <w:p w14:paraId="7F2874DD" w14:textId="7217F472" w:rsidR="00DB07CB" w:rsidRDefault="00DB07CB">
            <w:pPr>
              <w:spacing w:after="0"/>
              <w:rPr>
                <w:rFonts w:ascii="Arial" w:eastAsia="MS Mincho" w:hAnsi="Arial" w:cs="Arial"/>
                <w:bCs/>
              </w:rPr>
            </w:pPr>
            <w:r>
              <w:rPr>
                <w:rFonts w:ascii="Arial" w:eastAsia="MS Mincho" w:hAnsi="Arial" w:cs="Arial"/>
                <w:bCs/>
              </w:rPr>
              <w:t>The detailed reporting for non-serving frequency can be FFS.</w:t>
            </w:r>
          </w:p>
        </w:tc>
      </w:tr>
      <w:tr w:rsidR="00906D30" w:rsidRPr="00916935" w14:paraId="4BF151E7" w14:textId="77777777" w:rsidTr="00906D30">
        <w:tc>
          <w:tcPr>
            <w:tcW w:w="1396" w:type="dxa"/>
            <w:tcBorders>
              <w:top w:val="single" w:sz="4" w:space="0" w:color="auto"/>
              <w:left w:val="single" w:sz="4" w:space="0" w:color="auto"/>
              <w:bottom w:val="single" w:sz="4" w:space="0" w:color="auto"/>
              <w:right w:val="single" w:sz="4" w:space="0" w:color="auto"/>
            </w:tcBorders>
          </w:tcPr>
          <w:p w14:paraId="0174ECAF" w14:textId="77777777" w:rsidR="00906D30" w:rsidRPr="00916935" w:rsidRDefault="00906D30" w:rsidP="00B926CF">
            <w:pPr>
              <w:spacing w:after="0"/>
              <w:rPr>
                <w:rFonts w:ascii="Arial" w:eastAsia="MS Mincho" w:hAnsi="Arial" w:cs="Arial"/>
                <w:bCs/>
              </w:rPr>
            </w:pPr>
            <w:r w:rsidRPr="00906D30">
              <w:rPr>
                <w:rFonts w:ascii="Arial" w:eastAsia="MS Mincho" w:hAnsi="Arial" w:cs="Arial" w:hint="eastAsia"/>
                <w:bCs/>
              </w:rPr>
              <w:t>Samsung</w:t>
            </w:r>
          </w:p>
        </w:tc>
        <w:tc>
          <w:tcPr>
            <w:tcW w:w="1139" w:type="dxa"/>
            <w:tcBorders>
              <w:top w:val="single" w:sz="4" w:space="0" w:color="auto"/>
              <w:left w:val="single" w:sz="4" w:space="0" w:color="auto"/>
              <w:bottom w:val="single" w:sz="4" w:space="0" w:color="auto"/>
              <w:right w:val="single" w:sz="4" w:space="0" w:color="auto"/>
            </w:tcBorders>
          </w:tcPr>
          <w:p w14:paraId="7DA8B1D0" w14:textId="77777777" w:rsidR="00906D30" w:rsidRPr="00906D30" w:rsidRDefault="00906D30" w:rsidP="00B926CF">
            <w:pPr>
              <w:spacing w:after="0"/>
              <w:rPr>
                <w:rFonts w:ascii="Arial" w:eastAsia="MS Mincho" w:hAnsi="Arial" w:cs="Arial"/>
                <w:bCs/>
              </w:rPr>
            </w:pPr>
            <w:r w:rsidRPr="00906D30">
              <w:rPr>
                <w:rFonts w:ascii="Arial" w:eastAsia="MS Mincho" w:hAnsi="Arial" w:cs="Arial" w:hint="eastAsia"/>
                <w:bCs/>
              </w:rPr>
              <w:t>Y</w:t>
            </w:r>
            <w:r w:rsidRPr="00906D30">
              <w:rPr>
                <w:rFonts w:ascii="Arial" w:eastAsia="MS Mincho" w:hAnsi="Arial" w:cs="Arial"/>
                <w:bCs/>
              </w:rPr>
              <w:t>es</w:t>
            </w:r>
          </w:p>
        </w:tc>
        <w:tc>
          <w:tcPr>
            <w:tcW w:w="7094" w:type="dxa"/>
            <w:tcBorders>
              <w:top w:val="single" w:sz="4" w:space="0" w:color="auto"/>
              <w:left w:val="single" w:sz="4" w:space="0" w:color="auto"/>
              <w:bottom w:val="single" w:sz="4" w:space="0" w:color="auto"/>
              <w:right w:val="single" w:sz="4" w:space="0" w:color="auto"/>
            </w:tcBorders>
          </w:tcPr>
          <w:p w14:paraId="4BBA7A44" w14:textId="77777777" w:rsidR="00906D30" w:rsidRPr="00906D30" w:rsidRDefault="00906D30" w:rsidP="00B926CF">
            <w:pPr>
              <w:spacing w:after="0"/>
              <w:rPr>
                <w:rFonts w:ascii="Arial" w:eastAsia="MS Mincho" w:hAnsi="Arial" w:cs="Arial"/>
                <w:bCs/>
              </w:rPr>
            </w:pPr>
            <w:r w:rsidRPr="00906D30">
              <w:rPr>
                <w:rFonts w:ascii="Arial" w:eastAsia="MS Mincho" w:hAnsi="Arial" w:cs="Arial"/>
                <w:bCs/>
              </w:rPr>
              <w:t xml:space="preserve">As LTE, both the serving and non-serving frequencies are considered. The information on the non-serving frequencies can help the target cell selection during HO procedure, NR-DC establishment, </w:t>
            </w:r>
            <w:proofErr w:type="spellStart"/>
            <w:r w:rsidRPr="00906D30">
              <w:rPr>
                <w:rFonts w:ascii="Arial" w:eastAsia="MS Mincho" w:hAnsi="Arial" w:cs="Arial"/>
                <w:bCs/>
              </w:rPr>
              <w:t>PSCell</w:t>
            </w:r>
            <w:proofErr w:type="spellEnd"/>
            <w:r w:rsidRPr="00906D30">
              <w:rPr>
                <w:rFonts w:ascii="Arial" w:eastAsia="MS Mincho" w:hAnsi="Arial" w:cs="Arial"/>
                <w:bCs/>
              </w:rPr>
              <w:t xml:space="preserve"> change, </w:t>
            </w:r>
            <w:proofErr w:type="spellStart"/>
            <w:r w:rsidRPr="00906D30">
              <w:rPr>
                <w:rFonts w:ascii="Arial" w:eastAsia="MS Mincho" w:hAnsi="Arial" w:cs="Arial"/>
                <w:bCs/>
              </w:rPr>
              <w:t>SCell</w:t>
            </w:r>
            <w:proofErr w:type="spellEnd"/>
            <w:r w:rsidRPr="00906D30">
              <w:rPr>
                <w:rFonts w:ascii="Arial" w:eastAsia="MS Mincho" w:hAnsi="Arial" w:cs="Arial"/>
                <w:bCs/>
              </w:rPr>
              <w:t xml:space="preserve"> addition, which are popular in current NR framework. </w:t>
            </w:r>
          </w:p>
        </w:tc>
      </w:tr>
      <w:tr w:rsidR="00736AF6" w14:paraId="124EEB9A" w14:textId="77777777" w:rsidTr="00906D30">
        <w:tc>
          <w:tcPr>
            <w:tcW w:w="1396" w:type="dxa"/>
            <w:tcBorders>
              <w:top w:val="single" w:sz="4" w:space="0" w:color="auto"/>
              <w:left w:val="single" w:sz="4" w:space="0" w:color="auto"/>
              <w:bottom w:val="single" w:sz="4" w:space="0" w:color="auto"/>
              <w:right w:val="single" w:sz="4" w:space="0" w:color="auto"/>
            </w:tcBorders>
          </w:tcPr>
          <w:p w14:paraId="13232E17" w14:textId="5BCA30E6" w:rsidR="00736AF6" w:rsidRPr="00906D30" w:rsidRDefault="00736AF6" w:rsidP="00736AF6">
            <w:pPr>
              <w:spacing w:after="0"/>
              <w:rPr>
                <w:rFonts w:ascii="Arial" w:eastAsia="MS Mincho" w:hAnsi="Arial" w:cs="Arial"/>
                <w:bCs/>
              </w:rPr>
            </w:pPr>
            <w:r>
              <w:rPr>
                <w:rFonts w:ascii="Arial" w:eastAsia="MS Mincho" w:hAnsi="Arial" w:cs="Arial"/>
                <w:bCs/>
              </w:rPr>
              <w:t>Intel</w:t>
            </w:r>
          </w:p>
        </w:tc>
        <w:tc>
          <w:tcPr>
            <w:tcW w:w="1139" w:type="dxa"/>
            <w:tcBorders>
              <w:top w:val="single" w:sz="4" w:space="0" w:color="auto"/>
              <w:left w:val="single" w:sz="4" w:space="0" w:color="auto"/>
              <w:bottom w:val="single" w:sz="4" w:space="0" w:color="auto"/>
              <w:right w:val="single" w:sz="4" w:space="0" w:color="auto"/>
            </w:tcBorders>
          </w:tcPr>
          <w:p w14:paraId="47ABDD8E" w14:textId="76C2DE3D" w:rsidR="00736AF6" w:rsidRDefault="00736AF6" w:rsidP="00736AF6">
            <w:pPr>
              <w:spacing w:after="0"/>
              <w:rPr>
                <w:rFonts w:ascii="Arial" w:eastAsia="MS Mincho" w:hAnsi="Arial" w:cs="Arial"/>
                <w:bCs/>
              </w:rPr>
            </w:pPr>
            <w:r>
              <w:rPr>
                <w:rFonts w:ascii="Arial" w:eastAsia="MS Mincho" w:hAnsi="Arial" w:cs="Arial"/>
                <w:bCs/>
              </w:rPr>
              <w:t>Yes</w:t>
            </w:r>
          </w:p>
        </w:tc>
        <w:tc>
          <w:tcPr>
            <w:tcW w:w="7094" w:type="dxa"/>
            <w:tcBorders>
              <w:top w:val="single" w:sz="4" w:space="0" w:color="auto"/>
              <w:left w:val="single" w:sz="4" w:space="0" w:color="auto"/>
              <w:bottom w:val="single" w:sz="4" w:space="0" w:color="auto"/>
              <w:right w:val="single" w:sz="4" w:space="0" w:color="auto"/>
            </w:tcBorders>
          </w:tcPr>
          <w:p w14:paraId="275F6914" w14:textId="2CD4BF93" w:rsidR="00736AF6" w:rsidRDefault="00736AF6" w:rsidP="00736AF6">
            <w:pPr>
              <w:spacing w:after="0"/>
              <w:rPr>
                <w:rFonts w:ascii="Arial" w:eastAsia="MS Mincho" w:hAnsi="Arial" w:cs="Arial"/>
                <w:bCs/>
              </w:rPr>
            </w:pPr>
            <w:r>
              <w:rPr>
                <w:rFonts w:ascii="Arial" w:eastAsia="MS Mincho" w:hAnsi="Arial" w:cs="Arial"/>
                <w:bCs/>
              </w:rPr>
              <w:t>Rel-16 IDC assistance information can be provided for non-serving frequencies.</w:t>
            </w:r>
            <w:r w:rsidRPr="000A187F">
              <w:rPr>
                <w:rFonts w:ascii="Arial" w:eastAsia="MS Mincho" w:hAnsi="Arial" w:cs="Arial"/>
                <w:bCs/>
              </w:rPr>
              <w:t xml:space="preserve"> Reporting enhanced FDM information </w:t>
            </w:r>
            <w:r>
              <w:rPr>
                <w:rFonts w:ascii="Arial" w:eastAsia="MS Mincho" w:hAnsi="Arial" w:cs="Arial"/>
                <w:bCs/>
              </w:rPr>
              <w:t xml:space="preserve">for non-serving frequencies </w:t>
            </w:r>
            <w:r w:rsidRPr="000A187F">
              <w:rPr>
                <w:rFonts w:ascii="Arial" w:eastAsia="MS Mincho" w:hAnsi="Arial" w:cs="Arial"/>
                <w:bCs/>
              </w:rPr>
              <w:t xml:space="preserve">can provide </w:t>
            </w:r>
            <w:proofErr w:type="spellStart"/>
            <w:r w:rsidRPr="000A187F">
              <w:rPr>
                <w:rFonts w:ascii="Arial" w:eastAsia="MS Mincho" w:hAnsi="Arial" w:cs="Arial"/>
                <w:bCs/>
              </w:rPr>
              <w:t>gNB</w:t>
            </w:r>
            <w:proofErr w:type="spellEnd"/>
            <w:r w:rsidRPr="000A187F">
              <w:rPr>
                <w:rFonts w:ascii="Arial" w:eastAsia="MS Mincho" w:hAnsi="Arial" w:cs="Arial"/>
                <w:bCs/>
              </w:rPr>
              <w:t xml:space="preserve"> more flexibility and less latency if </w:t>
            </w:r>
            <w:proofErr w:type="spellStart"/>
            <w:r w:rsidRPr="000A187F">
              <w:rPr>
                <w:rFonts w:ascii="Arial" w:eastAsia="MS Mincho" w:hAnsi="Arial" w:cs="Arial"/>
                <w:bCs/>
              </w:rPr>
              <w:t>gNB</w:t>
            </w:r>
            <w:proofErr w:type="spellEnd"/>
            <w:r w:rsidRPr="000A187F">
              <w:rPr>
                <w:rFonts w:ascii="Arial" w:eastAsia="MS Mincho" w:hAnsi="Arial" w:cs="Arial"/>
                <w:bCs/>
              </w:rPr>
              <w:t xml:space="preserve"> decides to utilize those frequencies.</w:t>
            </w:r>
          </w:p>
        </w:tc>
      </w:tr>
      <w:tr w:rsidR="00736AF6" w14:paraId="4EC49357" w14:textId="77777777" w:rsidTr="00906D30">
        <w:tc>
          <w:tcPr>
            <w:tcW w:w="1396" w:type="dxa"/>
            <w:tcBorders>
              <w:top w:val="single" w:sz="4" w:space="0" w:color="auto"/>
              <w:left w:val="single" w:sz="4" w:space="0" w:color="auto"/>
              <w:bottom w:val="single" w:sz="4" w:space="0" w:color="auto"/>
              <w:right w:val="single" w:sz="4" w:space="0" w:color="auto"/>
            </w:tcBorders>
          </w:tcPr>
          <w:p w14:paraId="78B1236C" w14:textId="4D54857D" w:rsidR="00736AF6" w:rsidRDefault="001E20DA" w:rsidP="00736AF6">
            <w:pPr>
              <w:spacing w:after="0"/>
              <w:rPr>
                <w:rFonts w:ascii="Arial" w:eastAsia="MS Mincho" w:hAnsi="Arial" w:cs="Arial"/>
                <w:bCs/>
              </w:rPr>
            </w:pPr>
            <w:r w:rsidRPr="001E20DA">
              <w:rPr>
                <w:rFonts w:ascii="Arial" w:eastAsiaTheme="minorEastAsia" w:hAnsi="Arial" w:cs="Arial" w:hint="eastAsia"/>
                <w:bCs/>
                <w:lang w:eastAsia="zh-CN"/>
              </w:rPr>
              <w:t>vivo</w:t>
            </w:r>
          </w:p>
        </w:tc>
        <w:tc>
          <w:tcPr>
            <w:tcW w:w="1139" w:type="dxa"/>
            <w:tcBorders>
              <w:top w:val="single" w:sz="4" w:space="0" w:color="auto"/>
              <w:left w:val="single" w:sz="4" w:space="0" w:color="auto"/>
              <w:bottom w:val="single" w:sz="4" w:space="0" w:color="auto"/>
              <w:right w:val="single" w:sz="4" w:space="0" w:color="auto"/>
            </w:tcBorders>
          </w:tcPr>
          <w:p w14:paraId="3EA8D414" w14:textId="27CC5855" w:rsidR="00736AF6" w:rsidRPr="001E20DA" w:rsidRDefault="001E20DA" w:rsidP="00736AF6">
            <w:pPr>
              <w:spacing w:after="0"/>
              <w:rPr>
                <w:rFonts w:ascii="Arial" w:eastAsiaTheme="minorEastAsia" w:hAnsi="Arial" w:cs="Arial"/>
                <w:bCs/>
                <w:lang w:eastAsia="zh-CN"/>
              </w:rPr>
            </w:pPr>
            <w:r>
              <w:rPr>
                <w:rFonts w:ascii="Arial" w:eastAsiaTheme="minorEastAsia" w:hAnsi="Arial" w:cs="Arial" w:hint="eastAsia"/>
                <w:bCs/>
                <w:lang w:eastAsia="zh-CN"/>
              </w:rPr>
              <w:t>Yes</w:t>
            </w:r>
          </w:p>
        </w:tc>
        <w:tc>
          <w:tcPr>
            <w:tcW w:w="7094" w:type="dxa"/>
            <w:tcBorders>
              <w:top w:val="single" w:sz="4" w:space="0" w:color="auto"/>
              <w:left w:val="single" w:sz="4" w:space="0" w:color="auto"/>
              <w:bottom w:val="single" w:sz="4" w:space="0" w:color="auto"/>
              <w:right w:val="single" w:sz="4" w:space="0" w:color="auto"/>
            </w:tcBorders>
          </w:tcPr>
          <w:p w14:paraId="6DDCE831" w14:textId="25EFB938" w:rsidR="00736AF6" w:rsidRDefault="00E95205" w:rsidP="00736AF6">
            <w:pPr>
              <w:spacing w:after="0"/>
              <w:rPr>
                <w:rFonts w:ascii="Arial" w:eastAsia="MS Mincho" w:hAnsi="Arial" w:cs="Arial"/>
                <w:bCs/>
              </w:rPr>
            </w:pPr>
            <w:r>
              <w:rPr>
                <w:rFonts w:ascii="Arial" w:eastAsiaTheme="minorEastAsia" w:hAnsi="Arial" w:cs="Arial"/>
                <w:bCs/>
                <w:lang w:eastAsia="zh-CN"/>
              </w:rPr>
              <w:t xml:space="preserve">Considering that a </w:t>
            </w:r>
            <w:r w:rsidRPr="00E95205">
              <w:rPr>
                <w:rFonts w:ascii="Arial" w:eastAsiaTheme="minorEastAsia" w:hAnsi="Arial" w:cs="Arial"/>
                <w:bCs/>
                <w:lang w:eastAsia="zh-CN"/>
              </w:rPr>
              <w:t xml:space="preserve">non-serving frequency </w:t>
            </w:r>
            <w:r>
              <w:rPr>
                <w:rFonts w:ascii="Arial" w:eastAsiaTheme="minorEastAsia" w:hAnsi="Arial" w:cs="Arial"/>
                <w:bCs/>
                <w:lang w:eastAsia="zh-CN"/>
              </w:rPr>
              <w:t xml:space="preserve">may </w:t>
            </w:r>
            <w:r w:rsidRPr="00E95205">
              <w:rPr>
                <w:rFonts w:ascii="Arial" w:eastAsiaTheme="minorEastAsia" w:hAnsi="Arial" w:cs="Arial"/>
                <w:bCs/>
                <w:lang w:eastAsia="zh-CN"/>
              </w:rPr>
              <w:t>become a serving one</w:t>
            </w:r>
            <w:r>
              <w:rPr>
                <w:rFonts w:ascii="Arial" w:eastAsiaTheme="minorEastAsia" w:hAnsi="Arial" w:cs="Arial"/>
                <w:bCs/>
                <w:lang w:eastAsia="zh-CN"/>
              </w:rPr>
              <w:t xml:space="preserve"> which is configured or activated by NW, IDC reported for non-frequency should also be enhanced.</w:t>
            </w:r>
            <w:r w:rsidR="00EF1616">
              <w:rPr>
                <w:rFonts w:ascii="Arial" w:eastAsiaTheme="minorEastAsia" w:hAnsi="Arial" w:cs="Arial"/>
                <w:bCs/>
                <w:lang w:eastAsia="zh-CN"/>
              </w:rPr>
              <w:t xml:space="preserve"> Similar with legacy mechanism, a common enhanced solution for IDC reporting </w:t>
            </w:r>
            <w:r w:rsidR="0061422E">
              <w:rPr>
                <w:rFonts w:ascii="Arial" w:eastAsiaTheme="minorEastAsia" w:hAnsi="Arial" w:cs="Arial"/>
                <w:bCs/>
                <w:lang w:eastAsia="zh-CN"/>
              </w:rPr>
              <w:t>should</w:t>
            </w:r>
            <w:r w:rsidR="00EF1616">
              <w:rPr>
                <w:rFonts w:ascii="Arial" w:eastAsiaTheme="minorEastAsia" w:hAnsi="Arial" w:cs="Arial"/>
                <w:bCs/>
                <w:lang w:eastAsia="zh-CN"/>
              </w:rPr>
              <w:t xml:space="preserve"> be used for frequency and non-frequency.</w:t>
            </w:r>
          </w:p>
        </w:tc>
      </w:tr>
      <w:tr w:rsidR="00736AF6" w14:paraId="4A45C9A2" w14:textId="77777777" w:rsidTr="00906D30">
        <w:tc>
          <w:tcPr>
            <w:tcW w:w="1396" w:type="dxa"/>
            <w:tcBorders>
              <w:top w:val="single" w:sz="4" w:space="0" w:color="auto"/>
              <w:left w:val="single" w:sz="4" w:space="0" w:color="auto"/>
              <w:bottom w:val="single" w:sz="4" w:space="0" w:color="auto"/>
              <w:right w:val="single" w:sz="4" w:space="0" w:color="auto"/>
            </w:tcBorders>
          </w:tcPr>
          <w:p w14:paraId="66554E0A" w14:textId="77777777" w:rsidR="00736AF6" w:rsidRDefault="00736AF6" w:rsidP="00736AF6">
            <w:pPr>
              <w:spacing w:after="0"/>
              <w:rPr>
                <w:rFonts w:ascii="Arial" w:eastAsia="MS Mincho" w:hAnsi="Arial" w:cs="Arial"/>
                <w:bCs/>
              </w:rPr>
            </w:pPr>
          </w:p>
        </w:tc>
        <w:tc>
          <w:tcPr>
            <w:tcW w:w="1139" w:type="dxa"/>
            <w:tcBorders>
              <w:top w:val="single" w:sz="4" w:space="0" w:color="auto"/>
              <w:left w:val="single" w:sz="4" w:space="0" w:color="auto"/>
              <w:bottom w:val="single" w:sz="4" w:space="0" w:color="auto"/>
              <w:right w:val="single" w:sz="4" w:space="0" w:color="auto"/>
            </w:tcBorders>
          </w:tcPr>
          <w:p w14:paraId="719FC2E0" w14:textId="77777777" w:rsidR="00736AF6" w:rsidRDefault="00736AF6" w:rsidP="00736AF6">
            <w:pPr>
              <w:spacing w:after="0"/>
              <w:rPr>
                <w:rFonts w:ascii="Arial" w:eastAsia="MS Mincho" w:hAnsi="Arial" w:cs="Arial"/>
                <w:bCs/>
              </w:rPr>
            </w:pPr>
          </w:p>
        </w:tc>
        <w:tc>
          <w:tcPr>
            <w:tcW w:w="7094" w:type="dxa"/>
            <w:tcBorders>
              <w:top w:val="single" w:sz="4" w:space="0" w:color="auto"/>
              <w:left w:val="single" w:sz="4" w:space="0" w:color="auto"/>
              <w:bottom w:val="single" w:sz="4" w:space="0" w:color="auto"/>
              <w:right w:val="single" w:sz="4" w:space="0" w:color="auto"/>
            </w:tcBorders>
          </w:tcPr>
          <w:p w14:paraId="19040523" w14:textId="77777777" w:rsidR="00736AF6" w:rsidRDefault="00736AF6" w:rsidP="00736AF6">
            <w:pPr>
              <w:spacing w:after="0"/>
              <w:rPr>
                <w:rFonts w:ascii="Arial" w:eastAsia="MS Mincho" w:hAnsi="Arial" w:cs="Arial"/>
                <w:bCs/>
              </w:rPr>
            </w:pPr>
          </w:p>
        </w:tc>
      </w:tr>
      <w:tr w:rsidR="00736AF6" w14:paraId="257C9A4F" w14:textId="77777777" w:rsidTr="00906D30">
        <w:tc>
          <w:tcPr>
            <w:tcW w:w="1396" w:type="dxa"/>
            <w:tcBorders>
              <w:top w:val="single" w:sz="4" w:space="0" w:color="auto"/>
              <w:left w:val="single" w:sz="4" w:space="0" w:color="auto"/>
              <w:bottom w:val="single" w:sz="4" w:space="0" w:color="auto"/>
              <w:right w:val="single" w:sz="4" w:space="0" w:color="auto"/>
            </w:tcBorders>
          </w:tcPr>
          <w:p w14:paraId="72553559" w14:textId="77777777" w:rsidR="00736AF6" w:rsidRDefault="00736AF6" w:rsidP="00736AF6">
            <w:pPr>
              <w:spacing w:after="0"/>
              <w:rPr>
                <w:rFonts w:ascii="Arial" w:eastAsia="MS Mincho" w:hAnsi="Arial" w:cs="Arial"/>
                <w:bCs/>
              </w:rPr>
            </w:pPr>
          </w:p>
        </w:tc>
        <w:tc>
          <w:tcPr>
            <w:tcW w:w="1139" w:type="dxa"/>
            <w:tcBorders>
              <w:top w:val="single" w:sz="4" w:space="0" w:color="auto"/>
              <w:left w:val="single" w:sz="4" w:space="0" w:color="auto"/>
              <w:bottom w:val="single" w:sz="4" w:space="0" w:color="auto"/>
              <w:right w:val="single" w:sz="4" w:space="0" w:color="auto"/>
            </w:tcBorders>
          </w:tcPr>
          <w:p w14:paraId="49EC8DF1" w14:textId="77777777" w:rsidR="00736AF6" w:rsidRDefault="00736AF6" w:rsidP="00736AF6">
            <w:pPr>
              <w:spacing w:after="0"/>
              <w:rPr>
                <w:rFonts w:ascii="Arial" w:eastAsia="MS Mincho" w:hAnsi="Arial" w:cs="Arial"/>
                <w:bCs/>
              </w:rPr>
            </w:pPr>
          </w:p>
        </w:tc>
        <w:tc>
          <w:tcPr>
            <w:tcW w:w="7094" w:type="dxa"/>
            <w:tcBorders>
              <w:top w:val="single" w:sz="4" w:space="0" w:color="auto"/>
              <w:left w:val="single" w:sz="4" w:space="0" w:color="auto"/>
              <w:bottom w:val="single" w:sz="4" w:space="0" w:color="auto"/>
              <w:right w:val="single" w:sz="4" w:space="0" w:color="auto"/>
            </w:tcBorders>
          </w:tcPr>
          <w:p w14:paraId="130E4513" w14:textId="77777777" w:rsidR="00736AF6" w:rsidRDefault="00736AF6" w:rsidP="00736AF6">
            <w:pPr>
              <w:spacing w:after="0"/>
              <w:rPr>
                <w:rFonts w:ascii="Arial" w:eastAsia="MS Mincho" w:hAnsi="Arial" w:cs="Arial"/>
                <w:bCs/>
              </w:rPr>
            </w:pPr>
          </w:p>
        </w:tc>
      </w:tr>
    </w:tbl>
    <w:p w14:paraId="38388937" w14:textId="77777777" w:rsidR="007159BE" w:rsidRDefault="007159BE">
      <w:pPr>
        <w:rPr>
          <w:rFonts w:ascii="Arial" w:hAnsi="Arial"/>
          <w:lang w:eastAsia="zh-CN"/>
        </w:rPr>
      </w:pPr>
    </w:p>
    <w:p w14:paraId="6BF4C584" w14:textId="77777777" w:rsidR="007159BE" w:rsidRDefault="007D3121">
      <w:pPr>
        <w:rPr>
          <w:rFonts w:ascii="Arial" w:hAnsi="Arial"/>
          <w:lang w:eastAsia="zh-CN"/>
        </w:rPr>
      </w:pPr>
      <w:r>
        <w:rPr>
          <w:rFonts w:ascii="Arial" w:hAnsi="Arial"/>
          <w:lang w:eastAsia="zh-CN"/>
        </w:rPr>
        <w:t xml:space="preserve">Some solutions proposed in RAN2#119 had one type of indication for serving frequencies and another type of indication for non-serving frequencies. The rapporteur assumes that having different indications for serving and non-serving frequencies come with at least some added complexity, and it needs to be understood if </w:t>
      </w:r>
      <w:r>
        <w:rPr>
          <w:rFonts w:ascii="Arial" w:hAnsi="Arial"/>
          <w:lang w:eastAsia="zh-CN"/>
        </w:rPr>
        <w:lastRenderedPageBreak/>
        <w:t>that added complexity is justified by additional benefits. The rapporteur invites companies to indicate if there would be any benefits or needs of such an approach and explain those benefits/needs.</w:t>
      </w:r>
    </w:p>
    <w:p w14:paraId="284A3E2F" w14:textId="77777777" w:rsidR="007159BE" w:rsidRDefault="007D3121">
      <w:pPr>
        <w:rPr>
          <w:rFonts w:ascii="Arial" w:hAnsi="Arial"/>
          <w:b/>
          <w:bCs/>
          <w:lang w:eastAsia="zh-CN"/>
        </w:rPr>
      </w:pPr>
      <w:r>
        <w:rPr>
          <w:rFonts w:ascii="Arial" w:hAnsi="Arial"/>
          <w:b/>
          <w:bCs/>
          <w:lang w:eastAsia="zh-CN"/>
        </w:rPr>
        <w:t>Q2: Is there any technical benefit or need of having different FDM indications for serving vs. non-serving frequencies? If so, what?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908"/>
        <w:gridCol w:w="7507"/>
      </w:tblGrid>
      <w:tr w:rsidR="007159BE" w14:paraId="1903A3B9" w14:textId="77777777">
        <w:tc>
          <w:tcPr>
            <w:tcW w:w="1214" w:type="dxa"/>
            <w:tcBorders>
              <w:top w:val="single" w:sz="4" w:space="0" w:color="auto"/>
              <w:left w:val="single" w:sz="4" w:space="0" w:color="auto"/>
              <w:bottom w:val="single" w:sz="4" w:space="0" w:color="auto"/>
              <w:right w:val="single" w:sz="4" w:space="0" w:color="auto"/>
            </w:tcBorders>
            <w:shd w:val="clear" w:color="auto" w:fill="D9D9D9"/>
          </w:tcPr>
          <w:p w14:paraId="434053D6" w14:textId="77777777" w:rsidR="007159BE" w:rsidRDefault="007D3121">
            <w:pPr>
              <w:spacing w:after="0"/>
              <w:rPr>
                <w:rFonts w:ascii="Arial" w:hAnsi="Arial" w:cs="Arial"/>
                <w:b/>
                <w:bCs/>
                <w:lang w:eastAsia="zh-CN"/>
              </w:rPr>
            </w:pPr>
            <w:r>
              <w:rPr>
                <w:rFonts w:ascii="Arial" w:hAnsi="Arial" w:cs="Arial"/>
                <w:b/>
                <w:bCs/>
                <w:lang w:eastAsia="zh-CN"/>
              </w:rPr>
              <w:t>Company</w:t>
            </w:r>
          </w:p>
        </w:tc>
        <w:tc>
          <w:tcPr>
            <w:tcW w:w="908" w:type="dxa"/>
            <w:tcBorders>
              <w:top w:val="single" w:sz="4" w:space="0" w:color="auto"/>
              <w:left w:val="single" w:sz="4" w:space="0" w:color="auto"/>
              <w:bottom w:val="single" w:sz="4" w:space="0" w:color="auto"/>
              <w:right w:val="single" w:sz="4" w:space="0" w:color="auto"/>
            </w:tcBorders>
            <w:shd w:val="clear" w:color="auto" w:fill="D9D9D9"/>
          </w:tcPr>
          <w:p w14:paraId="15DD0C84" w14:textId="77777777" w:rsidR="007159BE" w:rsidRDefault="007D3121">
            <w:pPr>
              <w:spacing w:after="0"/>
              <w:rPr>
                <w:rFonts w:ascii="Arial" w:hAnsi="Arial" w:cs="Arial"/>
                <w:b/>
                <w:bCs/>
                <w:lang w:eastAsia="zh-CN"/>
              </w:rPr>
            </w:pPr>
            <w:r>
              <w:rPr>
                <w:rFonts w:ascii="Arial" w:hAnsi="Arial" w:cs="Arial"/>
                <w:b/>
                <w:bCs/>
                <w:lang w:eastAsia="zh-CN"/>
              </w:rPr>
              <w:t>Yes/No</w:t>
            </w:r>
          </w:p>
        </w:tc>
        <w:tc>
          <w:tcPr>
            <w:tcW w:w="7507" w:type="dxa"/>
            <w:tcBorders>
              <w:top w:val="single" w:sz="4" w:space="0" w:color="auto"/>
              <w:left w:val="single" w:sz="4" w:space="0" w:color="auto"/>
              <w:bottom w:val="single" w:sz="4" w:space="0" w:color="auto"/>
              <w:right w:val="single" w:sz="4" w:space="0" w:color="auto"/>
            </w:tcBorders>
            <w:shd w:val="clear" w:color="auto" w:fill="D9D9D9"/>
          </w:tcPr>
          <w:p w14:paraId="5C35DA46" w14:textId="77777777" w:rsidR="007159BE" w:rsidRDefault="007D3121">
            <w:pPr>
              <w:spacing w:after="0"/>
              <w:rPr>
                <w:rFonts w:ascii="Arial" w:hAnsi="Arial" w:cs="Arial"/>
                <w:b/>
                <w:bCs/>
                <w:lang w:eastAsia="zh-CN"/>
              </w:rPr>
            </w:pPr>
            <w:r>
              <w:rPr>
                <w:rFonts w:ascii="Arial" w:hAnsi="Arial" w:cs="Arial"/>
                <w:b/>
                <w:bCs/>
                <w:lang w:eastAsia="zh-CN"/>
              </w:rPr>
              <w:t>Comments</w:t>
            </w:r>
          </w:p>
        </w:tc>
      </w:tr>
      <w:tr w:rsidR="007159BE" w14:paraId="5F5B1C49" w14:textId="77777777">
        <w:tc>
          <w:tcPr>
            <w:tcW w:w="1214" w:type="dxa"/>
            <w:tcBorders>
              <w:top w:val="single" w:sz="4" w:space="0" w:color="auto"/>
              <w:left w:val="single" w:sz="4" w:space="0" w:color="auto"/>
              <w:bottom w:val="single" w:sz="4" w:space="0" w:color="auto"/>
              <w:right w:val="single" w:sz="4" w:space="0" w:color="auto"/>
            </w:tcBorders>
          </w:tcPr>
          <w:p w14:paraId="3BACA016" w14:textId="77777777" w:rsidR="007159BE" w:rsidRDefault="007D3121">
            <w:pPr>
              <w:spacing w:after="0"/>
              <w:rPr>
                <w:rFonts w:ascii="Arial" w:eastAsia="MS Mincho" w:hAnsi="Arial" w:cs="Arial"/>
                <w:bCs/>
              </w:rPr>
            </w:pPr>
            <w:r>
              <w:rPr>
                <w:rFonts w:ascii="Arial" w:eastAsia="MS Mincho" w:hAnsi="Arial" w:cs="Arial"/>
                <w:bCs/>
              </w:rPr>
              <w:t>Nokia</w:t>
            </w:r>
          </w:p>
        </w:tc>
        <w:tc>
          <w:tcPr>
            <w:tcW w:w="908" w:type="dxa"/>
            <w:tcBorders>
              <w:top w:val="single" w:sz="4" w:space="0" w:color="auto"/>
              <w:left w:val="single" w:sz="4" w:space="0" w:color="auto"/>
              <w:bottom w:val="single" w:sz="4" w:space="0" w:color="auto"/>
              <w:right w:val="single" w:sz="4" w:space="0" w:color="auto"/>
            </w:tcBorders>
          </w:tcPr>
          <w:p w14:paraId="68864874" w14:textId="77777777" w:rsidR="007159BE" w:rsidRDefault="007D3121">
            <w:pPr>
              <w:spacing w:after="0"/>
              <w:rPr>
                <w:rFonts w:ascii="Arial" w:eastAsia="MS Mincho" w:hAnsi="Arial" w:cs="Arial"/>
                <w:bCs/>
              </w:rPr>
            </w:pPr>
            <w:r>
              <w:rPr>
                <w:rFonts w:ascii="Arial" w:eastAsia="MS Mincho" w:hAnsi="Arial" w:cs="Arial"/>
                <w:bCs/>
              </w:rPr>
              <w:t>No</w:t>
            </w:r>
          </w:p>
        </w:tc>
        <w:tc>
          <w:tcPr>
            <w:tcW w:w="7507" w:type="dxa"/>
            <w:tcBorders>
              <w:top w:val="single" w:sz="4" w:space="0" w:color="auto"/>
              <w:left w:val="single" w:sz="4" w:space="0" w:color="auto"/>
              <w:bottom w:val="single" w:sz="4" w:space="0" w:color="auto"/>
              <w:right w:val="single" w:sz="4" w:space="0" w:color="auto"/>
            </w:tcBorders>
          </w:tcPr>
          <w:p w14:paraId="02966987" w14:textId="77777777" w:rsidR="007159BE" w:rsidRDefault="007D3121">
            <w:pPr>
              <w:spacing w:after="0"/>
              <w:rPr>
                <w:rFonts w:ascii="Arial" w:eastAsia="MS Mincho" w:hAnsi="Arial" w:cs="Arial"/>
                <w:bCs/>
              </w:rPr>
            </w:pPr>
            <w:r>
              <w:rPr>
                <w:rFonts w:ascii="Arial" w:eastAsia="MS Mincho" w:hAnsi="Arial" w:cs="Arial"/>
                <w:bCs/>
              </w:rPr>
              <w:t>We do not currently see strong motivation to have different solutions. In fact we see motivation to have similar as it simplifies our standardization load and as we very well know we have extremely limited time for this WI.</w:t>
            </w:r>
          </w:p>
        </w:tc>
      </w:tr>
      <w:tr w:rsidR="007159BE" w14:paraId="0F9D2BE4" w14:textId="77777777">
        <w:tc>
          <w:tcPr>
            <w:tcW w:w="1214" w:type="dxa"/>
            <w:tcBorders>
              <w:top w:val="single" w:sz="4" w:space="0" w:color="auto"/>
              <w:left w:val="single" w:sz="4" w:space="0" w:color="auto"/>
              <w:bottom w:val="single" w:sz="4" w:space="0" w:color="auto"/>
              <w:right w:val="single" w:sz="4" w:space="0" w:color="auto"/>
            </w:tcBorders>
          </w:tcPr>
          <w:p w14:paraId="4558F7DC" w14:textId="77777777" w:rsidR="007159BE" w:rsidRDefault="007D3121">
            <w:pPr>
              <w:spacing w:after="0"/>
              <w:rPr>
                <w:rFonts w:ascii="Arial" w:eastAsia="MS Mincho" w:hAnsi="Arial" w:cs="Arial"/>
                <w:bCs/>
              </w:rPr>
            </w:pPr>
            <w:r>
              <w:rPr>
                <w:rFonts w:ascii="Arial" w:eastAsia="MS Mincho" w:hAnsi="Arial" w:cs="Arial"/>
                <w:bCs/>
              </w:rPr>
              <w:t>Xiaomi</w:t>
            </w:r>
          </w:p>
        </w:tc>
        <w:tc>
          <w:tcPr>
            <w:tcW w:w="908" w:type="dxa"/>
            <w:tcBorders>
              <w:top w:val="single" w:sz="4" w:space="0" w:color="auto"/>
              <w:left w:val="single" w:sz="4" w:space="0" w:color="auto"/>
              <w:bottom w:val="single" w:sz="4" w:space="0" w:color="auto"/>
              <w:right w:val="single" w:sz="4" w:space="0" w:color="auto"/>
            </w:tcBorders>
          </w:tcPr>
          <w:p w14:paraId="01298D84" w14:textId="77777777" w:rsidR="007159BE" w:rsidRDefault="007159BE">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14:paraId="3226A538" w14:textId="77777777" w:rsidR="007159BE" w:rsidRDefault="007D3121">
            <w:pPr>
              <w:spacing w:after="0"/>
              <w:rPr>
                <w:rFonts w:ascii="Arial" w:eastAsia="MS Mincho" w:hAnsi="Arial" w:cs="Arial"/>
                <w:bCs/>
              </w:rPr>
            </w:pPr>
            <w:r>
              <w:rPr>
                <w:rFonts w:ascii="Arial" w:eastAsia="MS Mincho" w:hAnsi="Arial" w:cs="Arial"/>
                <w:bCs/>
              </w:rPr>
              <w:t>We have no strong view on whether to use different FDM indications for serving frequency and non-serving frequency. One may consider that the UE can reuse the BWP-ID and/or PRB index for the serving frequency, which can save some signalling overheads, compared with the FDM indication for the non-serving frequency.</w:t>
            </w:r>
          </w:p>
        </w:tc>
      </w:tr>
      <w:tr w:rsidR="007159BE" w14:paraId="19A0CFEC" w14:textId="77777777">
        <w:tc>
          <w:tcPr>
            <w:tcW w:w="1214" w:type="dxa"/>
            <w:tcBorders>
              <w:top w:val="single" w:sz="4" w:space="0" w:color="auto"/>
              <w:left w:val="single" w:sz="4" w:space="0" w:color="auto"/>
              <w:bottom w:val="single" w:sz="4" w:space="0" w:color="auto"/>
              <w:right w:val="single" w:sz="4" w:space="0" w:color="auto"/>
            </w:tcBorders>
          </w:tcPr>
          <w:p w14:paraId="1BA980F1" w14:textId="77777777" w:rsidR="007159BE" w:rsidRDefault="007D3121">
            <w:pPr>
              <w:spacing w:after="0"/>
              <w:rPr>
                <w:rFonts w:ascii="Arial" w:eastAsia="MS Mincho" w:hAnsi="Arial" w:cs="Arial"/>
                <w:bCs/>
              </w:rPr>
            </w:pPr>
            <w:r>
              <w:rPr>
                <w:rFonts w:ascii="Arial" w:eastAsia="MS Mincho" w:hAnsi="Arial" w:cs="Arial"/>
                <w:bCs/>
              </w:rPr>
              <w:t>OPPO</w:t>
            </w:r>
          </w:p>
        </w:tc>
        <w:tc>
          <w:tcPr>
            <w:tcW w:w="908" w:type="dxa"/>
            <w:tcBorders>
              <w:top w:val="single" w:sz="4" w:space="0" w:color="auto"/>
              <w:left w:val="single" w:sz="4" w:space="0" w:color="auto"/>
              <w:bottom w:val="single" w:sz="4" w:space="0" w:color="auto"/>
              <w:right w:val="single" w:sz="4" w:space="0" w:color="auto"/>
            </w:tcBorders>
          </w:tcPr>
          <w:p w14:paraId="50C454BC" w14:textId="77777777" w:rsidR="007159BE" w:rsidRDefault="007D3121">
            <w:pPr>
              <w:spacing w:after="0"/>
              <w:rPr>
                <w:rFonts w:ascii="Arial" w:eastAsia="MS Mincho" w:hAnsi="Arial" w:cs="Arial"/>
                <w:bCs/>
              </w:rPr>
            </w:pPr>
            <w:r>
              <w:rPr>
                <w:rFonts w:ascii="Arial" w:eastAsia="MS Mincho" w:hAnsi="Arial" w:cs="Arial"/>
                <w:bCs/>
              </w:rPr>
              <w:t>Yes</w:t>
            </w:r>
          </w:p>
        </w:tc>
        <w:tc>
          <w:tcPr>
            <w:tcW w:w="7507" w:type="dxa"/>
            <w:tcBorders>
              <w:top w:val="single" w:sz="4" w:space="0" w:color="auto"/>
              <w:left w:val="single" w:sz="4" w:space="0" w:color="auto"/>
              <w:bottom w:val="single" w:sz="4" w:space="0" w:color="auto"/>
              <w:right w:val="single" w:sz="4" w:space="0" w:color="auto"/>
            </w:tcBorders>
          </w:tcPr>
          <w:p w14:paraId="16F394D1" w14:textId="77777777" w:rsidR="007159BE" w:rsidRDefault="007D3121">
            <w:pPr>
              <w:spacing w:after="0"/>
              <w:rPr>
                <w:rFonts w:ascii="Arial" w:eastAsia="MS Mincho" w:hAnsi="Arial" w:cs="Arial"/>
                <w:bCs/>
              </w:rPr>
            </w:pPr>
            <w:r>
              <w:rPr>
                <w:rFonts w:ascii="Arial" w:eastAsia="MS Mincho" w:hAnsi="Arial" w:cs="Arial"/>
                <w:bCs/>
              </w:rPr>
              <w:t>The finer granularity, more overhead to report, to avoid frequent IDC indication reporting, we could only consider the enhancement of finer granularity for serving frequencies, and keep legacy for non-serving frequencies. T</w:t>
            </w:r>
            <w:r>
              <w:rPr>
                <w:rFonts w:ascii="Arial" w:eastAsia="MS Mincho" w:hAnsi="Arial" w:cs="Arial" w:hint="eastAsia"/>
                <w:bCs/>
              </w:rPr>
              <w:t>hus</w:t>
            </w:r>
            <w:r>
              <w:rPr>
                <w:rFonts w:ascii="Arial" w:eastAsia="MS Mincho" w:hAnsi="Arial" w:cs="Arial"/>
                <w:bCs/>
              </w:rPr>
              <w:t xml:space="preserve"> different FDM indications are expected.</w:t>
            </w:r>
          </w:p>
        </w:tc>
      </w:tr>
      <w:tr w:rsidR="007159BE" w14:paraId="50E0CA38" w14:textId="77777777">
        <w:tc>
          <w:tcPr>
            <w:tcW w:w="1214" w:type="dxa"/>
            <w:tcBorders>
              <w:top w:val="single" w:sz="4" w:space="0" w:color="auto"/>
              <w:left w:val="single" w:sz="4" w:space="0" w:color="auto"/>
              <w:bottom w:val="single" w:sz="4" w:space="0" w:color="auto"/>
              <w:right w:val="single" w:sz="4" w:space="0" w:color="auto"/>
            </w:tcBorders>
          </w:tcPr>
          <w:p w14:paraId="49555AD7" w14:textId="77777777" w:rsidR="007159BE" w:rsidRDefault="007D3121">
            <w:pPr>
              <w:spacing w:after="0"/>
              <w:rPr>
                <w:rFonts w:ascii="Arial" w:eastAsia="MS Mincho" w:hAnsi="Arial" w:cs="Arial"/>
                <w:bCs/>
              </w:rPr>
            </w:pPr>
            <w:r>
              <w:rPr>
                <w:rFonts w:ascii="Arial" w:eastAsia="MS Mincho" w:hAnsi="Arial" w:cs="Arial"/>
                <w:bCs/>
              </w:rPr>
              <w:t>Qualcomm</w:t>
            </w:r>
          </w:p>
        </w:tc>
        <w:tc>
          <w:tcPr>
            <w:tcW w:w="908" w:type="dxa"/>
            <w:tcBorders>
              <w:top w:val="single" w:sz="4" w:space="0" w:color="auto"/>
              <w:left w:val="single" w:sz="4" w:space="0" w:color="auto"/>
              <w:bottom w:val="single" w:sz="4" w:space="0" w:color="auto"/>
              <w:right w:val="single" w:sz="4" w:space="0" w:color="auto"/>
            </w:tcBorders>
          </w:tcPr>
          <w:p w14:paraId="6A8AB63B" w14:textId="77777777" w:rsidR="007159BE" w:rsidRDefault="007D3121">
            <w:pPr>
              <w:spacing w:after="0"/>
              <w:rPr>
                <w:rFonts w:ascii="Arial" w:eastAsia="MS Mincho" w:hAnsi="Arial" w:cs="Arial"/>
                <w:bCs/>
              </w:rPr>
            </w:pPr>
            <w:r>
              <w:rPr>
                <w:rFonts w:ascii="Arial" w:eastAsia="MS Mincho" w:hAnsi="Arial" w:cs="Arial"/>
                <w:bCs/>
              </w:rPr>
              <w:t>Yes</w:t>
            </w:r>
          </w:p>
        </w:tc>
        <w:tc>
          <w:tcPr>
            <w:tcW w:w="7507" w:type="dxa"/>
            <w:tcBorders>
              <w:top w:val="single" w:sz="4" w:space="0" w:color="auto"/>
              <w:left w:val="single" w:sz="4" w:space="0" w:color="auto"/>
              <w:bottom w:val="single" w:sz="4" w:space="0" w:color="auto"/>
              <w:right w:val="single" w:sz="4" w:space="0" w:color="auto"/>
            </w:tcBorders>
          </w:tcPr>
          <w:p w14:paraId="667DE440" w14:textId="77777777" w:rsidR="007159BE" w:rsidRDefault="007D3121">
            <w:pPr>
              <w:spacing w:after="0"/>
              <w:rPr>
                <w:rFonts w:ascii="Arial" w:eastAsia="MS Mincho" w:hAnsi="Arial" w:cs="Arial"/>
                <w:bCs/>
              </w:rPr>
            </w:pPr>
            <w:r>
              <w:rPr>
                <w:rFonts w:ascii="Arial" w:eastAsia="MS Mincho" w:hAnsi="Arial" w:cs="Arial"/>
                <w:bCs/>
              </w:rPr>
              <w:t xml:space="preserve">BWP granularity is an important solution with wide support in the contribution phase. We think having BWP is critical since one easy L1 fix for an IDC issue is to simply change BWP for the serving cell to steer the UE Tx/Rx away from the IDC issue. Aside from BWP granularity, we need another level of PRB granularity/frequency granularity if the suspected victim/aggressor system has small BW (e.g. Bluetooth) and the NW does not intend to change the BWP. </w:t>
            </w:r>
          </w:p>
          <w:p w14:paraId="06AA5DE5" w14:textId="77777777" w:rsidR="007159BE" w:rsidRDefault="007D3121">
            <w:pPr>
              <w:spacing w:after="0"/>
              <w:rPr>
                <w:rFonts w:ascii="Arial" w:eastAsia="MS Mincho" w:hAnsi="Arial" w:cs="Arial"/>
                <w:bCs/>
              </w:rPr>
            </w:pPr>
            <w:r>
              <w:rPr>
                <w:rFonts w:ascii="Arial" w:eastAsia="MS Mincho" w:hAnsi="Arial" w:cs="Arial"/>
                <w:bCs/>
              </w:rPr>
              <w:t xml:space="preserve">Non-serving cell does not naturally lend itself to BWP reporting, thus, the two options would be existing carrier granularity and frequency/PRB granularity. We don’t see good reasoning right now to ask the non-serving cell to report things on the PRB level let-alone that this indeed is increased complexity, thus, we would like to point out that an enhanced granularity for a non-serving cell is not exactly critical.     </w:t>
            </w:r>
          </w:p>
        </w:tc>
      </w:tr>
      <w:tr w:rsidR="007159BE" w14:paraId="075DEAB2" w14:textId="77777777">
        <w:tc>
          <w:tcPr>
            <w:tcW w:w="1214" w:type="dxa"/>
            <w:tcBorders>
              <w:top w:val="single" w:sz="4" w:space="0" w:color="auto"/>
              <w:left w:val="single" w:sz="4" w:space="0" w:color="auto"/>
              <w:bottom w:val="single" w:sz="4" w:space="0" w:color="auto"/>
              <w:right w:val="single" w:sz="4" w:space="0" w:color="auto"/>
            </w:tcBorders>
          </w:tcPr>
          <w:p w14:paraId="5ABAB0BE" w14:textId="77777777" w:rsidR="007159BE" w:rsidRDefault="007D3121">
            <w:pPr>
              <w:spacing w:after="0"/>
              <w:rPr>
                <w:rFonts w:ascii="Arial" w:hAnsi="Arial" w:cs="Arial"/>
                <w:bCs/>
                <w:lang w:val="en-US" w:eastAsia="zh-CN"/>
              </w:rPr>
            </w:pPr>
            <w:r>
              <w:rPr>
                <w:rFonts w:ascii="Arial" w:hAnsi="Arial" w:cs="Arial" w:hint="eastAsia"/>
                <w:bCs/>
                <w:lang w:val="en-US" w:eastAsia="zh-CN"/>
              </w:rPr>
              <w:t>ZTE</w:t>
            </w:r>
          </w:p>
        </w:tc>
        <w:tc>
          <w:tcPr>
            <w:tcW w:w="908" w:type="dxa"/>
            <w:tcBorders>
              <w:top w:val="single" w:sz="4" w:space="0" w:color="auto"/>
              <w:left w:val="single" w:sz="4" w:space="0" w:color="auto"/>
              <w:bottom w:val="single" w:sz="4" w:space="0" w:color="auto"/>
              <w:right w:val="single" w:sz="4" w:space="0" w:color="auto"/>
            </w:tcBorders>
          </w:tcPr>
          <w:p w14:paraId="471B402A" w14:textId="77777777" w:rsidR="007159BE" w:rsidRDefault="007D3121">
            <w:pPr>
              <w:spacing w:after="0"/>
              <w:rPr>
                <w:rFonts w:ascii="Arial" w:hAnsi="Arial" w:cs="Arial"/>
                <w:bCs/>
                <w:lang w:val="en-US" w:eastAsia="zh-CN"/>
              </w:rPr>
            </w:pPr>
            <w:r>
              <w:rPr>
                <w:rFonts w:ascii="Arial" w:hAnsi="Arial" w:cs="Arial" w:hint="eastAsia"/>
                <w:bCs/>
                <w:lang w:val="en-US" w:eastAsia="zh-CN"/>
              </w:rPr>
              <w:t>Yes</w:t>
            </w:r>
          </w:p>
        </w:tc>
        <w:tc>
          <w:tcPr>
            <w:tcW w:w="7507" w:type="dxa"/>
            <w:tcBorders>
              <w:top w:val="single" w:sz="4" w:space="0" w:color="auto"/>
              <w:left w:val="single" w:sz="4" w:space="0" w:color="auto"/>
              <w:bottom w:val="single" w:sz="4" w:space="0" w:color="auto"/>
              <w:right w:val="single" w:sz="4" w:space="0" w:color="auto"/>
            </w:tcBorders>
          </w:tcPr>
          <w:p w14:paraId="7B796E9C" w14:textId="77777777" w:rsidR="007159BE" w:rsidRDefault="007D3121">
            <w:pPr>
              <w:spacing w:after="0"/>
              <w:rPr>
                <w:rFonts w:ascii="Arial" w:hAnsi="Arial" w:cs="Arial"/>
                <w:bCs/>
                <w:lang w:val="en-US" w:eastAsia="zh-CN"/>
              </w:rPr>
            </w:pPr>
            <w:r>
              <w:rPr>
                <w:rFonts w:ascii="Arial" w:hAnsi="Arial" w:cs="Arial" w:hint="eastAsia"/>
                <w:bCs/>
                <w:lang w:val="en-US" w:eastAsia="zh-CN"/>
              </w:rPr>
              <w:t xml:space="preserve">Share the same view as OPPO and Qualcomm. </w:t>
            </w:r>
            <w:r w:rsidR="00B23851">
              <w:rPr>
                <w:rFonts w:ascii="Arial" w:hAnsi="Arial" w:cs="Arial"/>
                <w:bCs/>
                <w:lang w:val="en-US" w:eastAsia="zh-CN"/>
              </w:rPr>
              <w:t>The key issue is whether to support BWP reporting, for that the BWP reporting can only be supported for the serving frequency.</w:t>
            </w:r>
          </w:p>
          <w:p w14:paraId="7C955153" w14:textId="77777777" w:rsidR="007159BE" w:rsidRDefault="007D3121" w:rsidP="00B23851">
            <w:pPr>
              <w:spacing w:after="0"/>
              <w:rPr>
                <w:rFonts w:ascii="Arial" w:hAnsi="Arial" w:cs="Arial"/>
                <w:bCs/>
                <w:lang w:val="en-US" w:eastAsia="zh-CN"/>
              </w:rPr>
            </w:pPr>
            <w:r>
              <w:rPr>
                <w:rFonts w:ascii="Arial" w:hAnsi="Arial" w:cs="Arial" w:hint="eastAsia"/>
                <w:bCs/>
                <w:lang w:val="en-US" w:eastAsia="zh-CN"/>
              </w:rPr>
              <w:t xml:space="preserve">For the serving cell, </w:t>
            </w:r>
            <w:r w:rsidR="00B23851">
              <w:rPr>
                <w:rFonts w:ascii="Arial" w:hAnsi="Arial" w:cs="Arial"/>
                <w:bCs/>
                <w:lang w:val="en-US" w:eastAsia="zh-CN"/>
              </w:rPr>
              <w:t>we think the BWP reporting</w:t>
            </w:r>
            <w:r>
              <w:rPr>
                <w:rFonts w:ascii="Arial" w:hAnsi="Arial" w:cs="Arial" w:hint="eastAsia"/>
                <w:bCs/>
                <w:lang w:val="en-US" w:eastAsia="zh-CN"/>
              </w:rPr>
              <w:t xml:space="preserve"> is </w:t>
            </w:r>
            <w:r w:rsidR="00B23851">
              <w:rPr>
                <w:rFonts w:ascii="Arial" w:hAnsi="Arial" w:cs="Arial"/>
                <w:bCs/>
                <w:lang w:val="en-US" w:eastAsia="zh-CN"/>
              </w:rPr>
              <w:t xml:space="preserve">a </w:t>
            </w:r>
            <w:r>
              <w:rPr>
                <w:rFonts w:ascii="Arial" w:hAnsi="Arial" w:cs="Arial" w:hint="eastAsia"/>
                <w:bCs/>
                <w:lang w:val="en-US" w:eastAsia="zh-CN"/>
              </w:rPr>
              <w:t>quite signaling saving and efficient way, for that the network</w:t>
            </w:r>
            <w:r w:rsidR="00B23851">
              <w:rPr>
                <w:rFonts w:ascii="Arial" w:hAnsi="Arial" w:cs="Arial"/>
                <w:bCs/>
                <w:lang w:val="en-US" w:eastAsia="zh-CN"/>
              </w:rPr>
              <w:t xml:space="preserve"> can determine whether and how to do BWP switch easily.</w:t>
            </w:r>
            <w:r>
              <w:rPr>
                <w:rFonts w:ascii="Arial" w:hAnsi="Arial" w:cs="Arial" w:hint="eastAsia"/>
                <w:bCs/>
                <w:lang w:val="en-US" w:eastAsia="zh-CN"/>
              </w:rPr>
              <w:t xml:space="preserve"> </w:t>
            </w:r>
          </w:p>
        </w:tc>
      </w:tr>
      <w:tr w:rsidR="007159BE" w14:paraId="6807B2DF" w14:textId="77777777">
        <w:tc>
          <w:tcPr>
            <w:tcW w:w="1214" w:type="dxa"/>
            <w:tcBorders>
              <w:top w:val="single" w:sz="4" w:space="0" w:color="auto"/>
              <w:left w:val="single" w:sz="4" w:space="0" w:color="auto"/>
              <w:bottom w:val="single" w:sz="4" w:space="0" w:color="auto"/>
              <w:right w:val="single" w:sz="4" w:space="0" w:color="auto"/>
            </w:tcBorders>
          </w:tcPr>
          <w:p w14:paraId="390166C9" w14:textId="517A6A4E" w:rsidR="007159BE" w:rsidRPr="00B52E72" w:rsidRDefault="00B52E72">
            <w:pPr>
              <w:spacing w:after="0"/>
              <w:rPr>
                <w:rFonts w:ascii="Arial" w:eastAsia="MS Mincho" w:hAnsi="Arial" w:cs="Arial"/>
                <w:bCs/>
                <w:lang w:val="en-US"/>
              </w:rPr>
            </w:pPr>
            <w:r>
              <w:rPr>
                <w:rFonts w:ascii="Arial" w:eastAsia="MS Mincho" w:hAnsi="Arial" w:cs="Arial" w:hint="eastAsia"/>
                <w:bCs/>
                <w:lang w:eastAsia="zh-CN"/>
              </w:rPr>
              <w:t>Apple</w:t>
            </w:r>
          </w:p>
        </w:tc>
        <w:tc>
          <w:tcPr>
            <w:tcW w:w="908" w:type="dxa"/>
            <w:tcBorders>
              <w:top w:val="single" w:sz="4" w:space="0" w:color="auto"/>
              <w:left w:val="single" w:sz="4" w:space="0" w:color="auto"/>
              <w:bottom w:val="single" w:sz="4" w:space="0" w:color="auto"/>
              <w:right w:val="single" w:sz="4" w:space="0" w:color="auto"/>
            </w:tcBorders>
          </w:tcPr>
          <w:p w14:paraId="05D108BC" w14:textId="03FCFCC6" w:rsidR="007159BE" w:rsidRDefault="00B52E72">
            <w:pPr>
              <w:spacing w:after="0"/>
              <w:rPr>
                <w:rFonts w:ascii="Arial" w:eastAsia="MS Mincho" w:hAnsi="Arial" w:cs="Arial"/>
                <w:bCs/>
              </w:rPr>
            </w:pPr>
            <w:r>
              <w:rPr>
                <w:rFonts w:ascii="Arial" w:eastAsia="MS Mincho" w:hAnsi="Arial" w:cs="Arial"/>
                <w:bCs/>
              </w:rPr>
              <w:t>Yes</w:t>
            </w:r>
          </w:p>
        </w:tc>
        <w:tc>
          <w:tcPr>
            <w:tcW w:w="7507" w:type="dxa"/>
            <w:tcBorders>
              <w:top w:val="single" w:sz="4" w:space="0" w:color="auto"/>
              <w:left w:val="single" w:sz="4" w:space="0" w:color="auto"/>
              <w:bottom w:val="single" w:sz="4" w:space="0" w:color="auto"/>
              <w:right w:val="single" w:sz="4" w:space="0" w:color="auto"/>
            </w:tcBorders>
          </w:tcPr>
          <w:p w14:paraId="474118EE" w14:textId="4E096AD2" w:rsidR="00B52E72" w:rsidRDefault="00B52E72">
            <w:pPr>
              <w:spacing w:after="0"/>
              <w:rPr>
                <w:rFonts w:ascii="Arial" w:eastAsia="MS Mincho" w:hAnsi="Arial" w:cs="Arial"/>
                <w:bCs/>
              </w:rPr>
            </w:pPr>
            <w:r>
              <w:rPr>
                <w:rFonts w:ascii="Arial" w:eastAsia="MS Mincho" w:hAnsi="Arial" w:cs="Arial"/>
                <w:bCs/>
              </w:rPr>
              <w:t>We think BWP based reporting is straightforward for serving cell as also mentioned by other companies above.</w:t>
            </w:r>
          </w:p>
          <w:p w14:paraId="3F48D45C" w14:textId="210C9BF8" w:rsidR="007159BE" w:rsidRDefault="00B52E72">
            <w:pPr>
              <w:spacing w:after="0"/>
              <w:rPr>
                <w:rFonts w:ascii="Arial" w:eastAsia="MS Mincho" w:hAnsi="Arial" w:cs="Arial"/>
                <w:bCs/>
              </w:rPr>
            </w:pPr>
            <w:r>
              <w:rPr>
                <w:rFonts w:ascii="Arial" w:eastAsia="MS Mincho" w:hAnsi="Arial" w:cs="Arial"/>
                <w:bCs/>
              </w:rPr>
              <w:t xml:space="preserve">For non-serving cell, we need different solution other than BWP based reporting. </w:t>
            </w:r>
          </w:p>
        </w:tc>
      </w:tr>
      <w:tr w:rsidR="00717510" w:rsidRPr="00916935" w14:paraId="245C800E" w14:textId="77777777" w:rsidTr="00717510">
        <w:tc>
          <w:tcPr>
            <w:tcW w:w="1214" w:type="dxa"/>
            <w:tcBorders>
              <w:top w:val="single" w:sz="4" w:space="0" w:color="auto"/>
              <w:left w:val="single" w:sz="4" w:space="0" w:color="auto"/>
              <w:bottom w:val="single" w:sz="4" w:space="0" w:color="auto"/>
              <w:right w:val="single" w:sz="4" w:space="0" w:color="auto"/>
            </w:tcBorders>
          </w:tcPr>
          <w:p w14:paraId="1CE489F8" w14:textId="77777777" w:rsidR="00717510" w:rsidRPr="00717510" w:rsidRDefault="00717510" w:rsidP="00B926CF">
            <w:pPr>
              <w:spacing w:after="0"/>
              <w:rPr>
                <w:rFonts w:ascii="Arial" w:eastAsia="MS Mincho" w:hAnsi="Arial" w:cs="Arial"/>
                <w:bCs/>
                <w:lang w:eastAsia="zh-CN"/>
              </w:rPr>
            </w:pPr>
            <w:r w:rsidRPr="00717510">
              <w:rPr>
                <w:rFonts w:ascii="Arial" w:eastAsia="MS Mincho" w:hAnsi="Arial" w:cs="Arial" w:hint="eastAsia"/>
                <w:bCs/>
                <w:lang w:eastAsia="zh-CN"/>
              </w:rPr>
              <w:t>S</w:t>
            </w:r>
            <w:r w:rsidRPr="00717510">
              <w:rPr>
                <w:rFonts w:ascii="Arial" w:eastAsia="MS Mincho" w:hAnsi="Arial" w:cs="Arial"/>
                <w:bCs/>
                <w:lang w:eastAsia="zh-CN"/>
              </w:rPr>
              <w:t xml:space="preserve">amsung </w:t>
            </w:r>
          </w:p>
        </w:tc>
        <w:tc>
          <w:tcPr>
            <w:tcW w:w="908" w:type="dxa"/>
            <w:tcBorders>
              <w:top w:val="single" w:sz="4" w:space="0" w:color="auto"/>
              <w:left w:val="single" w:sz="4" w:space="0" w:color="auto"/>
              <w:bottom w:val="single" w:sz="4" w:space="0" w:color="auto"/>
              <w:right w:val="single" w:sz="4" w:space="0" w:color="auto"/>
            </w:tcBorders>
          </w:tcPr>
          <w:p w14:paraId="068DC318" w14:textId="77777777" w:rsidR="00717510" w:rsidRPr="00717510" w:rsidRDefault="00717510" w:rsidP="00B926CF">
            <w:pPr>
              <w:spacing w:after="0"/>
              <w:rPr>
                <w:rFonts w:ascii="Arial" w:eastAsia="MS Mincho" w:hAnsi="Arial" w:cs="Arial"/>
                <w:bCs/>
              </w:rPr>
            </w:pPr>
            <w:r w:rsidRPr="00717510">
              <w:rPr>
                <w:rFonts w:ascii="Arial" w:eastAsia="MS Mincho" w:hAnsi="Arial" w:cs="Arial" w:hint="eastAsia"/>
                <w:bCs/>
              </w:rPr>
              <w:t>N</w:t>
            </w:r>
            <w:r w:rsidRPr="00717510">
              <w:rPr>
                <w:rFonts w:ascii="Arial" w:eastAsia="MS Mincho" w:hAnsi="Arial" w:cs="Arial"/>
                <w:bCs/>
              </w:rPr>
              <w:t xml:space="preserve">o </w:t>
            </w:r>
          </w:p>
        </w:tc>
        <w:tc>
          <w:tcPr>
            <w:tcW w:w="7507" w:type="dxa"/>
            <w:tcBorders>
              <w:top w:val="single" w:sz="4" w:space="0" w:color="auto"/>
              <w:left w:val="single" w:sz="4" w:space="0" w:color="auto"/>
              <w:bottom w:val="single" w:sz="4" w:space="0" w:color="auto"/>
              <w:right w:val="single" w:sz="4" w:space="0" w:color="auto"/>
            </w:tcBorders>
          </w:tcPr>
          <w:p w14:paraId="07821496" w14:textId="77777777" w:rsidR="00717510" w:rsidRPr="00717510" w:rsidRDefault="00717510" w:rsidP="00B926CF">
            <w:pPr>
              <w:spacing w:after="0"/>
              <w:rPr>
                <w:rFonts w:ascii="Arial" w:eastAsia="MS Mincho" w:hAnsi="Arial" w:cs="Arial"/>
                <w:bCs/>
              </w:rPr>
            </w:pPr>
            <w:r w:rsidRPr="00717510">
              <w:rPr>
                <w:rFonts w:ascii="Arial" w:eastAsia="MS Mincho" w:hAnsi="Arial" w:cs="Arial"/>
                <w:bCs/>
              </w:rPr>
              <w:t xml:space="preserve">In our understanding, a unified scheme is always a better way forward. </w:t>
            </w:r>
            <w:r w:rsidRPr="00717510">
              <w:rPr>
                <w:rFonts w:ascii="Arial" w:eastAsia="MS Mincho" w:hAnsi="Arial" w:cs="Arial" w:hint="eastAsia"/>
                <w:bCs/>
              </w:rPr>
              <w:t>W</w:t>
            </w:r>
            <w:r w:rsidRPr="00717510">
              <w:rPr>
                <w:rFonts w:ascii="Arial" w:eastAsia="MS Mincho" w:hAnsi="Arial" w:cs="Arial"/>
                <w:bCs/>
              </w:rPr>
              <w:t xml:space="preserve">e didn’t see clear benefit to use different FDM indications. On the contrary, it increases the specification design complexity. In addition, on the above options, we can identify some options can be applied to both serving and non-serving frequencies. In this sense, we support to use the same FDM indication design for both serving and non-serving frequencies. </w:t>
            </w:r>
          </w:p>
        </w:tc>
      </w:tr>
      <w:tr w:rsidR="00736AF6" w14:paraId="78223797" w14:textId="77777777">
        <w:tc>
          <w:tcPr>
            <w:tcW w:w="1214" w:type="dxa"/>
            <w:tcBorders>
              <w:top w:val="single" w:sz="4" w:space="0" w:color="auto"/>
              <w:left w:val="single" w:sz="4" w:space="0" w:color="auto"/>
              <w:bottom w:val="single" w:sz="4" w:space="0" w:color="auto"/>
              <w:right w:val="single" w:sz="4" w:space="0" w:color="auto"/>
            </w:tcBorders>
          </w:tcPr>
          <w:p w14:paraId="0A6612F8" w14:textId="1BB78F00" w:rsidR="00736AF6" w:rsidRPr="00717510" w:rsidRDefault="00736AF6" w:rsidP="00736AF6">
            <w:pPr>
              <w:spacing w:after="0"/>
              <w:rPr>
                <w:rFonts w:ascii="Arial" w:eastAsia="MS Mincho" w:hAnsi="Arial" w:cs="Arial"/>
                <w:bCs/>
              </w:rPr>
            </w:pPr>
            <w:r>
              <w:rPr>
                <w:rFonts w:ascii="Arial" w:eastAsia="MS Mincho" w:hAnsi="Arial" w:cs="Arial"/>
                <w:bCs/>
              </w:rPr>
              <w:t>Intel</w:t>
            </w:r>
          </w:p>
        </w:tc>
        <w:tc>
          <w:tcPr>
            <w:tcW w:w="908" w:type="dxa"/>
            <w:tcBorders>
              <w:top w:val="single" w:sz="4" w:space="0" w:color="auto"/>
              <w:left w:val="single" w:sz="4" w:space="0" w:color="auto"/>
              <w:bottom w:val="single" w:sz="4" w:space="0" w:color="auto"/>
              <w:right w:val="single" w:sz="4" w:space="0" w:color="auto"/>
            </w:tcBorders>
          </w:tcPr>
          <w:p w14:paraId="08F27489" w14:textId="6BF5B1A3" w:rsidR="00736AF6" w:rsidRDefault="00736AF6" w:rsidP="00736AF6">
            <w:pPr>
              <w:spacing w:after="0"/>
              <w:rPr>
                <w:rFonts w:ascii="Arial" w:eastAsia="MS Mincho" w:hAnsi="Arial" w:cs="Arial"/>
                <w:bCs/>
              </w:rPr>
            </w:pPr>
            <w:r>
              <w:rPr>
                <w:rFonts w:ascii="Arial" w:eastAsia="MS Mincho" w:hAnsi="Arial" w:cs="Arial"/>
                <w:bCs/>
              </w:rPr>
              <w:t>No</w:t>
            </w:r>
          </w:p>
        </w:tc>
        <w:tc>
          <w:tcPr>
            <w:tcW w:w="7507" w:type="dxa"/>
            <w:tcBorders>
              <w:top w:val="single" w:sz="4" w:space="0" w:color="auto"/>
              <w:left w:val="single" w:sz="4" w:space="0" w:color="auto"/>
              <w:bottom w:val="single" w:sz="4" w:space="0" w:color="auto"/>
              <w:right w:val="single" w:sz="4" w:space="0" w:color="auto"/>
            </w:tcBorders>
          </w:tcPr>
          <w:p w14:paraId="586D6756" w14:textId="4BACB4B9" w:rsidR="00736AF6" w:rsidRDefault="00736AF6" w:rsidP="00736AF6">
            <w:pPr>
              <w:spacing w:after="0"/>
              <w:rPr>
                <w:rFonts w:ascii="Arial" w:eastAsia="MS Mincho" w:hAnsi="Arial" w:cs="Arial"/>
                <w:bCs/>
              </w:rPr>
            </w:pPr>
            <w:r>
              <w:rPr>
                <w:rFonts w:ascii="Arial" w:eastAsia="MS Mincho" w:hAnsi="Arial" w:cs="Arial"/>
                <w:bCs/>
              </w:rPr>
              <w:t xml:space="preserve">We prefer to have same high level solution for serving and non-serving frequencies. For non-serving frequencies, some additional information can be provided or UE </w:t>
            </w:r>
            <w:r w:rsidRPr="00665D46">
              <w:rPr>
                <w:rFonts w:ascii="Arial" w:eastAsia="MS Mincho" w:hAnsi="Arial" w:cs="Arial"/>
                <w:bCs/>
              </w:rPr>
              <w:t>indicates the affected frequency resources based on fixed assumption</w:t>
            </w:r>
            <w:r>
              <w:rPr>
                <w:rFonts w:ascii="Arial" w:eastAsia="MS Mincho" w:hAnsi="Arial" w:cs="Arial"/>
                <w:bCs/>
              </w:rPr>
              <w:t>.</w:t>
            </w:r>
          </w:p>
        </w:tc>
      </w:tr>
      <w:tr w:rsidR="00736AF6" w14:paraId="41CC0A1E" w14:textId="77777777">
        <w:tc>
          <w:tcPr>
            <w:tcW w:w="1214" w:type="dxa"/>
            <w:tcBorders>
              <w:top w:val="single" w:sz="4" w:space="0" w:color="auto"/>
              <w:left w:val="single" w:sz="4" w:space="0" w:color="auto"/>
              <w:bottom w:val="single" w:sz="4" w:space="0" w:color="auto"/>
              <w:right w:val="single" w:sz="4" w:space="0" w:color="auto"/>
            </w:tcBorders>
          </w:tcPr>
          <w:p w14:paraId="53BB8488" w14:textId="12660E71" w:rsidR="00736AF6" w:rsidRPr="00A73F31" w:rsidRDefault="00A73F31" w:rsidP="00736AF6">
            <w:pPr>
              <w:spacing w:after="0"/>
              <w:rPr>
                <w:rFonts w:ascii="Arial" w:eastAsiaTheme="minorEastAsia" w:hAnsi="Arial" w:cs="Arial"/>
                <w:bCs/>
                <w:lang w:eastAsia="zh-CN"/>
              </w:rPr>
            </w:pPr>
            <w:r>
              <w:rPr>
                <w:rFonts w:ascii="Arial" w:eastAsiaTheme="minorEastAsia" w:hAnsi="Arial" w:cs="Arial" w:hint="eastAsia"/>
                <w:bCs/>
                <w:lang w:eastAsia="zh-CN"/>
              </w:rPr>
              <w:t>v</w:t>
            </w:r>
            <w:r>
              <w:rPr>
                <w:rFonts w:ascii="Arial" w:eastAsiaTheme="minorEastAsia" w:hAnsi="Arial" w:cs="Arial"/>
                <w:bCs/>
                <w:lang w:eastAsia="zh-CN"/>
              </w:rPr>
              <w:t>ivo</w:t>
            </w:r>
          </w:p>
        </w:tc>
        <w:tc>
          <w:tcPr>
            <w:tcW w:w="908" w:type="dxa"/>
            <w:tcBorders>
              <w:top w:val="single" w:sz="4" w:space="0" w:color="auto"/>
              <w:left w:val="single" w:sz="4" w:space="0" w:color="auto"/>
              <w:bottom w:val="single" w:sz="4" w:space="0" w:color="auto"/>
              <w:right w:val="single" w:sz="4" w:space="0" w:color="auto"/>
            </w:tcBorders>
          </w:tcPr>
          <w:p w14:paraId="5BD825CE" w14:textId="1A8420E5" w:rsidR="00736AF6" w:rsidRPr="00A73F31" w:rsidRDefault="00A73F31" w:rsidP="00736AF6">
            <w:pPr>
              <w:spacing w:after="0"/>
              <w:rPr>
                <w:rFonts w:ascii="Arial" w:eastAsiaTheme="minorEastAsia" w:hAnsi="Arial" w:cs="Arial"/>
                <w:bCs/>
                <w:lang w:eastAsia="zh-CN"/>
              </w:rPr>
            </w:pPr>
            <w:r>
              <w:rPr>
                <w:rFonts w:ascii="Arial" w:eastAsiaTheme="minorEastAsia" w:hAnsi="Arial" w:cs="Arial" w:hint="eastAsia"/>
                <w:bCs/>
                <w:lang w:eastAsia="zh-CN"/>
              </w:rPr>
              <w:t>N</w:t>
            </w:r>
            <w:r>
              <w:rPr>
                <w:rFonts w:ascii="Arial" w:eastAsiaTheme="minorEastAsia" w:hAnsi="Arial" w:cs="Arial"/>
                <w:bCs/>
                <w:lang w:eastAsia="zh-CN"/>
              </w:rPr>
              <w:t>o</w:t>
            </w:r>
          </w:p>
        </w:tc>
        <w:tc>
          <w:tcPr>
            <w:tcW w:w="7507" w:type="dxa"/>
            <w:tcBorders>
              <w:top w:val="single" w:sz="4" w:space="0" w:color="auto"/>
              <w:left w:val="single" w:sz="4" w:space="0" w:color="auto"/>
              <w:bottom w:val="single" w:sz="4" w:space="0" w:color="auto"/>
              <w:right w:val="single" w:sz="4" w:space="0" w:color="auto"/>
            </w:tcBorders>
          </w:tcPr>
          <w:p w14:paraId="0E2F25DB" w14:textId="7AAEF84D" w:rsidR="00736AF6" w:rsidRPr="00416BF1" w:rsidRDefault="00416BF1" w:rsidP="00736AF6">
            <w:pPr>
              <w:spacing w:after="0"/>
              <w:rPr>
                <w:rFonts w:ascii="Arial" w:eastAsiaTheme="minorEastAsia" w:hAnsi="Arial" w:cs="Arial"/>
                <w:bCs/>
                <w:lang w:eastAsia="zh-CN"/>
              </w:rPr>
            </w:pPr>
            <w:r>
              <w:rPr>
                <w:rFonts w:ascii="Arial" w:eastAsiaTheme="minorEastAsia" w:hAnsi="Arial" w:cs="Arial"/>
                <w:bCs/>
                <w:lang w:eastAsia="zh-CN"/>
              </w:rPr>
              <w:t xml:space="preserve">We prefer a common solution for </w:t>
            </w:r>
            <w:r w:rsidR="00B340EE">
              <w:rPr>
                <w:rFonts w:ascii="Arial" w:eastAsiaTheme="minorEastAsia" w:hAnsi="Arial" w:cs="Arial"/>
                <w:bCs/>
                <w:lang w:eastAsia="zh-CN"/>
              </w:rPr>
              <w:t xml:space="preserve">serving </w:t>
            </w:r>
            <w:r>
              <w:rPr>
                <w:rFonts w:ascii="Arial" w:eastAsiaTheme="minorEastAsia" w:hAnsi="Arial" w:cs="Arial"/>
                <w:bCs/>
                <w:lang w:eastAsia="zh-CN"/>
              </w:rPr>
              <w:t>frequency and non-</w:t>
            </w:r>
            <w:r w:rsidR="00B340EE">
              <w:rPr>
                <w:rFonts w:ascii="Arial" w:eastAsiaTheme="minorEastAsia" w:hAnsi="Arial" w:cs="Arial"/>
                <w:bCs/>
                <w:lang w:eastAsia="zh-CN"/>
              </w:rPr>
              <w:t xml:space="preserve">serving </w:t>
            </w:r>
            <w:r>
              <w:rPr>
                <w:rFonts w:ascii="Arial" w:eastAsiaTheme="minorEastAsia" w:hAnsi="Arial" w:cs="Arial"/>
                <w:bCs/>
                <w:lang w:eastAsia="zh-CN"/>
              </w:rPr>
              <w:t>frequency case. For non-</w:t>
            </w:r>
            <w:r w:rsidR="00B340EE">
              <w:rPr>
                <w:rFonts w:ascii="Arial" w:eastAsiaTheme="minorEastAsia" w:hAnsi="Arial" w:cs="Arial"/>
                <w:bCs/>
                <w:lang w:eastAsia="zh-CN"/>
              </w:rPr>
              <w:t xml:space="preserve">serving </w:t>
            </w:r>
            <w:r>
              <w:rPr>
                <w:rFonts w:ascii="Arial" w:eastAsiaTheme="minorEastAsia" w:hAnsi="Arial" w:cs="Arial"/>
                <w:bCs/>
                <w:lang w:eastAsia="zh-CN"/>
              </w:rPr>
              <w:t>frequency, candidate BWP info</w:t>
            </w:r>
            <w:r w:rsidR="00E02810">
              <w:rPr>
                <w:rFonts w:ascii="Arial" w:eastAsiaTheme="minorEastAsia" w:hAnsi="Arial" w:cs="Arial"/>
                <w:bCs/>
                <w:lang w:eastAsia="zh-CN"/>
              </w:rPr>
              <w:t xml:space="preserve"> </w:t>
            </w:r>
            <w:r>
              <w:rPr>
                <w:rFonts w:ascii="Arial" w:eastAsiaTheme="minorEastAsia" w:hAnsi="Arial" w:cs="Arial"/>
                <w:bCs/>
                <w:lang w:eastAsia="zh-CN"/>
              </w:rPr>
              <w:t>can be provided to UE in</w:t>
            </w:r>
            <w:r w:rsidR="00E02810">
              <w:rPr>
                <w:rFonts w:ascii="Arial" w:eastAsiaTheme="minorEastAsia" w:hAnsi="Arial" w:cs="Arial"/>
                <w:bCs/>
                <w:lang w:eastAsia="zh-CN"/>
              </w:rPr>
              <w:t xml:space="preserve"> advance. UE can report candidate BWP ID/index to indicate </w:t>
            </w:r>
            <w:r w:rsidR="00E02810" w:rsidRPr="00E02810">
              <w:rPr>
                <w:rFonts w:ascii="Arial" w:eastAsiaTheme="minorEastAsia" w:hAnsi="Arial" w:cs="Arial"/>
                <w:bCs/>
                <w:lang w:eastAsia="zh-CN"/>
              </w:rPr>
              <w:t>experiencing IDC problems</w:t>
            </w:r>
            <w:r w:rsidR="00E02810">
              <w:rPr>
                <w:rFonts w:ascii="Arial" w:eastAsiaTheme="minorEastAsia" w:hAnsi="Arial" w:cs="Arial"/>
                <w:bCs/>
                <w:lang w:eastAsia="zh-CN"/>
              </w:rPr>
              <w:t xml:space="preserve"> on corresponding candidate BWP.</w:t>
            </w:r>
          </w:p>
        </w:tc>
      </w:tr>
      <w:tr w:rsidR="00736AF6" w14:paraId="75D741EF" w14:textId="77777777">
        <w:tc>
          <w:tcPr>
            <w:tcW w:w="1214" w:type="dxa"/>
            <w:tcBorders>
              <w:top w:val="single" w:sz="4" w:space="0" w:color="auto"/>
              <w:left w:val="single" w:sz="4" w:space="0" w:color="auto"/>
              <w:bottom w:val="single" w:sz="4" w:space="0" w:color="auto"/>
              <w:right w:val="single" w:sz="4" w:space="0" w:color="auto"/>
            </w:tcBorders>
          </w:tcPr>
          <w:p w14:paraId="4BACE648" w14:textId="77777777" w:rsidR="00736AF6" w:rsidRDefault="00736AF6" w:rsidP="00736AF6">
            <w:pPr>
              <w:spacing w:after="0"/>
              <w:rPr>
                <w:rFonts w:ascii="Arial" w:eastAsia="MS Mincho" w:hAnsi="Arial" w:cs="Arial"/>
                <w:bCs/>
              </w:rPr>
            </w:pPr>
          </w:p>
        </w:tc>
        <w:tc>
          <w:tcPr>
            <w:tcW w:w="908" w:type="dxa"/>
            <w:tcBorders>
              <w:top w:val="single" w:sz="4" w:space="0" w:color="auto"/>
              <w:left w:val="single" w:sz="4" w:space="0" w:color="auto"/>
              <w:bottom w:val="single" w:sz="4" w:space="0" w:color="auto"/>
              <w:right w:val="single" w:sz="4" w:space="0" w:color="auto"/>
            </w:tcBorders>
          </w:tcPr>
          <w:p w14:paraId="430B39A3" w14:textId="77777777" w:rsidR="00736AF6" w:rsidRDefault="00736AF6" w:rsidP="00736AF6">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14:paraId="20AF081F" w14:textId="77777777" w:rsidR="00736AF6" w:rsidRDefault="00736AF6" w:rsidP="00736AF6">
            <w:pPr>
              <w:spacing w:after="0"/>
              <w:rPr>
                <w:rFonts w:ascii="Arial" w:eastAsia="MS Mincho" w:hAnsi="Arial" w:cs="Arial"/>
                <w:bCs/>
              </w:rPr>
            </w:pPr>
          </w:p>
        </w:tc>
      </w:tr>
      <w:tr w:rsidR="00736AF6" w14:paraId="64D67DAF" w14:textId="77777777">
        <w:tc>
          <w:tcPr>
            <w:tcW w:w="1214" w:type="dxa"/>
            <w:tcBorders>
              <w:top w:val="single" w:sz="4" w:space="0" w:color="auto"/>
              <w:left w:val="single" w:sz="4" w:space="0" w:color="auto"/>
              <w:bottom w:val="single" w:sz="4" w:space="0" w:color="auto"/>
              <w:right w:val="single" w:sz="4" w:space="0" w:color="auto"/>
            </w:tcBorders>
          </w:tcPr>
          <w:p w14:paraId="5E096243" w14:textId="77777777" w:rsidR="00736AF6" w:rsidRDefault="00736AF6" w:rsidP="00736AF6">
            <w:pPr>
              <w:spacing w:after="0"/>
              <w:rPr>
                <w:rFonts w:ascii="Arial" w:eastAsia="MS Mincho" w:hAnsi="Arial" w:cs="Arial"/>
                <w:bCs/>
              </w:rPr>
            </w:pPr>
          </w:p>
        </w:tc>
        <w:tc>
          <w:tcPr>
            <w:tcW w:w="908" w:type="dxa"/>
            <w:tcBorders>
              <w:top w:val="single" w:sz="4" w:space="0" w:color="auto"/>
              <w:left w:val="single" w:sz="4" w:space="0" w:color="auto"/>
              <w:bottom w:val="single" w:sz="4" w:space="0" w:color="auto"/>
              <w:right w:val="single" w:sz="4" w:space="0" w:color="auto"/>
            </w:tcBorders>
          </w:tcPr>
          <w:p w14:paraId="290B88AC" w14:textId="77777777" w:rsidR="00736AF6" w:rsidRDefault="00736AF6" w:rsidP="00736AF6">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14:paraId="3A86EA47" w14:textId="77777777" w:rsidR="00736AF6" w:rsidRDefault="00736AF6" w:rsidP="00736AF6">
            <w:pPr>
              <w:spacing w:after="0"/>
              <w:rPr>
                <w:rFonts w:ascii="Arial" w:eastAsia="MS Mincho" w:hAnsi="Arial" w:cs="Arial"/>
                <w:bCs/>
              </w:rPr>
            </w:pPr>
          </w:p>
        </w:tc>
      </w:tr>
    </w:tbl>
    <w:p w14:paraId="13A07EE4" w14:textId="77777777" w:rsidR="007159BE" w:rsidRDefault="007159BE">
      <w:pPr>
        <w:rPr>
          <w:rFonts w:ascii="Arial" w:hAnsi="Arial"/>
          <w:lang w:eastAsia="zh-CN"/>
        </w:rPr>
      </w:pPr>
    </w:p>
    <w:p w14:paraId="0F309BEA" w14:textId="77777777" w:rsidR="007159BE" w:rsidRDefault="007D3121">
      <w:pPr>
        <w:rPr>
          <w:rFonts w:ascii="Arial" w:hAnsi="Arial"/>
          <w:lang w:eastAsia="zh-CN"/>
        </w:rPr>
      </w:pPr>
      <w:r>
        <w:rPr>
          <w:rFonts w:ascii="Arial" w:hAnsi="Arial"/>
          <w:lang w:eastAsia="zh-CN"/>
        </w:rPr>
        <w:t>Option 5 is “Measurement object ID” and is described in [5]. The proponent of this solution clarified that this solution is for LTE frequencies only. In the LTE IDC solution the UE indicates IDC problems to the network by referring to the measurement object IDs:</w:t>
      </w:r>
    </w:p>
    <w:p w14:paraId="56DA247E" w14:textId="77777777" w:rsidR="007159BE" w:rsidRDefault="007D3121">
      <w:pPr>
        <w:pStyle w:val="PL"/>
        <w:tabs>
          <w:tab w:val="clear" w:pos="9582"/>
        </w:tabs>
        <w:ind w:left="284" w:right="141"/>
      </w:pPr>
      <w:r>
        <w:lastRenderedPageBreak/>
        <w:t>InDeviceCoexIndication-r11-IEs ::=</w:t>
      </w:r>
      <w:r>
        <w:tab/>
        <w:t>SEQUENCE {</w:t>
      </w:r>
    </w:p>
    <w:p w14:paraId="09B6D05E" w14:textId="77777777" w:rsidR="007159BE" w:rsidRDefault="007D3121">
      <w:pPr>
        <w:pStyle w:val="PL"/>
        <w:tabs>
          <w:tab w:val="clear" w:pos="9582"/>
        </w:tabs>
        <w:ind w:left="284" w:right="141"/>
      </w:pPr>
      <w:r>
        <w:tab/>
      </w:r>
      <w:r>
        <w:rPr>
          <w:highlight w:val="yellow"/>
        </w:rPr>
        <w:t>affectedCarrierFreqList-r11</w:t>
      </w:r>
      <w:r>
        <w:rPr>
          <w:highlight w:val="yellow"/>
        </w:rPr>
        <w:tab/>
      </w:r>
      <w:r>
        <w:rPr>
          <w:highlight w:val="yellow"/>
        </w:rPr>
        <w:tab/>
      </w:r>
      <w:r>
        <w:rPr>
          <w:highlight w:val="yellow"/>
        </w:rPr>
        <w:tab/>
      </w:r>
      <w:proofErr w:type="spellStart"/>
      <w:r>
        <w:rPr>
          <w:highlight w:val="yellow"/>
        </w:rPr>
        <w:t>AffectedCarrierFreqList-r11</w:t>
      </w:r>
      <w:proofErr w:type="spellEnd"/>
      <w:r>
        <w:rPr>
          <w:highlight w:val="yellow"/>
        </w:rPr>
        <w:tab/>
      </w:r>
      <w:r>
        <w:rPr>
          <w:highlight w:val="yellow"/>
        </w:rPr>
        <w:tab/>
      </w:r>
      <w:r>
        <w:rPr>
          <w:highlight w:val="yellow"/>
        </w:rPr>
        <w:tab/>
      </w:r>
      <w:r>
        <w:rPr>
          <w:highlight w:val="yellow"/>
        </w:rPr>
        <w:tab/>
      </w:r>
      <w:r>
        <w:rPr>
          <w:highlight w:val="yellow"/>
        </w:rPr>
        <w:tab/>
        <w:t>OPTIONAL,</w:t>
      </w:r>
    </w:p>
    <w:p w14:paraId="45644A6A" w14:textId="77777777" w:rsidR="007159BE" w:rsidRDefault="007D3121">
      <w:pPr>
        <w:pStyle w:val="PL"/>
        <w:tabs>
          <w:tab w:val="clear" w:pos="9582"/>
        </w:tabs>
        <w:ind w:left="284" w:right="141"/>
      </w:pPr>
      <w:r>
        <w:tab/>
        <w:t>tdm-AssistanceInfo-r11</w:t>
      </w:r>
      <w:r>
        <w:tab/>
      </w:r>
      <w:r>
        <w:tab/>
      </w:r>
      <w:r>
        <w:tab/>
      </w:r>
      <w:r>
        <w:tab/>
      </w:r>
      <w:proofErr w:type="spellStart"/>
      <w:r>
        <w:t>TDM-AssistanceInfo-r11</w:t>
      </w:r>
      <w:proofErr w:type="spellEnd"/>
      <w:r>
        <w:tab/>
      </w:r>
      <w:r>
        <w:tab/>
      </w:r>
      <w:r>
        <w:tab/>
      </w:r>
      <w:r>
        <w:tab/>
      </w:r>
      <w:r>
        <w:tab/>
      </w:r>
      <w:r>
        <w:tab/>
        <w:t>OPTIONAL,</w:t>
      </w:r>
    </w:p>
    <w:p w14:paraId="33879B0D" w14:textId="77777777" w:rsidR="007159BE" w:rsidRDefault="007D3121">
      <w:pPr>
        <w:pStyle w:val="PL"/>
        <w:tabs>
          <w:tab w:val="clear" w:pos="9582"/>
        </w:tabs>
        <w:ind w:left="284" w:right="141"/>
      </w:pPr>
      <w:r>
        <w:tab/>
      </w:r>
      <w:proofErr w:type="spellStart"/>
      <w:r>
        <w:t>lateNonCriticalExtension</w:t>
      </w:r>
      <w:proofErr w:type="spellEnd"/>
      <w:r>
        <w:tab/>
      </w:r>
      <w:r>
        <w:tab/>
      </w:r>
      <w:r>
        <w:tab/>
        <w:t>OCTET STRING</w:t>
      </w:r>
      <w:r>
        <w:tab/>
      </w:r>
      <w:r>
        <w:tab/>
      </w:r>
      <w:r>
        <w:tab/>
      </w:r>
      <w:r>
        <w:tab/>
      </w:r>
      <w:r>
        <w:tab/>
      </w:r>
      <w:r>
        <w:tab/>
      </w:r>
      <w:r>
        <w:tab/>
      </w:r>
      <w:r>
        <w:tab/>
        <w:t>OPTIONAL,</w:t>
      </w:r>
    </w:p>
    <w:p w14:paraId="745413B1" w14:textId="77777777" w:rsidR="007159BE" w:rsidRDefault="007D3121">
      <w:pPr>
        <w:pStyle w:val="PL"/>
        <w:tabs>
          <w:tab w:val="clear" w:pos="9582"/>
        </w:tabs>
        <w:ind w:left="284" w:right="141"/>
      </w:pPr>
      <w:r>
        <w:tab/>
      </w:r>
      <w:proofErr w:type="spellStart"/>
      <w:r>
        <w:t>nonCriticalExtension</w:t>
      </w:r>
      <w:proofErr w:type="spellEnd"/>
      <w:r>
        <w:tab/>
      </w:r>
      <w:r>
        <w:tab/>
      </w:r>
      <w:r>
        <w:tab/>
      </w:r>
      <w:r>
        <w:tab/>
        <w:t>InDeviceCoexIndication-v11d0-IEs</w:t>
      </w:r>
      <w:r>
        <w:tab/>
      </w:r>
      <w:r>
        <w:tab/>
      </w:r>
      <w:r>
        <w:tab/>
        <w:t>OPTIONAL</w:t>
      </w:r>
    </w:p>
    <w:p w14:paraId="58846290" w14:textId="77777777" w:rsidR="007159BE" w:rsidRDefault="007D3121">
      <w:pPr>
        <w:pStyle w:val="PL"/>
        <w:tabs>
          <w:tab w:val="clear" w:pos="9582"/>
        </w:tabs>
        <w:ind w:left="284" w:right="141"/>
      </w:pPr>
      <w:r>
        <w:t>}</w:t>
      </w:r>
    </w:p>
    <w:p w14:paraId="69C6127D" w14:textId="77777777" w:rsidR="007159BE" w:rsidRDefault="007159BE">
      <w:pPr>
        <w:pStyle w:val="PL"/>
        <w:tabs>
          <w:tab w:val="clear" w:pos="9582"/>
        </w:tabs>
        <w:ind w:left="284" w:right="141"/>
      </w:pPr>
    </w:p>
    <w:p w14:paraId="6EC03FFE" w14:textId="77777777" w:rsidR="007159BE" w:rsidRDefault="007D3121">
      <w:pPr>
        <w:pStyle w:val="PL"/>
        <w:tabs>
          <w:tab w:val="clear" w:pos="9582"/>
        </w:tabs>
        <w:ind w:left="284" w:right="141"/>
      </w:pPr>
      <w:r>
        <w:rPr>
          <w:highlight w:val="yellow"/>
        </w:rPr>
        <w:t>AffectedCarrierFreqList-r11 ::=</w:t>
      </w:r>
      <w:r>
        <w:rPr>
          <w:highlight w:val="yellow"/>
        </w:rPr>
        <w:tab/>
        <w:t>SEQUENCE (SIZE (1..maxFreqIDC-r11)) OF AffectedCarrierFreq-r11</w:t>
      </w:r>
    </w:p>
    <w:p w14:paraId="6063D368" w14:textId="77777777" w:rsidR="007159BE" w:rsidRDefault="007159BE">
      <w:pPr>
        <w:pStyle w:val="PL"/>
        <w:tabs>
          <w:tab w:val="clear" w:pos="9582"/>
        </w:tabs>
        <w:ind w:left="284" w:right="141"/>
      </w:pPr>
    </w:p>
    <w:p w14:paraId="70B2186A" w14:textId="77777777" w:rsidR="007159BE" w:rsidRDefault="007D3121">
      <w:pPr>
        <w:pStyle w:val="PL"/>
        <w:tabs>
          <w:tab w:val="clear" w:pos="9582"/>
        </w:tabs>
        <w:ind w:left="284" w:right="141"/>
      </w:pPr>
      <w:r>
        <w:t>AffectedCarrierFreq-r11 ::=</w:t>
      </w:r>
      <w:r>
        <w:tab/>
        <w:t>SEQUENCE {</w:t>
      </w:r>
    </w:p>
    <w:p w14:paraId="7B5FA054" w14:textId="77777777" w:rsidR="007159BE" w:rsidRDefault="007D3121">
      <w:pPr>
        <w:pStyle w:val="PL"/>
        <w:tabs>
          <w:tab w:val="clear" w:pos="9582"/>
        </w:tabs>
        <w:ind w:left="284" w:right="141"/>
      </w:pPr>
      <w:r>
        <w:tab/>
      </w:r>
      <w:r>
        <w:rPr>
          <w:highlight w:val="yellow"/>
        </w:rPr>
        <w:t>carrierFreq-r11</w:t>
      </w:r>
      <w:r>
        <w:rPr>
          <w:highlight w:val="yellow"/>
        </w:rPr>
        <w:tab/>
      </w:r>
      <w:r>
        <w:rPr>
          <w:highlight w:val="yellow"/>
        </w:rPr>
        <w:tab/>
      </w:r>
      <w:r>
        <w:rPr>
          <w:highlight w:val="yellow"/>
        </w:rPr>
        <w:tab/>
      </w:r>
      <w:r>
        <w:rPr>
          <w:highlight w:val="yellow"/>
        </w:rPr>
        <w:tab/>
      </w:r>
      <w:proofErr w:type="spellStart"/>
      <w:r>
        <w:rPr>
          <w:highlight w:val="yellow"/>
        </w:rPr>
        <w:t>MeasObjectId</w:t>
      </w:r>
      <w:proofErr w:type="spellEnd"/>
      <w:r>
        <w:rPr>
          <w:highlight w:val="yellow"/>
        </w:rPr>
        <w:t>,</w:t>
      </w:r>
    </w:p>
    <w:p w14:paraId="1E96A03E" w14:textId="77777777" w:rsidR="007159BE" w:rsidRDefault="007D3121">
      <w:pPr>
        <w:pStyle w:val="PL"/>
        <w:tabs>
          <w:tab w:val="clear" w:pos="9582"/>
        </w:tabs>
        <w:ind w:left="284" w:right="141"/>
      </w:pPr>
      <w:r>
        <w:tab/>
        <w:t>interferenceDirection-r11</w:t>
      </w:r>
      <w:r>
        <w:tab/>
        <w:t>ENUMERATED {</w:t>
      </w:r>
      <w:proofErr w:type="spellStart"/>
      <w:r>
        <w:t>eutra</w:t>
      </w:r>
      <w:proofErr w:type="spellEnd"/>
      <w:r>
        <w:t>, other, both, spare}</w:t>
      </w:r>
    </w:p>
    <w:p w14:paraId="138E2964" w14:textId="77777777" w:rsidR="007159BE" w:rsidRDefault="007D3121">
      <w:pPr>
        <w:pStyle w:val="PL"/>
        <w:tabs>
          <w:tab w:val="clear" w:pos="9582"/>
        </w:tabs>
        <w:ind w:left="284" w:right="141"/>
      </w:pPr>
      <w:r>
        <w:t>}</w:t>
      </w:r>
    </w:p>
    <w:p w14:paraId="4FD6A403" w14:textId="77777777" w:rsidR="007159BE" w:rsidRDefault="007159BE">
      <w:pPr>
        <w:rPr>
          <w:rFonts w:ascii="Arial" w:hAnsi="Arial"/>
          <w:lang w:eastAsia="zh-CN"/>
        </w:rPr>
      </w:pPr>
    </w:p>
    <w:p w14:paraId="785EFA40" w14:textId="77777777" w:rsidR="007159BE" w:rsidRDefault="007D3121">
      <w:pPr>
        <w:rPr>
          <w:rFonts w:ascii="Arial" w:hAnsi="Arial"/>
          <w:lang w:eastAsia="zh-CN"/>
        </w:rPr>
      </w:pPr>
      <w:r>
        <w:rPr>
          <w:rFonts w:ascii="Arial" w:hAnsi="Arial"/>
          <w:lang w:eastAsia="zh-CN"/>
        </w:rPr>
        <w:t>The rapporteur’s understanding of the proposed Option 5 is not that it is an alternative to Option 1/2/2a/3/4/6, but rather a proposal to stick to the current way of indicating problematic frequencies in LTE, i.e. to still use measurement object IDs.</w:t>
      </w:r>
    </w:p>
    <w:p w14:paraId="6EB3706B" w14:textId="77777777" w:rsidR="007159BE" w:rsidRDefault="007D3121">
      <w:pPr>
        <w:rPr>
          <w:rFonts w:ascii="Arial" w:hAnsi="Arial"/>
          <w:b/>
          <w:bCs/>
          <w:lang w:eastAsia="zh-CN"/>
        </w:rPr>
      </w:pPr>
      <w:r>
        <w:rPr>
          <w:rFonts w:ascii="Arial" w:hAnsi="Arial"/>
          <w:b/>
          <w:bCs/>
          <w:lang w:eastAsia="zh-CN"/>
        </w:rPr>
        <w:t>Q3: Do you agree to that, for LTE, problematic frequencies are indicated by indicating measurement object IDs?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908"/>
        <w:gridCol w:w="7507"/>
      </w:tblGrid>
      <w:tr w:rsidR="007159BE" w14:paraId="4F72997A" w14:textId="77777777">
        <w:tc>
          <w:tcPr>
            <w:tcW w:w="1214" w:type="dxa"/>
            <w:tcBorders>
              <w:top w:val="single" w:sz="4" w:space="0" w:color="auto"/>
              <w:left w:val="single" w:sz="4" w:space="0" w:color="auto"/>
              <w:bottom w:val="single" w:sz="4" w:space="0" w:color="auto"/>
              <w:right w:val="single" w:sz="4" w:space="0" w:color="auto"/>
            </w:tcBorders>
            <w:shd w:val="clear" w:color="auto" w:fill="D9D9D9"/>
          </w:tcPr>
          <w:p w14:paraId="74ECACC8" w14:textId="77777777" w:rsidR="007159BE" w:rsidRDefault="007D3121">
            <w:pPr>
              <w:spacing w:after="0"/>
              <w:rPr>
                <w:rFonts w:ascii="Arial" w:hAnsi="Arial" w:cs="Arial"/>
                <w:b/>
                <w:bCs/>
                <w:lang w:eastAsia="zh-CN"/>
              </w:rPr>
            </w:pPr>
            <w:r>
              <w:rPr>
                <w:rFonts w:ascii="Arial" w:hAnsi="Arial" w:cs="Arial"/>
                <w:b/>
                <w:bCs/>
                <w:lang w:eastAsia="zh-CN"/>
              </w:rPr>
              <w:t>Company</w:t>
            </w:r>
          </w:p>
        </w:tc>
        <w:tc>
          <w:tcPr>
            <w:tcW w:w="908" w:type="dxa"/>
            <w:tcBorders>
              <w:top w:val="single" w:sz="4" w:space="0" w:color="auto"/>
              <w:left w:val="single" w:sz="4" w:space="0" w:color="auto"/>
              <w:bottom w:val="single" w:sz="4" w:space="0" w:color="auto"/>
              <w:right w:val="single" w:sz="4" w:space="0" w:color="auto"/>
            </w:tcBorders>
            <w:shd w:val="clear" w:color="auto" w:fill="D9D9D9"/>
          </w:tcPr>
          <w:p w14:paraId="36AD74DC" w14:textId="77777777" w:rsidR="007159BE" w:rsidRDefault="007D3121">
            <w:pPr>
              <w:spacing w:after="0"/>
              <w:rPr>
                <w:rFonts w:ascii="Arial" w:hAnsi="Arial" w:cs="Arial"/>
                <w:b/>
                <w:bCs/>
                <w:lang w:eastAsia="zh-CN"/>
              </w:rPr>
            </w:pPr>
            <w:r>
              <w:rPr>
                <w:rFonts w:ascii="Arial" w:hAnsi="Arial" w:cs="Arial"/>
                <w:b/>
                <w:bCs/>
                <w:lang w:eastAsia="zh-CN"/>
              </w:rPr>
              <w:t>Yes/No</w:t>
            </w:r>
          </w:p>
        </w:tc>
        <w:tc>
          <w:tcPr>
            <w:tcW w:w="7507" w:type="dxa"/>
            <w:tcBorders>
              <w:top w:val="single" w:sz="4" w:space="0" w:color="auto"/>
              <w:left w:val="single" w:sz="4" w:space="0" w:color="auto"/>
              <w:bottom w:val="single" w:sz="4" w:space="0" w:color="auto"/>
              <w:right w:val="single" w:sz="4" w:space="0" w:color="auto"/>
            </w:tcBorders>
            <w:shd w:val="clear" w:color="auto" w:fill="D9D9D9"/>
          </w:tcPr>
          <w:p w14:paraId="3768EDAB" w14:textId="77777777" w:rsidR="007159BE" w:rsidRDefault="007D3121">
            <w:pPr>
              <w:spacing w:after="0"/>
              <w:rPr>
                <w:rFonts w:ascii="Arial" w:hAnsi="Arial" w:cs="Arial"/>
                <w:b/>
                <w:bCs/>
                <w:lang w:eastAsia="zh-CN"/>
              </w:rPr>
            </w:pPr>
            <w:r>
              <w:rPr>
                <w:rFonts w:ascii="Arial" w:hAnsi="Arial" w:cs="Arial"/>
                <w:b/>
                <w:bCs/>
                <w:lang w:eastAsia="zh-CN"/>
              </w:rPr>
              <w:t>Comments</w:t>
            </w:r>
          </w:p>
        </w:tc>
      </w:tr>
      <w:tr w:rsidR="007159BE" w14:paraId="406874A3" w14:textId="77777777">
        <w:tc>
          <w:tcPr>
            <w:tcW w:w="1214" w:type="dxa"/>
            <w:tcBorders>
              <w:top w:val="single" w:sz="4" w:space="0" w:color="auto"/>
              <w:left w:val="single" w:sz="4" w:space="0" w:color="auto"/>
              <w:bottom w:val="single" w:sz="4" w:space="0" w:color="auto"/>
              <w:right w:val="single" w:sz="4" w:space="0" w:color="auto"/>
            </w:tcBorders>
          </w:tcPr>
          <w:p w14:paraId="7A76CDC9" w14:textId="77777777" w:rsidR="007159BE" w:rsidRDefault="007D3121">
            <w:pPr>
              <w:spacing w:after="0"/>
              <w:rPr>
                <w:rFonts w:ascii="Arial" w:eastAsia="MS Mincho" w:hAnsi="Arial" w:cs="Arial"/>
                <w:bCs/>
              </w:rPr>
            </w:pPr>
            <w:r>
              <w:rPr>
                <w:rFonts w:ascii="Arial" w:eastAsia="MS Mincho" w:hAnsi="Arial" w:cs="Arial"/>
                <w:bCs/>
              </w:rPr>
              <w:t>Nokia</w:t>
            </w:r>
          </w:p>
        </w:tc>
        <w:tc>
          <w:tcPr>
            <w:tcW w:w="908" w:type="dxa"/>
            <w:tcBorders>
              <w:top w:val="single" w:sz="4" w:space="0" w:color="auto"/>
              <w:left w:val="single" w:sz="4" w:space="0" w:color="auto"/>
              <w:bottom w:val="single" w:sz="4" w:space="0" w:color="auto"/>
              <w:right w:val="single" w:sz="4" w:space="0" w:color="auto"/>
            </w:tcBorders>
          </w:tcPr>
          <w:p w14:paraId="3AC18A83" w14:textId="77777777" w:rsidR="007159BE" w:rsidRDefault="007D3121">
            <w:pPr>
              <w:spacing w:after="0"/>
              <w:rPr>
                <w:rFonts w:ascii="Arial" w:eastAsia="MS Mincho" w:hAnsi="Arial" w:cs="Arial"/>
                <w:bCs/>
              </w:rPr>
            </w:pPr>
            <w:r>
              <w:rPr>
                <w:rFonts w:ascii="Arial" w:eastAsia="MS Mincho" w:hAnsi="Arial" w:cs="Arial"/>
                <w:bCs/>
              </w:rPr>
              <w:t>Yes</w:t>
            </w:r>
          </w:p>
        </w:tc>
        <w:tc>
          <w:tcPr>
            <w:tcW w:w="7507" w:type="dxa"/>
            <w:tcBorders>
              <w:top w:val="single" w:sz="4" w:space="0" w:color="auto"/>
              <w:left w:val="single" w:sz="4" w:space="0" w:color="auto"/>
              <w:bottom w:val="single" w:sz="4" w:space="0" w:color="auto"/>
              <w:right w:val="single" w:sz="4" w:space="0" w:color="auto"/>
            </w:tcBorders>
          </w:tcPr>
          <w:p w14:paraId="2DEB8C0C" w14:textId="77777777" w:rsidR="007159BE" w:rsidRDefault="007D3121">
            <w:pPr>
              <w:spacing w:after="0"/>
              <w:rPr>
                <w:rFonts w:ascii="Arial" w:eastAsia="MS Mincho" w:hAnsi="Arial" w:cs="Arial"/>
                <w:bCs/>
              </w:rPr>
            </w:pPr>
            <w:r>
              <w:rPr>
                <w:rFonts w:ascii="Arial" w:eastAsia="MS Mincho" w:hAnsi="Arial" w:cs="Arial"/>
                <w:bCs/>
              </w:rPr>
              <w:t xml:space="preserve">In our understanding WI is focusing on indicating problems on NR frequencies. We should not affect existing </w:t>
            </w:r>
            <w:proofErr w:type="spellStart"/>
            <w:r>
              <w:rPr>
                <w:rFonts w:ascii="Arial" w:eastAsia="MS Mincho" w:hAnsi="Arial" w:cs="Arial"/>
                <w:bCs/>
              </w:rPr>
              <w:t>signaling</w:t>
            </w:r>
            <w:proofErr w:type="spellEnd"/>
            <w:r>
              <w:rPr>
                <w:rFonts w:ascii="Arial" w:eastAsia="MS Mincho" w:hAnsi="Arial" w:cs="Arial"/>
                <w:bCs/>
              </w:rPr>
              <w:t>.</w:t>
            </w:r>
          </w:p>
        </w:tc>
      </w:tr>
      <w:tr w:rsidR="007159BE" w14:paraId="3A30F08D" w14:textId="77777777">
        <w:tc>
          <w:tcPr>
            <w:tcW w:w="1214" w:type="dxa"/>
            <w:tcBorders>
              <w:top w:val="single" w:sz="4" w:space="0" w:color="auto"/>
              <w:left w:val="single" w:sz="4" w:space="0" w:color="auto"/>
              <w:bottom w:val="single" w:sz="4" w:space="0" w:color="auto"/>
              <w:right w:val="single" w:sz="4" w:space="0" w:color="auto"/>
            </w:tcBorders>
          </w:tcPr>
          <w:p w14:paraId="024F679C" w14:textId="77777777" w:rsidR="007159BE" w:rsidRDefault="007D3121">
            <w:pPr>
              <w:spacing w:after="0"/>
              <w:rPr>
                <w:rFonts w:ascii="Arial" w:eastAsia="MS Mincho" w:hAnsi="Arial" w:cs="Arial"/>
                <w:bCs/>
              </w:rPr>
            </w:pPr>
            <w:r>
              <w:rPr>
                <w:rFonts w:ascii="Arial" w:eastAsia="MS Mincho" w:hAnsi="Arial" w:cs="Arial"/>
                <w:bCs/>
              </w:rPr>
              <w:t>Xiaomi</w:t>
            </w:r>
          </w:p>
        </w:tc>
        <w:tc>
          <w:tcPr>
            <w:tcW w:w="908" w:type="dxa"/>
            <w:tcBorders>
              <w:top w:val="single" w:sz="4" w:space="0" w:color="auto"/>
              <w:left w:val="single" w:sz="4" w:space="0" w:color="auto"/>
              <w:bottom w:val="single" w:sz="4" w:space="0" w:color="auto"/>
              <w:right w:val="single" w:sz="4" w:space="0" w:color="auto"/>
            </w:tcBorders>
          </w:tcPr>
          <w:p w14:paraId="3B468FB5" w14:textId="77777777" w:rsidR="007159BE" w:rsidRDefault="007D3121">
            <w:pPr>
              <w:spacing w:after="0"/>
              <w:rPr>
                <w:rFonts w:ascii="Arial" w:eastAsia="MS Mincho" w:hAnsi="Arial" w:cs="Arial"/>
                <w:bCs/>
              </w:rPr>
            </w:pPr>
            <w:r>
              <w:rPr>
                <w:rFonts w:ascii="Arial" w:eastAsia="MS Mincho" w:hAnsi="Arial" w:cs="Arial"/>
                <w:bCs/>
              </w:rPr>
              <w:t>Yes</w:t>
            </w:r>
          </w:p>
        </w:tc>
        <w:tc>
          <w:tcPr>
            <w:tcW w:w="7507" w:type="dxa"/>
            <w:tcBorders>
              <w:top w:val="single" w:sz="4" w:space="0" w:color="auto"/>
              <w:left w:val="single" w:sz="4" w:space="0" w:color="auto"/>
              <w:bottom w:val="single" w:sz="4" w:space="0" w:color="auto"/>
              <w:right w:val="single" w:sz="4" w:space="0" w:color="auto"/>
            </w:tcBorders>
          </w:tcPr>
          <w:p w14:paraId="1D03E9E6" w14:textId="77777777" w:rsidR="007159BE" w:rsidRDefault="007D3121">
            <w:pPr>
              <w:spacing w:after="0"/>
              <w:rPr>
                <w:rFonts w:ascii="Arial" w:eastAsia="MS Mincho" w:hAnsi="Arial" w:cs="Arial"/>
                <w:bCs/>
              </w:rPr>
            </w:pPr>
            <w:r>
              <w:rPr>
                <w:rFonts w:ascii="Arial" w:eastAsia="MS Mincho" w:hAnsi="Arial" w:cs="Arial"/>
                <w:bCs/>
              </w:rPr>
              <w:t>Agree with Nokia. We think that the LTE frequency granularity (i.e. LTE measurement object) is sufficient for LTE problematic frequencies.</w:t>
            </w:r>
          </w:p>
        </w:tc>
      </w:tr>
      <w:tr w:rsidR="007159BE" w14:paraId="478E9260" w14:textId="77777777">
        <w:tc>
          <w:tcPr>
            <w:tcW w:w="1214" w:type="dxa"/>
            <w:tcBorders>
              <w:top w:val="single" w:sz="4" w:space="0" w:color="auto"/>
              <w:left w:val="single" w:sz="4" w:space="0" w:color="auto"/>
              <w:bottom w:val="single" w:sz="4" w:space="0" w:color="auto"/>
              <w:right w:val="single" w:sz="4" w:space="0" w:color="auto"/>
            </w:tcBorders>
          </w:tcPr>
          <w:p w14:paraId="02891C74" w14:textId="77777777" w:rsidR="007159BE" w:rsidRDefault="007D3121">
            <w:pPr>
              <w:spacing w:after="0"/>
              <w:rPr>
                <w:rFonts w:ascii="Arial" w:eastAsia="MS Mincho" w:hAnsi="Arial" w:cs="Arial"/>
                <w:bCs/>
              </w:rPr>
            </w:pPr>
            <w:r>
              <w:rPr>
                <w:rFonts w:ascii="Arial" w:eastAsia="MS Mincho" w:hAnsi="Arial" w:cs="Arial"/>
                <w:bCs/>
              </w:rPr>
              <w:t>OPPO</w:t>
            </w:r>
          </w:p>
        </w:tc>
        <w:tc>
          <w:tcPr>
            <w:tcW w:w="908" w:type="dxa"/>
            <w:tcBorders>
              <w:top w:val="single" w:sz="4" w:space="0" w:color="auto"/>
              <w:left w:val="single" w:sz="4" w:space="0" w:color="auto"/>
              <w:bottom w:val="single" w:sz="4" w:space="0" w:color="auto"/>
              <w:right w:val="single" w:sz="4" w:space="0" w:color="auto"/>
            </w:tcBorders>
          </w:tcPr>
          <w:p w14:paraId="61154FB4" w14:textId="77777777" w:rsidR="007159BE" w:rsidRDefault="007D3121">
            <w:pPr>
              <w:spacing w:after="0"/>
              <w:rPr>
                <w:rFonts w:ascii="Arial" w:eastAsia="MS Mincho" w:hAnsi="Arial" w:cs="Arial"/>
                <w:bCs/>
              </w:rPr>
            </w:pPr>
            <w:r>
              <w:rPr>
                <w:rFonts w:ascii="Arial" w:eastAsia="MS Mincho" w:hAnsi="Arial" w:cs="Arial"/>
                <w:bCs/>
              </w:rPr>
              <w:t>Yes</w:t>
            </w:r>
          </w:p>
        </w:tc>
        <w:tc>
          <w:tcPr>
            <w:tcW w:w="7507" w:type="dxa"/>
            <w:tcBorders>
              <w:top w:val="single" w:sz="4" w:space="0" w:color="auto"/>
              <w:left w:val="single" w:sz="4" w:space="0" w:color="auto"/>
              <w:bottom w:val="single" w:sz="4" w:space="0" w:color="auto"/>
              <w:right w:val="single" w:sz="4" w:space="0" w:color="auto"/>
            </w:tcBorders>
          </w:tcPr>
          <w:p w14:paraId="099F83C3" w14:textId="77777777" w:rsidR="007159BE" w:rsidRDefault="007D3121">
            <w:pPr>
              <w:spacing w:after="0"/>
              <w:rPr>
                <w:rFonts w:ascii="Arial" w:eastAsiaTheme="minorEastAsia" w:hAnsi="Arial" w:cs="Arial"/>
                <w:bCs/>
                <w:lang w:eastAsia="zh-CN"/>
              </w:rPr>
            </w:pPr>
            <w:r>
              <w:rPr>
                <w:rFonts w:ascii="Arial" w:eastAsiaTheme="minorEastAsia" w:hAnsi="Arial" w:cs="Arial"/>
                <w:bCs/>
                <w:lang w:eastAsia="zh-CN"/>
              </w:rPr>
              <w:t>Don’t intend to affect LTE</w:t>
            </w:r>
          </w:p>
        </w:tc>
      </w:tr>
      <w:tr w:rsidR="007159BE" w14:paraId="416C33FF" w14:textId="77777777">
        <w:tc>
          <w:tcPr>
            <w:tcW w:w="1214" w:type="dxa"/>
            <w:tcBorders>
              <w:top w:val="single" w:sz="4" w:space="0" w:color="auto"/>
              <w:left w:val="single" w:sz="4" w:space="0" w:color="auto"/>
              <w:bottom w:val="single" w:sz="4" w:space="0" w:color="auto"/>
              <w:right w:val="single" w:sz="4" w:space="0" w:color="auto"/>
            </w:tcBorders>
          </w:tcPr>
          <w:p w14:paraId="4392521A" w14:textId="77777777" w:rsidR="007159BE" w:rsidRDefault="007D3121">
            <w:pPr>
              <w:spacing w:after="0"/>
              <w:rPr>
                <w:rFonts w:ascii="Arial" w:eastAsia="MS Mincho" w:hAnsi="Arial" w:cs="Arial"/>
                <w:bCs/>
              </w:rPr>
            </w:pPr>
            <w:r>
              <w:rPr>
                <w:rFonts w:ascii="Arial" w:eastAsia="MS Mincho" w:hAnsi="Arial" w:cs="Arial"/>
                <w:bCs/>
              </w:rPr>
              <w:t>Qualcomm</w:t>
            </w:r>
          </w:p>
        </w:tc>
        <w:tc>
          <w:tcPr>
            <w:tcW w:w="908" w:type="dxa"/>
            <w:tcBorders>
              <w:top w:val="single" w:sz="4" w:space="0" w:color="auto"/>
              <w:left w:val="single" w:sz="4" w:space="0" w:color="auto"/>
              <w:bottom w:val="single" w:sz="4" w:space="0" w:color="auto"/>
              <w:right w:val="single" w:sz="4" w:space="0" w:color="auto"/>
            </w:tcBorders>
          </w:tcPr>
          <w:p w14:paraId="5F64987E" w14:textId="77777777" w:rsidR="007159BE" w:rsidRDefault="007D3121">
            <w:pPr>
              <w:spacing w:after="0"/>
              <w:rPr>
                <w:rFonts w:ascii="Arial" w:eastAsia="MS Mincho" w:hAnsi="Arial" w:cs="Arial"/>
                <w:bCs/>
              </w:rPr>
            </w:pPr>
            <w:r>
              <w:rPr>
                <w:rFonts w:ascii="Arial" w:eastAsia="MS Mincho" w:hAnsi="Arial" w:cs="Arial"/>
                <w:bCs/>
              </w:rPr>
              <w:t>Yes</w:t>
            </w:r>
          </w:p>
        </w:tc>
        <w:tc>
          <w:tcPr>
            <w:tcW w:w="7507" w:type="dxa"/>
            <w:tcBorders>
              <w:top w:val="single" w:sz="4" w:space="0" w:color="auto"/>
              <w:left w:val="single" w:sz="4" w:space="0" w:color="auto"/>
              <w:bottom w:val="single" w:sz="4" w:space="0" w:color="auto"/>
              <w:right w:val="single" w:sz="4" w:space="0" w:color="auto"/>
            </w:tcBorders>
          </w:tcPr>
          <w:p w14:paraId="313B0CF0" w14:textId="77777777" w:rsidR="007159BE" w:rsidRDefault="007D3121">
            <w:pPr>
              <w:spacing w:after="0"/>
              <w:rPr>
                <w:rFonts w:ascii="Arial" w:eastAsia="MS Mincho" w:hAnsi="Arial" w:cs="Arial"/>
                <w:bCs/>
              </w:rPr>
            </w:pPr>
            <w:r>
              <w:rPr>
                <w:rFonts w:ascii="Arial" w:eastAsia="MS Mincho" w:hAnsi="Arial" w:cs="Arial"/>
                <w:bCs/>
              </w:rPr>
              <w:t xml:space="preserve">Agree with rapporteur point of view to not change LTE, also, this is covered by the agreement “We will not consider the enhancements on E-UTRA </w:t>
            </w:r>
            <w:proofErr w:type="spellStart"/>
            <w:r>
              <w:rPr>
                <w:rFonts w:ascii="Arial" w:eastAsia="MS Mincho" w:hAnsi="Arial" w:cs="Arial"/>
                <w:bCs/>
              </w:rPr>
              <w:t>freq</w:t>
            </w:r>
            <w:proofErr w:type="spellEnd"/>
            <w:r>
              <w:rPr>
                <w:rFonts w:ascii="Arial" w:eastAsia="MS Mincho" w:hAnsi="Arial" w:cs="Arial"/>
                <w:bCs/>
              </w:rPr>
              <w:t xml:space="preserve"> for EN-DC scenario.” From last meeting</w:t>
            </w:r>
          </w:p>
        </w:tc>
      </w:tr>
      <w:tr w:rsidR="007159BE" w14:paraId="4496DF78" w14:textId="77777777">
        <w:tc>
          <w:tcPr>
            <w:tcW w:w="1214" w:type="dxa"/>
            <w:tcBorders>
              <w:top w:val="single" w:sz="4" w:space="0" w:color="auto"/>
              <w:left w:val="single" w:sz="4" w:space="0" w:color="auto"/>
              <w:bottom w:val="single" w:sz="4" w:space="0" w:color="auto"/>
              <w:right w:val="single" w:sz="4" w:space="0" w:color="auto"/>
            </w:tcBorders>
          </w:tcPr>
          <w:p w14:paraId="6F138B2F" w14:textId="77777777" w:rsidR="007159BE" w:rsidRDefault="007D3121">
            <w:pPr>
              <w:spacing w:after="0"/>
              <w:rPr>
                <w:rFonts w:ascii="Arial" w:hAnsi="Arial" w:cs="Arial"/>
                <w:bCs/>
                <w:lang w:val="en-US" w:eastAsia="zh-CN"/>
              </w:rPr>
            </w:pPr>
            <w:r>
              <w:rPr>
                <w:rFonts w:ascii="Arial" w:hAnsi="Arial" w:cs="Arial" w:hint="eastAsia"/>
                <w:bCs/>
                <w:lang w:val="en-US" w:eastAsia="zh-CN"/>
              </w:rPr>
              <w:t>ZTE</w:t>
            </w:r>
          </w:p>
        </w:tc>
        <w:tc>
          <w:tcPr>
            <w:tcW w:w="908" w:type="dxa"/>
            <w:tcBorders>
              <w:top w:val="single" w:sz="4" w:space="0" w:color="auto"/>
              <w:left w:val="single" w:sz="4" w:space="0" w:color="auto"/>
              <w:bottom w:val="single" w:sz="4" w:space="0" w:color="auto"/>
              <w:right w:val="single" w:sz="4" w:space="0" w:color="auto"/>
            </w:tcBorders>
          </w:tcPr>
          <w:p w14:paraId="5BCF8A33" w14:textId="77777777" w:rsidR="007159BE" w:rsidRDefault="007D3121">
            <w:pPr>
              <w:spacing w:after="0"/>
              <w:rPr>
                <w:rFonts w:ascii="Arial" w:hAnsi="Arial" w:cs="Arial"/>
                <w:bCs/>
                <w:lang w:val="en-US" w:eastAsia="zh-CN"/>
              </w:rPr>
            </w:pPr>
            <w:r>
              <w:rPr>
                <w:rFonts w:ascii="Arial" w:hAnsi="Arial" w:cs="Arial" w:hint="eastAsia"/>
                <w:bCs/>
                <w:lang w:val="en-US" w:eastAsia="zh-CN"/>
              </w:rPr>
              <w:t>Yes</w:t>
            </w:r>
          </w:p>
        </w:tc>
        <w:tc>
          <w:tcPr>
            <w:tcW w:w="7507" w:type="dxa"/>
            <w:tcBorders>
              <w:top w:val="single" w:sz="4" w:space="0" w:color="auto"/>
              <w:left w:val="single" w:sz="4" w:space="0" w:color="auto"/>
              <w:bottom w:val="single" w:sz="4" w:space="0" w:color="auto"/>
              <w:right w:val="single" w:sz="4" w:space="0" w:color="auto"/>
            </w:tcBorders>
          </w:tcPr>
          <w:p w14:paraId="43F5B7BE" w14:textId="77777777" w:rsidR="007159BE" w:rsidRDefault="007159BE">
            <w:pPr>
              <w:spacing w:after="0"/>
              <w:rPr>
                <w:rFonts w:ascii="Arial" w:eastAsia="MS Mincho" w:hAnsi="Arial" w:cs="Arial"/>
                <w:bCs/>
              </w:rPr>
            </w:pPr>
          </w:p>
        </w:tc>
      </w:tr>
      <w:tr w:rsidR="007159BE" w14:paraId="440BFED6" w14:textId="77777777">
        <w:tc>
          <w:tcPr>
            <w:tcW w:w="1214" w:type="dxa"/>
            <w:tcBorders>
              <w:top w:val="single" w:sz="4" w:space="0" w:color="auto"/>
              <w:left w:val="single" w:sz="4" w:space="0" w:color="auto"/>
              <w:bottom w:val="single" w:sz="4" w:space="0" w:color="auto"/>
              <w:right w:val="single" w:sz="4" w:space="0" w:color="auto"/>
            </w:tcBorders>
          </w:tcPr>
          <w:p w14:paraId="6B07EA90" w14:textId="3BEC40F7" w:rsidR="007159BE" w:rsidRDefault="00B52E72">
            <w:pPr>
              <w:spacing w:after="0"/>
              <w:rPr>
                <w:rFonts w:ascii="Arial" w:eastAsia="MS Mincho" w:hAnsi="Arial" w:cs="Arial"/>
                <w:bCs/>
              </w:rPr>
            </w:pPr>
            <w:r>
              <w:rPr>
                <w:rFonts w:ascii="Arial" w:eastAsia="MS Mincho" w:hAnsi="Arial" w:cs="Arial"/>
                <w:bCs/>
              </w:rPr>
              <w:t>Apple</w:t>
            </w:r>
          </w:p>
        </w:tc>
        <w:tc>
          <w:tcPr>
            <w:tcW w:w="908" w:type="dxa"/>
            <w:tcBorders>
              <w:top w:val="single" w:sz="4" w:space="0" w:color="auto"/>
              <w:left w:val="single" w:sz="4" w:space="0" w:color="auto"/>
              <w:bottom w:val="single" w:sz="4" w:space="0" w:color="auto"/>
              <w:right w:val="single" w:sz="4" w:space="0" w:color="auto"/>
            </w:tcBorders>
          </w:tcPr>
          <w:p w14:paraId="29BE8CB3" w14:textId="7EB57C07" w:rsidR="007159BE" w:rsidRDefault="00B52E72">
            <w:pPr>
              <w:spacing w:after="0"/>
              <w:rPr>
                <w:rFonts w:ascii="Arial" w:eastAsia="MS Mincho" w:hAnsi="Arial" w:cs="Arial"/>
                <w:bCs/>
              </w:rPr>
            </w:pPr>
            <w:r>
              <w:rPr>
                <w:rFonts w:ascii="Arial" w:eastAsia="MS Mincho" w:hAnsi="Arial" w:cs="Arial"/>
                <w:bCs/>
              </w:rPr>
              <w:t>Yes</w:t>
            </w:r>
          </w:p>
        </w:tc>
        <w:tc>
          <w:tcPr>
            <w:tcW w:w="7507" w:type="dxa"/>
            <w:tcBorders>
              <w:top w:val="single" w:sz="4" w:space="0" w:color="auto"/>
              <w:left w:val="single" w:sz="4" w:space="0" w:color="auto"/>
              <w:bottom w:val="single" w:sz="4" w:space="0" w:color="auto"/>
              <w:right w:val="single" w:sz="4" w:space="0" w:color="auto"/>
            </w:tcBorders>
          </w:tcPr>
          <w:p w14:paraId="0E288892" w14:textId="77777777" w:rsidR="007159BE" w:rsidRDefault="007159BE">
            <w:pPr>
              <w:spacing w:after="0"/>
              <w:rPr>
                <w:rFonts w:ascii="Arial" w:eastAsia="MS Mincho" w:hAnsi="Arial" w:cs="Arial"/>
                <w:bCs/>
              </w:rPr>
            </w:pPr>
          </w:p>
        </w:tc>
      </w:tr>
      <w:tr w:rsidR="007159BE" w14:paraId="00B0A6FB" w14:textId="77777777">
        <w:tc>
          <w:tcPr>
            <w:tcW w:w="1214" w:type="dxa"/>
            <w:tcBorders>
              <w:top w:val="single" w:sz="4" w:space="0" w:color="auto"/>
              <w:left w:val="single" w:sz="4" w:space="0" w:color="auto"/>
              <w:bottom w:val="single" w:sz="4" w:space="0" w:color="auto"/>
              <w:right w:val="single" w:sz="4" w:space="0" w:color="auto"/>
            </w:tcBorders>
          </w:tcPr>
          <w:p w14:paraId="1B3C419E" w14:textId="262D01D3" w:rsidR="007159BE" w:rsidRPr="00717510" w:rsidRDefault="00717510">
            <w:pPr>
              <w:spacing w:after="0"/>
              <w:rPr>
                <w:rFonts w:ascii="Arial" w:eastAsiaTheme="minorEastAsia" w:hAnsi="Arial" w:cs="Arial"/>
                <w:bCs/>
                <w:lang w:eastAsia="zh-CN"/>
              </w:rPr>
            </w:pPr>
            <w:r>
              <w:rPr>
                <w:rFonts w:ascii="Arial" w:eastAsiaTheme="minorEastAsia" w:hAnsi="Arial" w:cs="Arial" w:hint="eastAsia"/>
                <w:bCs/>
                <w:lang w:eastAsia="zh-CN"/>
              </w:rPr>
              <w:t>S</w:t>
            </w:r>
            <w:r>
              <w:rPr>
                <w:rFonts w:ascii="Arial" w:eastAsiaTheme="minorEastAsia" w:hAnsi="Arial" w:cs="Arial"/>
                <w:bCs/>
                <w:lang w:eastAsia="zh-CN"/>
              </w:rPr>
              <w:t xml:space="preserve">amsung </w:t>
            </w:r>
          </w:p>
        </w:tc>
        <w:tc>
          <w:tcPr>
            <w:tcW w:w="908" w:type="dxa"/>
            <w:tcBorders>
              <w:top w:val="single" w:sz="4" w:space="0" w:color="auto"/>
              <w:left w:val="single" w:sz="4" w:space="0" w:color="auto"/>
              <w:bottom w:val="single" w:sz="4" w:space="0" w:color="auto"/>
              <w:right w:val="single" w:sz="4" w:space="0" w:color="auto"/>
            </w:tcBorders>
          </w:tcPr>
          <w:p w14:paraId="71AE171F" w14:textId="06BCDC59" w:rsidR="007159BE" w:rsidRPr="00717510" w:rsidRDefault="00717510">
            <w:pPr>
              <w:spacing w:after="0"/>
              <w:rPr>
                <w:rFonts w:ascii="Arial" w:eastAsiaTheme="minorEastAsia" w:hAnsi="Arial" w:cs="Arial"/>
                <w:bCs/>
                <w:lang w:eastAsia="zh-CN"/>
              </w:rPr>
            </w:pPr>
            <w:r>
              <w:rPr>
                <w:rFonts w:ascii="Arial" w:eastAsiaTheme="minorEastAsia" w:hAnsi="Arial" w:cs="Arial" w:hint="eastAsia"/>
                <w:bCs/>
                <w:lang w:eastAsia="zh-CN"/>
              </w:rPr>
              <w:t>Y</w:t>
            </w:r>
            <w:r>
              <w:rPr>
                <w:rFonts w:ascii="Arial" w:eastAsiaTheme="minorEastAsia" w:hAnsi="Arial" w:cs="Arial"/>
                <w:bCs/>
                <w:lang w:eastAsia="zh-CN"/>
              </w:rPr>
              <w:t>es</w:t>
            </w:r>
          </w:p>
        </w:tc>
        <w:tc>
          <w:tcPr>
            <w:tcW w:w="7507" w:type="dxa"/>
            <w:tcBorders>
              <w:top w:val="single" w:sz="4" w:space="0" w:color="auto"/>
              <w:left w:val="single" w:sz="4" w:space="0" w:color="auto"/>
              <w:bottom w:val="single" w:sz="4" w:space="0" w:color="auto"/>
              <w:right w:val="single" w:sz="4" w:space="0" w:color="auto"/>
            </w:tcBorders>
          </w:tcPr>
          <w:p w14:paraId="3EBA0077" w14:textId="6622A1BF" w:rsidR="007159BE" w:rsidRPr="00717510" w:rsidRDefault="00717510" w:rsidP="00717510">
            <w:pPr>
              <w:spacing w:after="0"/>
              <w:rPr>
                <w:rFonts w:ascii="Arial" w:eastAsiaTheme="minorEastAsia" w:hAnsi="Arial" w:cs="Arial"/>
                <w:bCs/>
                <w:lang w:eastAsia="zh-CN"/>
              </w:rPr>
            </w:pPr>
            <w:r>
              <w:rPr>
                <w:rFonts w:ascii="Arial" w:eastAsiaTheme="minorEastAsia" w:hAnsi="Arial" w:cs="Arial"/>
                <w:bCs/>
                <w:lang w:eastAsia="zh-CN"/>
              </w:rPr>
              <w:t xml:space="preserve">The intention of this question is unclear. The question itself is to confirm the LTE design. However, this question does not have any implicit on NR design. </w:t>
            </w:r>
          </w:p>
        </w:tc>
      </w:tr>
      <w:tr w:rsidR="00736AF6" w14:paraId="1821DAA8" w14:textId="77777777">
        <w:tc>
          <w:tcPr>
            <w:tcW w:w="1214" w:type="dxa"/>
            <w:tcBorders>
              <w:top w:val="single" w:sz="4" w:space="0" w:color="auto"/>
              <w:left w:val="single" w:sz="4" w:space="0" w:color="auto"/>
              <w:bottom w:val="single" w:sz="4" w:space="0" w:color="auto"/>
              <w:right w:val="single" w:sz="4" w:space="0" w:color="auto"/>
            </w:tcBorders>
          </w:tcPr>
          <w:p w14:paraId="1402A52E" w14:textId="238BF379" w:rsidR="00736AF6" w:rsidRDefault="00736AF6" w:rsidP="00736AF6">
            <w:pPr>
              <w:spacing w:after="0"/>
              <w:rPr>
                <w:rFonts w:ascii="Arial" w:eastAsia="MS Mincho" w:hAnsi="Arial" w:cs="Arial"/>
                <w:bCs/>
              </w:rPr>
            </w:pPr>
            <w:r>
              <w:rPr>
                <w:rFonts w:ascii="Arial" w:eastAsia="MS Mincho" w:hAnsi="Arial" w:cs="Arial"/>
                <w:bCs/>
              </w:rPr>
              <w:t>Intel</w:t>
            </w:r>
          </w:p>
        </w:tc>
        <w:tc>
          <w:tcPr>
            <w:tcW w:w="908" w:type="dxa"/>
            <w:tcBorders>
              <w:top w:val="single" w:sz="4" w:space="0" w:color="auto"/>
              <w:left w:val="single" w:sz="4" w:space="0" w:color="auto"/>
              <w:bottom w:val="single" w:sz="4" w:space="0" w:color="auto"/>
              <w:right w:val="single" w:sz="4" w:space="0" w:color="auto"/>
            </w:tcBorders>
          </w:tcPr>
          <w:p w14:paraId="44879FD1" w14:textId="4B082294" w:rsidR="00736AF6" w:rsidRDefault="00736AF6" w:rsidP="00736AF6">
            <w:pPr>
              <w:spacing w:after="0"/>
              <w:rPr>
                <w:rFonts w:ascii="Arial" w:eastAsia="MS Mincho" w:hAnsi="Arial" w:cs="Arial"/>
                <w:bCs/>
              </w:rPr>
            </w:pPr>
            <w:r>
              <w:rPr>
                <w:rFonts w:ascii="Arial" w:eastAsia="MS Mincho" w:hAnsi="Arial" w:cs="Arial"/>
                <w:bCs/>
              </w:rPr>
              <w:t>Yes</w:t>
            </w:r>
          </w:p>
        </w:tc>
        <w:tc>
          <w:tcPr>
            <w:tcW w:w="7507" w:type="dxa"/>
            <w:tcBorders>
              <w:top w:val="single" w:sz="4" w:space="0" w:color="auto"/>
              <w:left w:val="single" w:sz="4" w:space="0" w:color="auto"/>
              <w:bottom w:val="single" w:sz="4" w:space="0" w:color="auto"/>
              <w:right w:val="single" w:sz="4" w:space="0" w:color="auto"/>
            </w:tcBorders>
          </w:tcPr>
          <w:p w14:paraId="220AEC8E" w14:textId="12235565" w:rsidR="00736AF6" w:rsidRDefault="00736AF6" w:rsidP="00736AF6">
            <w:pPr>
              <w:spacing w:after="0"/>
              <w:rPr>
                <w:rFonts w:ascii="Arial" w:eastAsia="MS Mincho" w:hAnsi="Arial" w:cs="Arial"/>
                <w:bCs/>
              </w:rPr>
            </w:pPr>
            <w:r>
              <w:rPr>
                <w:rFonts w:ascii="Arial" w:eastAsia="MS Mincho" w:hAnsi="Arial" w:cs="Arial"/>
                <w:bCs/>
              </w:rPr>
              <w:t>Agree with Nokia.</w:t>
            </w:r>
          </w:p>
        </w:tc>
      </w:tr>
      <w:tr w:rsidR="00736AF6" w14:paraId="1AF1CF09" w14:textId="77777777">
        <w:tc>
          <w:tcPr>
            <w:tcW w:w="1214" w:type="dxa"/>
            <w:tcBorders>
              <w:top w:val="single" w:sz="4" w:space="0" w:color="auto"/>
              <w:left w:val="single" w:sz="4" w:space="0" w:color="auto"/>
              <w:bottom w:val="single" w:sz="4" w:space="0" w:color="auto"/>
              <w:right w:val="single" w:sz="4" w:space="0" w:color="auto"/>
            </w:tcBorders>
          </w:tcPr>
          <w:p w14:paraId="65CE150D" w14:textId="044F9E64" w:rsidR="00736AF6" w:rsidRPr="00B6406A" w:rsidRDefault="00B6406A" w:rsidP="00736AF6">
            <w:pPr>
              <w:spacing w:after="0"/>
              <w:rPr>
                <w:rFonts w:ascii="Arial" w:eastAsiaTheme="minorEastAsia" w:hAnsi="Arial" w:cs="Arial"/>
                <w:bCs/>
                <w:lang w:eastAsia="zh-CN"/>
              </w:rPr>
            </w:pPr>
            <w:r>
              <w:rPr>
                <w:rFonts w:ascii="Arial" w:eastAsiaTheme="minorEastAsia" w:hAnsi="Arial" w:cs="Arial" w:hint="eastAsia"/>
                <w:bCs/>
                <w:lang w:eastAsia="zh-CN"/>
              </w:rPr>
              <w:t>v</w:t>
            </w:r>
            <w:r>
              <w:rPr>
                <w:rFonts w:ascii="Arial" w:eastAsiaTheme="minorEastAsia" w:hAnsi="Arial" w:cs="Arial"/>
                <w:bCs/>
                <w:lang w:eastAsia="zh-CN"/>
              </w:rPr>
              <w:t>ivo</w:t>
            </w:r>
          </w:p>
        </w:tc>
        <w:tc>
          <w:tcPr>
            <w:tcW w:w="908" w:type="dxa"/>
            <w:tcBorders>
              <w:top w:val="single" w:sz="4" w:space="0" w:color="auto"/>
              <w:left w:val="single" w:sz="4" w:space="0" w:color="auto"/>
              <w:bottom w:val="single" w:sz="4" w:space="0" w:color="auto"/>
              <w:right w:val="single" w:sz="4" w:space="0" w:color="auto"/>
            </w:tcBorders>
          </w:tcPr>
          <w:p w14:paraId="2E0A9281" w14:textId="2FAA81BC" w:rsidR="00736AF6" w:rsidRPr="00B6406A" w:rsidRDefault="00B6406A" w:rsidP="00736AF6">
            <w:pPr>
              <w:spacing w:after="0"/>
              <w:rPr>
                <w:rFonts w:ascii="Arial" w:eastAsiaTheme="minorEastAsia" w:hAnsi="Arial" w:cs="Arial"/>
                <w:bCs/>
                <w:lang w:eastAsia="zh-CN"/>
              </w:rPr>
            </w:pPr>
            <w:r>
              <w:rPr>
                <w:rFonts w:ascii="Arial" w:eastAsiaTheme="minorEastAsia" w:hAnsi="Arial" w:cs="Arial" w:hint="eastAsia"/>
                <w:bCs/>
                <w:lang w:eastAsia="zh-CN"/>
              </w:rPr>
              <w:t>Y</w:t>
            </w:r>
            <w:r>
              <w:rPr>
                <w:rFonts w:ascii="Arial" w:eastAsiaTheme="minorEastAsia" w:hAnsi="Arial" w:cs="Arial"/>
                <w:bCs/>
                <w:lang w:eastAsia="zh-CN"/>
              </w:rPr>
              <w:t>es</w:t>
            </w:r>
          </w:p>
        </w:tc>
        <w:tc>
          <w:tcPr>
            <w:tcW w:w="7507" w:type="dxa"/>
            <w:tcBorders>
              <w:top w:val="single" w:sz="4" w:space="0" w:color="auto"/>
              <w:left w:val="single" w:sz="4" w:space="0" w:color="auto"/>
              <w:bottom w:val="single" w:sz="4" w:space="0" w:color="auto"/>
              <w:right w:val="single" w:sz="4" w:space="0" w:color="auto"/>
            </w:tcBorders>
          </w:tcPr>
          <w:p w14:paraId="66A31F3A" w14:textId="77777777" w:rsidR="00736AF6" w:rsidRDefault="00736AF6" w:rsidP="00736AF6">
            <w:pPr>
              <w:spacing w:after="0"/>
              <w:rPr>
                <w:rFonts w:ascii="Arial" w:eastAsia="MS Mincho" w:hAnsi="Arial" w:cs="Arial"/>
                <w:bCs/>
              </w:rPr>
            </w:pPr>
          </w:p>
        </w:tc>
      </w:tr>
    </w:tbl>
    <w:p w14:paraId="49A05360" w14:textId="77777777" w:rsidR="007159BE" w:rsidRDefault="007159BE">
      <w:pPr>
        <w:rPr>
          <w:rFonts w:ascii="Arial" w:hAnsi="Arial"/>
          <w:lang w:eastAsia="zh-CN"/>
        </w:rPr>
      </w:pPr>
    </w:p>
    <w:p w14:paraId="26AB722D" w14:textId="77777777" w:rsidR="007159BE" w:rsidRDefault="007159BE">
      <w:pPr>
        <w:rPr>
          <w:rFonts w:ascii="Arial" w:hAnsi="Arial"/>
          <w:lang w:eastAsia="zh-CN"/>
        </w:rPr>
      </w:pPr>
    </w:p>
    <w:p w14:paraId="1A47FC32" w14:textId="77777777" w:rsidR="007159BE" w:rsidRDefault="007D3121">
      <w:pPr>
        <w:rPr>
          <w:rFonts w:ascii="Arial" w:hAnsi="Arial"/>
          <w:lang w:eastAsia="zh-CN"/>
        </w:rPr>
      </w:pPr>
      <w:r>
        <w:rPr>
          <w:rFonts w:ascii="Arial" w:hAnsi="Arial"/>
          <w:lang w:eastAsia="zh-CN"/>
        </w:rPr>
        <w:t>Option 1, 2 and 2a are in the rapporteur’s point of view the same, with the difference of how the final stage-3 ASN.1 signalling would be defined. For the sake of this analysis, the rapporteur suggests treating them as one group of solutions.</w:t>
      </w:r>
    </w:p>
    <w:p w14:paraId="56A2C774" w14:textId="77777777" w:rsidR="007159BE" w:rsidRDefault="007D3121">
      <w:pPr>
        <w:rPr>
          <w:rFonts w:ascii="Arial" w:hAnsi="Arial"/>
          <w:b/>
          <w:bCs/>
          <w:lang w:eastAsia="zh-CN"/>
        </w:rPr>
      </w:pPr>
      <w:r>
        <w:rPr>
          <w:rFonts w:ascii="Arial" w:hAnsi="Arial"/>
          <w:b/>
          <w:bCs/>
          <w:lang w:eastAsia="zh-CN"/>
        </w:rPr>
        <w:t>Q4: What are technical benefits and drawbacks of a solution where the UE indicates a frequency region (e.g. like 1/2/2a):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3876"/>
        <w:gridCol w:w="4397"/>
      </w:tblGrid>
      <w:tr w:rsidR="007159BE" w14:paraId="204C52EE" w14:textId="77777777">
        <w:tc>
          <w:tcPr>
            <w:tcW w:w="1356" w:type="dxa"/>
            <w:tcBorders>
              <w:top w:val="single" w:sz="4" w:space="0" w:color="auto"/>
              <w:left w:val="single" w:sz="4" w:space="0" w:color="auto"/>
              <w:bottom w:val="single" w:sz="4" w:space="0" w:color="auto"/>
              <w:right w:val="single" w:sz="4" w:space="0" w:color="auto"/>
            </w:tcBorders>
            <w:shd w:val="clear" w:color="auto" w:fill="D9D9D9"/>
          </w:tcPr>
          <w:p w14:paraId="3DCA9D4F" w14:textId="77777777" w:rsidR="007159BE" w:rsidRDefault="007D3121">
            <w:pPr>
              <w:spacing w:after="0"/>
              <w:rPr>
                <w:rFonts w:ascii="Arial" w:hAnsi="Arial" w:cs="Arial"/>
                <w:b/>
                <w:bCs/>
                <w:lang w:eastAsia="zh-CN"/>
              </w:rPr>
            </w:pPr>
            <w:r>
              <w:rPr>
                <w:rFonts w:ascii="Arial" w:hAnsi="Arial" w:cs="Arial"/>
                <w:b/>
                <w:bCs/>
                <w:lang w:eastAsia="zh-CN"/>
              </w:rPr>
              <w:t>Company</w:t>
            </w:r>
          </w:p>
        </w:tc>
        <w:tc>
          <w:tcPr>
            <w:tcW w:w="3876" w:type="dxa"/>
            <w:tcBorders>
              <w:top w:val="single" w:sz="4" w:space="0" w:color="auto"/>
              <w:left w:val="single" w:sz="4" w:space="0" w:color="auto"/>
              <w:bottom w:val="single" w:sz="4" w:space="0" w:color="auto"/>
              <w:right w:val="single" w:sz="4" w:space="0" w:color="auto"/>
            </w:tcBorders>
            <w:shd w:val="clear" w:color="auto" w:fill="D9D9D9"/>
          </w:tcPr>
          <w:p w14:paraId="2101B652" w14:textId="77777777" w:rsidR="007159BE" w:rsidRDefault="007D3121">
            <w:pPr>
              <w:spacing w:after="0"/>
              <w:rPr>
                <w:rFonts w:ascii="Arial" w:hAnsi="Arial" w:cs="Arial"/>
                <w:b/>
                <w:bCs/>
                <w:lang w:eastAsia="zh-CN"/>
              </w:rPr>
            </w:pPr>
            <w:r>
              <w:rPr>
                <w:rFonts w:ascii="Arial" w:hAnsi="Arial" w:cs="Arial"/>
                <w:b/>
                <w:bCs/>
                <w:lang w:eastAsia="zh-CN"/>
              </w:rPr>
              <w:t>Benefits</w:t>
            </w:r>
          </w:p>
        </w:tc>
        <w:tc>
          <w:tcPr>
            <w:tcW w:w="4397" w:type="dxa"/>
            <w:tcBorders>
              <w:top w:val="single" w:sz="4" w:space="0" w:color="auto"/>
              <w:left w:val="single" w:sz="4" w:space="0" w:color="auto"/>
              <w:bottom w:val="single" w:sz="4" w:space="0" w:color="auto"/>
              <w:right w:val="single" w:sz="4" w:space="0" w:color="auto"/>
            </w:tcBorders>
            <w:shd w:val="clear" w:color="auto" w:fill="D9D9D9"/>
          </w:tcPr>
          <w:p w14:paraId="59BC1A5D" w14:textId="77777777" w:rsidR="007159BE" w:rsidRDefault="007D3121">
            <w:pPr>
              <w:spacing w:after="0"/>
              <w:rPr>
                <w:rFonts w:ascii="Arial" w:hAnsi="Arial" w:cs="Arial"/>
                <w:b/>
                <w:bCs/>
                <w:lang w:eastAsia="zh-CN"/>
              </w:rPr>
            </w:pPr>
            <w:r>
              <w:rPr>
                <w:rFonts w:ascii="Arial" w:hAnsi="Arial" w:cs="Arial"/>
                <w:b/>
                <w:bCs/>
                <w:lang w:eastAsia="zh-CN"/>
              </w:rPr>
              <w:t>Drawbacks</w:t>
            </w:r>
          </w:p>
        </w:tc>
      </w:tr>
      <w:tr w:rsidR="007159BE" w14:paraId="7BF40014" w14:textId="77777777">
        <w:tc>
          <w:tcPr>
            <w:tcW w:w="1356" w:type="dxa"/>
            <w:tcBorders>
              <w:top w:val="single" w:sz="4" w:space="0" w:color="auto"/>
              <w:left w:val="single" w:sz="4" w:space="0" w:color="auto"/>
              <w:bottom w:val="single" w:sz="4" w:space="0" w:color="auto"/>
              <w:right w:val="single" w:sz="4" w:space="0" w:color="auto"/>
            </w:tcBorders>
          </w:tcPr>
          <w:p w14:paraId="2B163294" w14:textId="77777777" w:rsidR="007159BE" w:rsidRDefault="007D3121">
            <w:pPr>
              <w:spacing w:after="0"/>
              <w:rPr>
                <w:rFonts w:ascii="Arial" w:eastAsia="MS Mincho" w:hAnsi="Arial" w:cs="Arial"/>
                <w:bCs/>
              </w:rPr>
            </w:pPr>
            <w:r>
              <w:rPr>
                <w:rFonts w:ascii="Arial" w:eastAsia="MS Mincho" w:hAnsi="Arial" w:cs="Arial"/>
                <w:bCs/>
              </w:rPr>
              <w:t>Nokia</w:t>
            </w:r>
          </w:p>
        </w:tc>
        <w:tc>
          <w:tcPr>
            <w:tcW w:w="3876" w:type="dxa"/>
            <w:tcBorders>
              <w:top w:val="single" w:sz="4" w:space="0" w:color="auto"/>
              <w:left w:val="single" w:sz="4" w:space="0" w:color="auto"/>
              <w:bottom w:val="single" w:sz="4" w:space="0" w:color="auto"/>
              <w:right w:val="single" w:sz="4" w:space="0" w:color="auto"/>
            </w:tcBorders>
          </w:tcPr>
          <w:p w14:paraId="0D9F2180" w14:textId="77777777" w:rsidR="007159BE" w:rsidRDefault="007D3121">
            <w:pPr>
              <w:spacing w:after="0"/>
              <w:rPr>
                <w:rFonts w:ascii="Arial" w:eastAsia="MS Mincho" w:hAnsi="Arial" w:cs="Arial"/>
                <w:bCs/>
              </w:rPr>
            </w:pPr>
            <w:r>
              <w:rPr>
                <w:rFonts w:ascii="Arial" w:eastAsia="MS Mincho" w:hAnsi="Arial" w:cs="Arial"/>
                <w:bCs/>
              </w:rPr>
              <w:t xml:space="preserve">It is possible to indicate “frequency range” of affected part of </w:t>
            </w:r>
            <w:proofErr w:type="spellStart"/>
            <w:r>
              <w:rPr>
                <w:rFonts w:ascii="Arial" w:eastAsia="MS Mincho" w:hAnsi="Arial" w:cs="Arial"/>
                <w:bCs/>
              </w:rPr>
              <w:t>requency</w:t>
            </w:r>
            <w:proofErr w:type="spellEnd"/>
            <w:r>
              <w:rPr>
                <w:rFonts w:ascii="Arial" w:eastAsia="MS Mincho" w:hAnsi="Arial" w:cs="Arial"/>
                <w:bCs/>
              </w:rPr>
              <w:t>. This is logical and easy to understand.</w:t>
            </w:r>
          </w:p>
        </w:tc>
        <w:tc>
          <w:tcPr>
            <w:tcW w:w="4397" w:type="dxa"/>
            <w:tcBorders>
              <w:top w:val="single" w:sz="4" w:space="0" w:color="auto"/>
              <w:left w:val="single" w:sz="4" w:space="0" w:color="auto"/>
              <w:bottom w:val="single" w:sz="4" w:space="0" w:color="auto"/>
              <w:right w:val="single" w:sz="4" w:space="0" w:color="auto"/>
            </w:tcBorders>
          </w:tcPr>
          <w:p w14:paraId="2CD4D4C9" w14:textId="77777777" w:rsidR="007159BE" w:rsidRDefault="007D3121">
            <w:pPr>
              <w:spacing w:after="0"/>
              <w:rPr>
                <w:rFonts w:ascii="Arial" w:eastAsia="MS Mincho" w:hAnsi="Arial" w:cs="Arial"/>
                <w:bCs/>
              </w:rPr>
            </w:pPr>
            <w:r>
              <w:rPr>
                <w:rFonts w:ascii="Arial" w:eastAsia="MS Mincho" w:hAnsi="Arial" w:cs="Arial"/>
                <w:bCs/>
              </w:rPr>
              <w:t xml:space="preserve">Granularity of the solutions seems limited but definitely better than existing </w:t>
            </w:r>
            <w:proofErr w:type="spellStart"/>
            <w:r>
              <w:rPr>
                <w:rFonts w:ascii="Arial" w:eastAsia="MS Mincho" w:hAnsi="Arial" w:cs="Arial"/>
                <w:bCs/>
              </w:rPr>
              <w:t>signaling</w:t>
            </w:r>
            <w:proofErr w:type="spellEnd"/>
            <w:r>
              <w:rPr>
                <w:rFonts w:ascii="Arial" w:eastAsia="MS Mincho" w:hAnsi="Arial" w:cs="Arial"/>
                <w:bCs/>
              </w:rPr>
              <w:t>.</w:t>
            </w:r>
          </w:p>
        </w:tc>
      </w:tr>
      <w:tr w:rsidR="007159BE" w14:paraId="5E041E0D" w14:textId="77777777">
        <w:tc>
          <w:tcPr>
            <w:tcW w:w="1356" w:type="dxa"/>
            <w:tcBorders>
              <w:top w:val="single" w:sz="4" w:space="0" w:color="auto"/>
              <w:left w:val="single" w:sz="4" w:space="0" w:color="auto"/>
              <w:bottom w:val="single" w:sz="4" w:space="0" w:color="auto"/>
              <w:right w:val="single" w:sz="4" w:space="0" w:color="auto"/>
            </w:tcBorders>
          </w:tcPr>
          <w:p w14:paraId="5AB3F008" w14:textId="77777777" w:rsidR="007159BE" w:rsidRDefault="007D3121">
            <w:pPr>
              <w:spacing w:after="0"/>
              <w:rPr>
                <w:rFonts w:ascii="Arial" w:eastAsia="MS Mincho" w:hAnsi="Arial" w:cs="Arial"/>
                <w:bCs/>
              </w:rPr>
            </w:pPr>
            <w:r>
              <w:rPr>
                <w:rFonts w:ascii="Arial" w:eastAsia="MS Mincho" w:hAnsi="Arial" w:cs="Arial"/>
                <w:bCs/>
              </w:rPr>
              <w:t>Xiaomi</w:t>
            </w:r>
          </w:p>
        </w:tc>
        <w:tc>
          <w:tcPr>
            <w:tcW w:w="3876" w:type="dxa"/>
            <w:tcBorders>
              <w:top w:val="single" w:sz="4" w:space="0" w:color="auto"/>
              <w:left w:val="single" w:sz="4" w:space="0" w:color="auto"/>
              <w:bottom w:val="single" w:sz="4" w:space="0" w:color="auto"/>
              <w:right w:val="single" w:sz="4" w:space="0" w:color="auto"/>
            </w:tcBorders>
          </w:tcPr>
          <w:p w14:paraId="440C4AFB" w14:textId="77777777" w:rsidR="007159BE" w:rsidRDefault="007D3121">
            <w:pPr>
              <w:spacing w:after="0"/>
              <w:rPr>
                <w:rFonts w:ascii="Arial" w:eastAsia="MS Mincho" w:hAnsi="Arial" w:cs="Arial"/>
                <w:bCs/>
              </w:rPr>
            </w:pPr>
            <w:r>
              <w:rPr>
                <w:rFonts w:ascii="Arial" w:eastAsia="MS Mincho" w:hAnsi="Arial" w:cs="Arial"/>
                <w:bCs/>
              </w:rPr>
              <w:t>Applicable for both serving and non-serving frequency.</w:t>
            </w:r>
          </w:p>
          <w:p w14:paraId="26A5647D" w14:textId="77777777" w:rsidR="007159BE" w:rsidRDefault="007D3121">
            <w:pPr>
              <w:spacing w:after="0"/>
              <w:rPr>
                <w:rFonts w:ascii="Arial" w:eastAsia="MS Mincho" w:hAnsi="Arial" w:cs="Arial"/>
                <w:bCs/>
              </w:rPr>
            </w:pPr>
            <w:r>
              <w:rPr>
                <w:rFonts w:ascii="Arial" w:eastAsia="MS Mincho" w:hAnsi="Arial" w:cs="Arial"/>
                <w:bCs/>
              </w:rPr>
              <w:t>Applicable for EN-DC and NR-DC.</w:t>
            </w:r>
          </w:p>
          <w:p w14:paraId="320CD911" w14:textId="77777777" w:rsidR="007159BE" w:rsidRDefault="007D3121">
            <w:pPr>
              <w:spacing w:after="0"/>
              <w:rPr>
                <w:rFonts w:ascii="Arial" w:eastAsia="MS Mincho" w:hAnsi="Arial" w:cs="Arial"/>
                <w:bCs/>
              </w:rPr>
            </w:pPr>
            <w:r>
              <w:rPr>
                <w:rFonts w:ascii="Arial" w:eastAsia="MS Mincho" w:hAnsi="Arial" w:cs="Arial"/>
                <w:bCs/>
              </w:rPr>
              <w:t xml:space="preserve">For Option 1, the field (i.e. </w:t>
            </w:r>
            <w:proofErr w:type="spellStart"/>
            <w:r>
              <w:rPr>
                <w:i/>
                <w:lang w:eastAsia="zh-CN"/>
              </w:rPr>
              <w:t>candidateServingFreqListNR</w:t>
            </w:r>
            <w:proofErr w:type="spellEnd"/>
            <w:r>
              <w:rPr>
                <w:rFonts w:ascii="Arial" w:eastAsia="MS Mincho" w:hAnsi="Arial" w:cs="Arial"/>
                <w:bCs/>
              </w:rPr>
              <w:t xml:space="preserve">) for the IDC configuration provided by the </w:t>
            </w:r>
            <w:proofErr w:type="spellStart"/>
            <w:r>
              <w:rPr>
                <w:rFonts w:ascii="Arial" w:eastAsia="MS Mincho" w:hAnsi="Arial" w:cs="Arial"/>
                <w:bCs/>
              </w:rPr>
              <w:t>gNB</w:t>
            </w:r>
            <w:proofErr w:type="spellEnd"/>
            <w:r>
              <w:rPr>
                <w:rFonts w:ascii="Arial" w:eastAsia="MS Mincho" w:hAnsi="Arial" w:cs="Arial"/>
                <w:bCs/>
              </w:rPr>
              <w:t xml:space="preserve"> can be reused, as </w:t>
            </w:r>
            <w:proofErr w:type="spellStart"/>
            <w:r>
              <w:rPr>
                <w:i/>
                <w:lang w:eastAsia="zh-CN"/>
              </w:rPr>
              <w:t>candidateServingFreqListNR</w:t>
            </w:r>
            <w:proofErr w:type="spellEnd"/>
            <w:r>
              <w:rPr>
                <w:lang w:eastAsia="zh-CN"/>
              </w:rPr>
              <w:t xml:space="preserve"> is to indicate “</w:t>
            </w:r>
            <w:r>
              <w:rPr>
                <w:rFonts w:eastAsia="Yu Mincho"/>
                <w:lang w:eastAsia="zh-CN"/>
              </w:rPr>
              <w:t xml:space="preserve">the </w:t>
            </w:r>
            <w:proofErr w:type="spellStart"/>
            <w:r>
              <w:rPr>
                <w:rFonts w:eastAsia="Yu Mincho"/>
                <w:lang w:eastAsia="zh-CN"/>
              </w:rPr>
              <w:t>center</w:t>
            </w:r>
            <w:proofErr w:type="spellEnd"/>
            <w:r>
              <w:rPr>
                <w:rFonts w:eastAsia="Yu Mincho"/>
                <w:lang w:eastAsia="zh-CN"/>
              </w:rPr>
              <w:t xml:space="preserve"> frequency around which UE is requested to report IDC issues</w:t>
            </w:r>
            <w:r>
              <w:rPr>
                <w:lang w:eastAsia="zh-CN"/>
              </w:rPr>
              <w:t>”</w:t>
            </w:r>
            <w:r>
              <w:rPr>
                <w:rFonts w:ascii="Arial" w:eastAsia="MS Mincho" w:hAnsi="Arial" w:cs="Arial"/>
                <w:bCs/>
              </w:rPr>
              <w:t>.</w:t>
            </w:r>
          </w:p>
        </w:tc>
        <w:tc>
          <w:tcPr>
            <w:tcW w:w="4397" w:type="dxa"/>
            <w:tcBorders>
              <w:top w:val="single" w:sz="4" w:space="0" w:color="auto"/>
              <w:left w:val="single" w:sz="4" w:space="0" w:color="auto"/>
              <w:bottom w:val="single" w:sz="4" w:space="0" w:color="auto"/>
              <w:right w:val="single" w:sz="4" w:space="0" w:color="auto"/>
            </w:tcBorders>
          </w:tcPr>
          <w:p w14:paraId="31F029DB" w14:textId="77777777" w:rsidR="007159BE" w:rsidRDefault="007D3121">
            <w:pPr>
              <w:spacing w:after="0"/>
              <w:rPr>
                <w:rFonts w:ascii="Arial" w:eastAsia="MS Mincho" w:hAnsi="Arial" w:cs="Arial"/>
                <w:bCs/>
              </w:rPr>
            </w:pPr>
            <w:r>
              <w:rPr>
                <w:rFonts w:ascii="Arial" w:eastAsia="MS Mincho" w:hAnsi="Arial" w:cs="Arial"/>
                <w:bCs/>
              </w:rPr>
              <w:t>No critical drawbacks are observed. The granularity of the solution depends on the bandwidth granularity to be specified, which can be discussed further.</w:t>
            </w:r>
          </w:p>
          <w:p w14:paraId="658297BD" w14:textId="77777777" w:rsidR="007159BE" w:rsidRDefault="007D3121">
            <w:pPr>
              <w:spacing w:after="0"/>
              <w:rPr>
                <w:rFonts w:ascii="Arial" w:eastAsia="MS Mincho" w:hAnsi="Arial" w:cs="Arial"/>
                <w:bCs/>
              </w:rPr>
            </w:pPr>
            <w:r>
              <w:rPr>
                <w:rFonts w:ascii="Arial" w:eastAsia="MS Mincho" w:hAnsi="Arial" w:cs="Arial"/>
                <w:bCs/>
              </w:rPr>
              <w:t xml:space="preserve">Slightly more signalling overheads, as the </w:t>
            </w:r>
            <w:r>
              <w:t>ARFCN-</w:t>
            </w:r>
            <w:proofErr w:type="spellStart"/>
            <w:r>
              <w:t>ValueNR</w:t>
            </w:r>
            <w:proofErr w:type="spellEnd"/>
            <w:r>
              <w:rPr>
                <w:rFonts w:ascii="Arial" w:eastAsia="MS Mincho" w:hAnsi="Arial" w:cs="Arial"/>
                <w:bCs/>
              </w:rPr>
              <w:t xml:space="preserve"> is expected to be used for the </w:t>
            </w:r>
            <w:proofErr w:type="spellStart"/>
            <w:r>
              <w:rPr>
                <w:rFonts w:ascii="Arial" w:eastAsia="MS Mincho" w:hAnsi="Arial" w:cs="Arial"/>
                <w:bCs/>
              </w:rPr>
              <w:t>gNB</w:t>
            </w:r>
            <w:proofErr w:type="spellEnd"/>
            <w:r>
              <w:rPr>
                <w:rFonts w:ascii="Arial" w:eastAsia="MS Mincho" w:hAnsi="Arial" w:cs="Arial"/>
                <w:bCs/>
              </w:rPr>
              <w:t xml:space="preserve"> configuration and the UE reporting </w:t>
            </w:r>
            <w:proofErr w:type="spellStart"/>
            <w:r>
              <w:rPr>
                <w:rFonts w:ascii="Arial" w:eastAsia="MS Mincho" w:hAnsi="Arial" w:cs="Arial"/>
                <w:bCs/>
              </w:rPr>
              <w:t>signaling</w:t>
            </w:r>
            <w:proofErr w:type="spellEnd"/>
            <w:r>
              <w:rPr>
                <w:rFonts w:ascii="Arial" w:eastAsia="MS Mincho" w:hAnsi="Arial" w:cs="Arial"/>
                <w:bCs/>
              </w:rPr>
              <w:t>.</w:t>
            </w:r>
          </w:p>
        </w:tc>
      </w:tr>
      <w:tr w:rsidR="007159BE" w14:paraId="23E816F7" w14:textId="77777777">
        <w:tc>
          <w:tcPr>
            <w:tcW w:w="1356" w:type="dxa"/>
            <w:tcBorders>
              <w:top w:val="single" w:sz="4" w:space="0" w:color="auto"/>
              <w:left w:val="single" w:sz="4" w:space="0" w:color="auto"/>
              <w:bottom w:val="single" w:sz="4" w:space="0" w:color="auto"/>
              <w:right w:val="single" w:sz="4" w:space="0" w:color="auto"/>
            </w:tcBorders>
          </w:tcPr>
          <w:p w14:paraId="5F01C43E" w14:textId="77777777" w:rsidR="007159BE" w:rsidRDefault="007D3121">
            <w:pPr>
              <w:spacing w:after="0"/>
              <w:rPr>
                <w:rFonts w:ascii="Arial" w:eastAsia="MS Mincho" w:hAnsi="Arial" w:cs="Arial"/>
                <w:bCs/>
              </w:rPr>
            </w:pPr>
            <w:r>
              <w:rPr>
                <w:rFonts w:ascii="Arial" w:eastAsia="MS Mincho" w:hAnsi="Arial" w:cs="Arial"/>
                <w:bCs/>
              </w:rPr>
              <w:t>OPPO</w:t>
            </w:r>
          </w:p>
        </w:tc>
        <w:tc>
          <w:tcPr>
            <w:tcW w:w="3876" w:type="dxa"/>
            <w:tcBorders>
              <w:top w:val="single" w:sz="4" w:space="0" w:color="auto"/>
              <w:left w:val="single" w:sz="4" w:space="0" w:color="auto"/>
              <w:bottom w:val="single" w:sz="4" w:space="0" w:color="auto"/>
              <w:right w:val="single" w:sz="4" w:space="0" w:color="auto"/>
            </w:tcBorders>
          </w:tcPr>
          <w:p w14:paraId="61D27176" w14:textId="77777777" w:rsidR="007159BE" w:rsidRPr="00B23851" w:rsidRDefault="007D3121">
            <w:pPr>
              <w:pStyle w:val="aff4"/>
              <w:numPr>
                <w:ilvl w:val="0"/>
                <w:numId w:val="13"/>
              </w:numPr>
              <w:rPr>
                <w:rFonts w:ascii="Arial" w:eastAsia="MS Mincho" w:hAnsi="Arial" w:cs="Arial"/>
                <w:bCs/>
                <w:lang w:val="en-US"/>
              </w:rPr>
            </w:pPr>
            <w:r w:rsidRPr="00B23851">
              <w:rPr>
                <w:rFonts w:ascii="Arial" w:eastAsia="MS Mincho" w:hAnsi="Arial" w:cs="Arial"/>
                <w:bCs/>
                <w:lang w:val="en-US"/>
              </w:rPr>
              <w:t>These solutions could apply to both serving and non-serving frequency;</w:t>
            </w:r>
          </w:p>
          <w:p w14:paraId="6157AE22" w14:textId="77777777" w:rsidR="007159BE" w:rsidRDefault="007D3121">
            <w:pPr>
              <w:pStyle w:val="aff4"/>
              <w:numPr>
                <w:ilvl w:val="0"/>
                <w:numId w:val="13"/>
              </w:numPr>
              <w:rPr>
                <w:rFonts w:ascii="Arial" w:eastAsia="MS Mincho" w:hAnsi="Arial" w:cs="Arial"/>
                <w:bCs/>
              </w:rPr>
            </w:pPr>
            <w:r>
              <w:rPr>
                <w:rFonts w:ascii="Arial" w:eastAsiaTheme="minorEastAsia" w:hAnsi="Arial" w:cs="Arial" w:hint="eastAsia"/>
                <w:bCs/>
                <w:lang w:eastAsia="zh-CN"/>
              </w:rPr>
              <w:t>C</w:t>
            </w:r>
            <w:r>
              <w:rPr>
                <w:rFonts w:ascii="Arial" w:eastAsiaTheme="minorEastAsia" w:hAnsi="Arial" w:cs="Arial"/>
                <w:bCs/>
                <w:lang w:eastAsia="zh-CN"/>
              </w:rPr>
              <w:t>an provide finer granularity;</w:t>
            </w:r>
          </w:p>
        </w:tc>
        <w:tc>
          <w:tcPr>
            <w:tcW w:w="4397" w:type="dxa"/>
            <w:tcBorders>
              <w:top w:val="single" w:sz="4" w:space="0" w:color="auto"/>
              <w:left w:val="single" w:sz="4" w:space="0" w:color="auto"/>
              <w:bottom w:val="single" w:sz="4" w:space="0" w:color="auto"/>
              <w:right w:val="single" w:sz="4" w:space="0" w:color="auto"/>
            </w:tcBorders>
          </w:tcPr>
          <w:p w14:paraId="7BC02843" w14:textId="77777777" w:rsidR="007159BE" w:rsidRPr="00B23851" w:rsidRDefault="007D3121">
            <w:pPr>
              <w:pStyle w:val="aff4"/>
              <w:numPr>
                <w:ilvl w:val="0"/>
                <w:numId w:val="13"/>
              </w:numPr>
              <w:rPr>
                <w:rFonts w:ascii="Arial" w:eastAsia="MS Mincho" w:hAnsi="Arial" w:cs="Arial"/>
                <w:bCs/>
                <w:lang w:val="en-US"/>
              </w:rPr>
            </w:pPr>
            <w:r w:rsidRPr="00B23851">
              <w:rPr>
                <w:rFonts w:ascii="Arial" w:eastAsia="MS Mincho" w:hAnsi="Arial" w:cs="Arial"/>
                <w:bCs/>
                <w:lang w:val="en-US"/>
              </w:rPr>
              <w:t xml:space="preserve">Much more </w:t>
            </w:r>
            <w:proofErr w:type="spellStart"/>
            <w:r w:rsidRPr="00B23851">
              <w:rPr>
                <w:rFonts w:ascii="Arial" w:eastAsia="MS Mincho" w:hAnsi="Arial" w:cs="Arial"/>
                <w:bCs/>
                <w:lang w:val="en-US"/>
              </w:rPr>
              <w:t>signalling</w:t>
            </w:r>
            <w:proofErr w:type="spellEnd"/>
            <w:r w:rsidRPr="00B23851">
              <w:rPr>
                <w:rFonts w:ascii="Arial" w:eastAsia="MS Mincho" w:hAnsi="Arial" w:cs="Arial"/>
                <w:bCs/>
                <w:lang w:val="en-US"/>
              </w:rPr>
              <w:t xml:space="preserve"> overhead if the affected frequencies are discrete; Even for a single range of frequency, </w:t>
            </w:r>
            <w:r w:rsidRPr="00B23851">
              <w:rPr>
                <w:rFonts w:ascii="Arial" w:eastAsia="MS Mincho" w:hAnsi="Arial" w:cs="Arial"/>
                <w:bCs/>
                <w:lang w:val="en-US"/>
              </w:rPr>
              <w:lastRenderedPageBreak/>
              <w:t>it brings more overhead compared with BWP ID;</w:t>
            </w:r>
          </w:p>
          <w:p w14:paraId="15D59159" w14:textId="77777777" w:rsidR="007159BE" w:rsidRPr="00B23851" w:rsidRDefault="007D3121">
            <w:pPr>
              <w:pStyle w:val="aff4"/>
              <w:numPr>
                <w:ilvl w:val="0"/>
                <w:numId w:val="13"/>
              </w:numPr>
              <w:rPr>
                <w:rFonts w:ascii="Arial" w:eastAsia="MS Mincho" w:hAnsi="Arial" w:cs="Arial"/>
                <w:bCs/>
                <w:lang w:val="en-US"/>
              </w:rPr>
            </w:pPr>
            <w:r w:rsidRPr="00B23851">
              <w:rPr>
                <w:rFonts w:ascii="Arial" w:eastAsiaTheme="minorEastAsia" w:hAnsi="Arial" w:cs="Arial" w:hint="eastAsia"/>
                <w:bCs/>
                <w:lang w:val="en-US" w:eastAsia="zh-CN"/>
              </w:rPr>
              <w:t>I</w:t>
            </w:r>
            <w:r w:rsidRPr="00B23851">
              <w:rPr>
                <w:rFonts w:ascii="Arial" w:eastAsiaTheme="minorEastAsia" w:hAnsi="Arial" w:cs="Arial"/>
                <w:bCs/>
                <w:lang w:val="en-US" w:eastAsia="zh-CN"/>
              </w:rPr>
              <w:t>t’s not clear how to signal the start frequency, end frequency, and also the bandwidth.</w:t>
            </w:r>
          </w:p>
          <w:p w14:paraId="3D35B250" w14:textId="77777777" w:rsidR="007159BE" w:rsidRDefault="007159BE">
            <w:pPr>
              <w:spacing w:after="0"/>
              <w:rPr>
                <w:rFonts w:ascii="Arial" w:eastAsia="MS Mincho" w:hAnsi="Arial" w:cs="Arial"/>
                <w:bCs/>
              </w:rPr>
            </w:pPr>
          </w:p>
          <w:p w14:paraId="50067CA1" w14:textId="77777777" w:rsidR="007159BE" w:rsidRDefault="007159BE">
            <w:pPr>
              <w:spacing w:after="0"/>
              <w:rPr>
                <w:rFonts w:ascii="Arial" w:eastAsia="MS Mincho" w:hAnsi="Arial" w:cs="Arial"/>
                <w:bCs/>
              </w:rPr>
            </w:pPr>
          </w:p>
        </w:tc>
      </w:tr>
      <w:tr w:rsidR="007159BE" w14:paraId="4810E65F" w14:textId="77777777">
        <w:tc>
          <w:tcPr>
            <w:tcW w:w="1356" w:type="dxa"/>
            <w:tcBorders>
              <w:top w:val="single" w:sz="4" w:space="0" w:color="auto"/>
              <w:left w:val="single" w:sz="4" w:space="0" w:color="auto"/>
              <w:bottom w:val="single" w:sz="4" w:space="0" w:color="auto"/>
              <w:right w:val="single" w:sz="4" w:space="0" w:color="auto"/>
            </w:tcBorders>
          </w:tcPr>
          <w:p w14:paraId="19C5B97B" w14:textId="77777777" w:rsidR="007159BE" w:rsidRDefault="007D3121">
            <w:pPr>
              <w:spacing w:after="0"/>
              <w:rPr>
                <w:rFonts w:ascii="Arial" w:eastAsia="MS Mincho" w:hAnsi="Arial" w:cs="Arial"/>
                <w:bCs/>
              </w:rPr>
            </w:pPr>
            <w:r>
              <w:rPr>
                <w:rFonts w:ascii="Arial" w:eastAsia="MS Mincho" w:hAnsi="Arial" w:cs="Arial"/>
                <w:bCs/>
              </w:rPr>
              <w:lastRenderedPageBreak/>
              <w:t>Qualcomm</w:t>
            </w:r>
          </w:p>
        </w:tc>
        <w:tc>
          <w:tcPr>
            <w:tcW w:w="3876" w:type="dxa"/>
            <w:tcBorders>
              <w:top w:val="single" w:sz="4" w:space="0" w:color="auto"/>
              <w:left w:val="single" w:sz="4" w:space="0" w:color="auto"/>
              <w:bottom w:val="single" w:sz="4" w:space="0" w:color="auto"/>
              <w:right w:val="single" w:sz="4" w:space="0" w:color="auto"/>
            </w:tcBorders>
          </w:tcPr>
          <w:p w14:paraId="51695C8E" w14:textId="77777777" w:rsidR="007159BE" w:rsidRDefault="007D3121">
            <w:pPr>
              <w:spacing w:after="0"/>
              <w:rPr>
                <w:rFonts w:ascii="Arial" w:eastAsia="MS Mincho" w:hAnsi="Arial" w:cs="Arial"/>
                <w:bCs/>
              </w:rPr>
            </w:pPr>
            <w:r>
              <w:rPr>
                <w:rFonts w:ascii="Arial" w:eastAsia="MS Mincho" w:hAnsi="Arial" w:cs="Arial"/>
                <w:bCs/>
              </w:rPr>
              <w:t xml:space="preserve">High granularity indication that allows the </w:t>
            </w:r>
            <w:proofErr w:type="spellStart"/>
            <w:r>
              <w:rPr>
                <w:rFonts w:ascii="Arial" w:eastAsia="MS Mincho" w:hAnsi="Arial" w:cs="Arial"/>
                <w:bCs/>
              </w:rPr>
              <w:t>gNB</w:t>
            </w:r>
            <w:proofErr w:type="spellEnd"/>
            <w:r>
              <w:rPr>
                <w:rFonts w:ascii="Arial" w:eastAsia="MS Mincho" w:hAnsi="Arial" w:cs="Arial"/>
                <w:bCs/>
              </w:rPr>
              <w:t xml:space="preserve"> to pinpoint the PRBs causing IDC issues. Very useful if the BW where the IDC problem is caused is small since it allows the NW to just avoid the problematic PRBs without the need for more invasive solution.</w:t>
            </w:r>
          </w:p>
          <w:p w14:paraId="52108841" w14:textId="77777777" w:rsidR="007159BE" w:rsidRDefault="007159BE">
            <w:pPr>
              <w:spacing w:after="0"/>
              <w:rPr>
                <w:rFonts w:ascii="Arial" w:eastAsia="MS Mincho" w:hAnsi="Arial" w:cs="Arial"/>
                <w:bCs/>
              </w:rPr>
            </w:pPr>
          </w:p>
          <w:p w14:paraId="5F480931" w14:textId="77777777" w:rsidR="007159BE" w:rsidRDefault="007D3121">
            <w:pPr>
              <w:spacing w:after="0"/>
              <w:rPr>
                <w:rFonts w:ascii="Arial" w:eastAsia="MS Mincho" w:hAnsi="Arial" w:cs="Arial"/>
                <w:bCs/>
              </w:rPr>
            </w:pPr>
            <w:r>
              <w:rPr>
                <w:rFonts w:ascii="Arial" w:eastAsia="MS Mincho" w:hAnsi="Arial" w:cs="Arial"/>
                <w:bCs/>
              </w:rPr>
              <w:t xml:space="preserve">Note that we understand this reporting to be configured only with a frequency reporting granularity but not with specific frequencies to measure, as the NW should not need to guess where the IDC problem occurs by doing a sweep, </w:t>
            </w:r>
          </w:p>
        </w:tc>
        <w:tc>
          <w:tcPr>
            <w:tcW w:w="4397" w:type="dxa"/>
            <w:tcBorders>
              <w:top w:val="single" w:sz="4" w:space="0" w:color="auto"/>
              <w:left w:val="single" w:sz="4" w:space="0" w:color="auto"/>
              <w:bottom w:val="single" w:sz="4" w:space="0" w:color="auto"/>
              <w:right w:val="single" w:sz="4" w:space="0" w:color="auto"/>
            </w:tcBorders>
          </w:tcPr>
          <w:p w14:paraId="699585FF" w14:textId="77777777" w:rsidR="007159BE" w:rsidRDefault="007D3121">
            <w:pPr>
              <w:spacing w:after="0"/>
              <w:rPr>
                <w:rFonts w:ascii="Arial" w:eastAsia="MS Mincho" w:hAnsi="Arial" w:cs="Arial"/>
                <w:bCs/>
              </w:rPr>
            </w:pPr>
            <w:r>
              <w:rPr>
                <w:rFonts w:ascii="Arial" w:eastAsia="MS Mincho" w:hAnsi="Arial" w:cs="Arial"/>
                <w:bCs/>
              </w:rPr>
              <w:t xml:space="preserve">High granularity may cause high overhead and/or excessive reporting. For example, for band N50 the IDC issue may occur in several frequencies so the reporting overhead ca get quite large. </w:t>
            </w:r>
          </w:p>
          <w:p w14:paraId="284288BD" w14:textId="77777777" w:rsidR="007159BE" w:rsidRDefault="007159BE">
            <w:pPr>
              <w:spacing w:after="0"/>
              <w:rPr>
                <w:rFonts w:ascii="Arial" w:eastAsia="MS Mincho" w:hAnsi="Arial" w:cs="Arial"/>
                <w:bCs/>
              </w:rPr>
            </w:pPr>
          </w:p>
          <w:p w14:paraId="1B84933A" w14:textId="77777777" w:rsidR="007159BE" w:rsidRDefault="007D3121">
            <w:pPr>
              <w:spacing w:after="0"/>
              <w:rPr>
                <w:rFonts w:ascii="Arial" w:eastAsia="MS Mincho" w:hAnsi="Arial" w:cs="Arial"/>
                <w:bCs/>
              </w:rPr>
            </w:pPr>
            <w:r>
              <w:rPr>
                <w:rFonts w:ascii="Arial" w:eastAsia="MS Mincho" w:hAnsi="Arial" w:cs="Arial"/>
                <w:bCs/>
              </w:rPr>
              <w:t xml:space="preserve">If we adopt the view of some companies that specific frequencies are configured for reporting; The IDC may not exactly align with those frequencies which can cause misalignment between UE and </w:t>
            </w:r>
            <w:proofErr w:type="spellStart"/>
            <w:r>
              <w:rPr>
                <w:rFonts w:ascii="Arial" w:eastAsia="MS Mincho" w:hAnsi="Arial" w:cs="Arial"/>
                <w:bCs/>
              </w:rPr>
              <w:t>gNB</w:t>
            </w:r>
            <w:proofErr w:type="spellEnd"/>
            <w:r>
              <w:rPr>
                <w:rFonts w:ascii="Arial" w:eastAsia="MS Mincho" w:hAnsi="Arial" w:cs="Arial"/>
                <w:bCs/>
              </w:rPr>
              <w:t xml:space="preserve"> and cause the </w:t>
            </w:r>
            <w:proofErr w:type="spellStart"/>
            <w:r>
              <w:rPr>
                <w:rFonts w:ascii="Arial" w:eastAsia="MS Mincho" w:hAnsi="Arial" w:cs="Arial"/>
                <w:bCs/>
              </w:rPr>
              <w:t>gNB</w:t>
            </w:r>
            <w:proofErr w:type="spellEnd"/>
            <w:r>
              <w:rPr>
                <w:rFonts w:ascii="Arial" w:eastAsia="MS Mincho" w:hAnsi="Arial" w:cs="Arial"/>
                <w:bCs/>
              </w:rPr>
              <w:t xml:space="preserve"> to change frequency to a worse frequency from PRB point of view. </w:t>
            </w:r>
          </w:p>
        </w:tc>
      </w:tr>
      <w:tr w:rsidR="007159BE" w14:paraId="0E8CC620" w14:textId="77777777">
        <w:tc>
          <w:tcPr>
            <w:tcW w:w="1356" w:type="dxa"/>
            <w:tcBorders>
              <w:top w:val="single" w:sz="4" w:space="0" w:color="auto"/>
              <w:left w:val="single" w:sz="4" w:space="0" w:color="auto"/>
              <w:bottom w:val="single" w:sz="4" w:space="0" w:color="auto"/>
              <w:right w:val="single" w:sz="4" w:space="0" w:color="auto"/>
            </w:tcBorders>
          </w:tcPr>
          <w:p w14:paraId="4B629D3B" w14:textId="77777777" w:rsidR="007159BE" w:rsidRDefault="007D3121">
            <w:pPr>
              <w:spacing w:after="0"/>
              <w:rPr>
                <w:rFonts w:ascii="Arial" w:hAnsi="Arial" w:cs="Arial"/>
                <w:bCs/>
                <w:lang w:val="en-US" w:eastAsia="zh-CN"/>
              </w:rPr>
            </w:pPr>
            <w:r>
              <w:rPr>
                <w:rFonts w:ascii="Arial" w:hAnsi="Arial" w:cs="Arial" w:hint="eastAsia"/>
                <w:bCs/>
                <w:lang w:val="en-US" w:eastAsia="zh-CN"/>
              </w:rPr>
              <w:t>ZTE</w:t>
            </w:r>
          </w:p>
        </w:tc>
        <w:tc>
          <w:tcPr>
            <w:tcW w:w="3876" w:type="dxa"/>
            <w:tcBorders>
              <w:top w:val="single" w:sz="4" w:space="0" w:color="auto"/>
              <w:left w:val="single" w:sz="4" w:space="0" w:color="auto"/>
              <w:bottom w:val="single" w:sz="4" w:space="0" w:color="auto"/>
              <w:right w:val="single" w:sz="4" w:space="0" w:color="auto"/>
            </w:tcBorders>
          </w:tcPr>
          <w:p w14:paraId="2136CEA8" w14:textId="77777777" w:rsidR="007159BE" w:rsidRDefault="007D3121">
            <w:pPr>
              <w:spacing w:after="0"/>
              <w:rPr>
                <w:rFonts w:ascii="Arial" w:hAnsi="Arial" w:cs="Arial"/>
                <w:bCs/>
                <w:lang w:val="en-US" w:eastAsia="zh-CN"/>
              </w:rPr>
            </w:pPr>
            <w:r>
              <w:rPr>
                <w:rFonts w:ascii="Arial" w:eastAsiaTheme="minorEastAsia" w:hAnsi="Arial" w:cs="Arial" w:hint="eastAsia"/>
                <w:bCs/>
                <w:lang w:eastAsia="zh-CN"/>
              </w:rPr>
              <w:t>C</w:t>
            </w:r>
            <w:r>
              <w:rPr>
                <w:rFonts w:ascii="Arial" w:eastAsiaTheme="minorEastAsia" w:hAnsi="Arial" w:cs="Arial"/>
                <w:bCs/>
                <w:lang w:eastAsia="zh-CN"/>
              </w:rPr>
              <w:t>an provide finer granularity;</w:t>
            </w:r>
          </w:p>
        </w:tc>
        <w:tc>
          <w:tcPr>
            <w:tcW w:w="4397" w:type="dxa"/>
            <w:tcBorders>
              <w:top w:val="single" w:sz="4" w:space="0" w:color="auto"/>
              <w:left w:val="single" w:sz="4" w:space="0" w:color="auto"/>
              <w:bottom w:val="single" w:sz="4" w:space="0" w:color="auto"/>
              <w:right w:val="single" w:sz="4" w:space="0" w:color="auto"/>
            </w:tcBorders>
          </w:tcPr>
          <w:p w14:paraId="4EA2BDED" w14:textId="77777777" w:rsidR="007159BE" w:rsidRDefault="007D3121">
            <w:pPr>
              <w:numPr>
                <w:ilvl w:val="0"/>
                <w:numId w:val="14"/>
              </w:numPr>
              <w:spacing w:after="0"/>
              <w:rPr>
                <w:rFonts w:ascii="Arial" w:hAnsi="Arial" w:cs="Arial"/>
                <w:bCs/>
                <w:lang w:val="en-US" w:eastAsia="zh-CN"/>
              </w:rPr>
            </w:pPr>
            <w:r>
              <w:rPr>
                <w:rFonts w:ascii="Arial" w:hAnsi="Arial" w:cs="Arial" w:hint="eastAsia"/>
                <w:bCs/>
                <w:lang w:val="en-US" w:eastAsia="zh-CN"/>
              </w:rPr>
              <w:t>Much more signaling overhead</w:t>
            </w:r>
          </w:p>
          <w:p w14:paraId="545CFE18" w14:textId="77777777" w:rsidR="007159BE" w:rsidRDefault="007D3121">
            <w:pPr>
              <w:numPr>
                <w:ilvl w:val="0"/>
                <w:numId w:val="14"/>
              </w:numPr>
              <w:spacing w:after="0"/>
              <w:rPr>
                <w:rFonts w:ascii="Arial" w:hAnsi="Arial" w:cs="Arial"/>
                <w:bCs/>
                <w:lang w:val="en-US" w:eastAsia="zh-CN"/>
              </w:rPr>
            </w:pPr>
            <w:r>
              <w:rPr>
                <w:rFonts w:ascii="Arial" w:hAnsi="Arial" w:cs="Arial" w:hint="eastAsia"/>
                <w:bCs/>
                <w:lang w:val="en-US" w:eastAsia="zh-CN"/>
              </w:rPr>
              <w:t>For the serving cell, network still need to determine which BWP/BWP combination are valid from the PRB info, which also increase</w:t>
            </w:r>
            <w:r w:rsidR="00B23851">
              <w:rPr>
                <w:rFonts w:ascii="Arial" w:hAnsi="Arial" w:cs="Arial"/>
                <w:bCs/>
                <w:lang w:val="en-US" w:eastAsia="zh-CN"/>
              </w:rPr>
              <w:t xml:space="preserve">s </w:t>
            </w:r>
            <w:r>
              <w:rPr>
                <w:rFonts w:ascii="Arial" w:hAnsi="Arial" w:cs="Arial" w:hint="eastAsia"/>
                <w:bCs/>
                <w:lang w:val="en-US" w:eastAsia="zh-CN"/>
              </w:rPr>
              <w:t>the network side processing complexity especially for the IMD case</w:t>
            </w:r>
            <w:r w:rsidR="00B23851">
              <w:rPr>
                <w:rFonts w:ascii="Arial" w:hAnsi="Arial" w:cs="Arial"/>
                <w:bCs/>
                <w:lang w:val="en-US" w:eastAsia="zh-CN"/>
              </w:rPr>
              <w:t>.</w:t>
            </w:r>
          </w:p>
        </w:tc>
      </w:tr>
      <w:tr w:rsidR="007159BE" w14:paraId="1090CA3C" w14:textId="77777777">
        <w:tc>
          <w:tcPr>
            <w:tcW w:w="1356" w:type="dxa"/>
            <w:tcBorders>
              <w:top w:val="single" w:sz="4" w:space="0" w:color="auto"/>
              <w:left w:val="single" w:sz="4" w:space="0" w:color="auto"/>
              <w:bottom w:val="single" w:sz="4" w:space="0" w:color="auto"/>
              <w:right w:val="single" w:sz="4" w:space="0" w:color="auto"/>
            </w:tcBorders>
          </w:tcPr>
          <w:p w14:paraId="49996036" w14:textId="09D904C2" w:rsidR="007159BE" w:rsidRDefault="00B52E72">
            <w:pPr>
              <w:spacing w:after="0"/>
              <w:rPr>
                <w:rFonts w:ascii="Arial" w:eastAsia="MS Mincho" w:hAnsi="Arial" w:cs="Arial"/>
                <w:bCs/>
              </w:rPr>
            </w:pPr>
            <w:r>
              <w:rPr>
                <w:rFonts w:ascii="Arial" w:eastAsia="MS Mincho" w:hAnsi="Arial" w:cs="Arial"/>
                <w:bCs/>
              </w:rPr>
              <w:t>Apple</w:t>
            </w:r>
          </w:p>
        </w:tc>
        <w:tc>
          <w:tcPr>
            <w:tcW w:w="3876" w:type="dxa"/>
            <w:tcBorders>
              <w:top w:val="single" w:sz="4" w:space="0" w:color="auto"/>
              <w:left w:val="single" w:sz="4" w:space="0" w:color="auto"/>
              <w:bottom w:val="single" w:sz="4" w:space="0" w:color="auto"/>
              <w:right w:val="single" w:sz="4" w:space="0" w:color="auto"/>
            </w:tcBorders>
          </w:tcPr>
          <w:p w14:paraId="1C0CE65D" w14:textId="0BCF03AD" w:rsidR="007159BE" w:rsidRDefault="00B52E72">
            <w:pPr>
              <w:spacing w:after="0"/>
              <w:rPr>
                <w:rFonts w:ascii="Arial" w:eastAsia="MS Mincho" w:hAnsi="Arial" w:cs="Arial"/>
                <w:bCs/>
              </w:rPr>
            </w:pPr>
            <w:r>
              <w:rPr>
                <w:rFonts w:ascii="Arial" w:eastAsia="MS Mincho" w:hAnsi="Arial" w:cs="Arial"/>
                <w:bCs/>
              </w:rPr>
              <w:t>Finer granularity of problematic resources</w:t>
            </w:r>
          </w:p>
        </w:tc>
        <w:tc>
          <w:tcPr>
            <w:tcW w:w="4397" w:type="dxa"/>
            <w:tcBorders>
              <w:top w:val="single" w:sz="4" w:space="0" w:color="auto"/>
              <w:left w:val="single" w:sz="4" w:space="0" w:color="auto"/>
              <w:bottom w:val="single" w:sz="4" w:space="0" w:color="auto"/>
              <w:right w:val="single" w:sz="4" w:space="0" w:color="auto"/>
            </w:tcBorders>
          </w:tcPr>
          <w:p w14:paraId="35EE4318" w14:textId="47875E65" w:rsidR="007159BE" w:rsidRDefault="00B52E72">
            <w:pPr>
              <w:spacing w:after="0"/>
              <w:rPr>
                <w:rFonts w:ascii="Arial" w:eastAsia="MS Mincho" w:hAnsi="Arial" w:cs="Arial"/>
                <w:bCs/>
              </w:rPr>
            </w:pPr>
            <w:r>
              <w:rPr>
                <w:rFonts w:ascii="Arial" w:eastAsia="MS Mincho" w:hAnsi="Arial" w:cs="Arial"/>
                <w:bCs/>
              </w:rPr>
              <w:t xml:space="preserve">More </w:t>
            </w:r>
            <w:proofErr w:type="spellStart"/>
            <w:r>
              <w:rPr>
                <w:rFonts w:ascii="Arial" w:eastAsia="MS Mincho" w:hAnsi="Arial" w:cs="Arial"/>
                <w:bCs/>
              </w:rPr>
              <w:t>signaling</w:t>
            </w:r>
            <w:proofErr w:type="spellEnd"/>
            <w:r>
              <w:rPr>
                <w:rFonts w:ascii="Arial" w:eastAsia="MS Mincho" w:hAnsi="Arial" w:cs="Arial"/>
                <w:bCs/>
              </w:rPr>
              <w:t xml:space="preserve"> overhead</w:t>
            </w:r>
          </w:p>
        </w:tc>
      </w:tr>
      <w:tr w:rsidR="00717510" w:rsidRPr="00916935" w14:paraId="43810B33" w14:textId="77777777" w:rsidTr="00717510">
        <w:tc>
          <w:tcPr>
            <w:tcW w:w="1356" w:type="dxa"/>
            <w:tcBorders>
              <w:top w:val="single" w:sz="4" w:space="0" w:color="auto"/>
              <w:left w:val="single" w:sz="4" w:space="0" w:color="auto"/>
              <w:bottom w:val="single" w:sz="4" w:space="0" w:color="auto"/>
              <w:right w:val="single" w:sz="4" w:space="0" w:color="auto"/>
            </w:tcBorders>
          </w:tcPr>
          <w:p w14:paraId="413FC927" w14:textId="77777777" w:rsidR="00717510" w:rsidRPr="00717510" w:rsidRDefault="00717510" w:rsidP="00B926CF">
            <w:pPr>
              <w:spacing w:after="0"/>
              <w:rPr>
                <w:rFonts w:ascii="Arial" w:eastAsia="MS Mincho" w:hAnsi="Arial" w:cs="Arial"/>
                <w:bCs/>
              </w:rPr>
            </w:pPr>
            <w:r w:rsidRPr="00717510">
              <w:rPr>
                <w:rFonts w:ascii="Arial" w:eastAsia="MS Mincho" w:hAnsi="Arial" w:cs="Arial" w:hint="eastAsia"/>
                <w:bCs/>
              </w:rPr>
              <w:t>S</w:t>
            </w:r>
            <w:r w:rsidRPr="00717510">
              <w:rPr>
                <w:rFonts w:ascii="Arial" w:eastAsia="MS Mincho" w:hAnsi="Arial" w:cs="Arial"/>
                <w:bCs/>
              </w:rPr>
              <w:t xml:space="preserve">amsung </w:t>
            </w:r>
          </w:p>
        </w:tc>
        <w:tc>
          <w:tcPr>
            <w:tcW w:w="3876" w:type="dxa"/>
            <w:tcBorders>
              <w:top w:val="single" w:sz="4" w:space="0" w:color="auto"/>
              <w:left w:val="single" w:sz="4" w:space="0" w:color="auto"/>
              <w:bottom w:val="single" w:sz="4" w:space="0" w:color="auto"/>
              <w:right w:val="single" w:sz="4" w:space="0" w:color="auto"/>
            </w:tcBorders>
          </w:tcPr>
          <w:p w14:paraId="4714BF66" w14:textId="77777777" w:rsidR="00717510" w:rsidRPr="00717510" w:rsidRDefault="00717510" w:rsidP="00B926CF">
            <w:pPr>
              <w:spacing w:after="0"/>
              <w:rPr>
                <w:rFonts w:ascii="Arial" w:eastAsia="MS Mincho" w:hAnsi="Arial" w:cs="Arial"/>
                <w:bCs/>
              </w:rPr>
            </w:pPr>
            <w:r w:rsidRPr="00717510">
              <w:rPr>
                <w:rFonts w:ascii="Arial" w:eastAsia="MS Mincho" w:hAnsi="Arial" w:cs="Arial"/>
                <w:bCs/>
              </w:rPr>
              <w:t>The frequency range is the most flexible choice. It can indicate any range of problematic frequencies in both serving and non-serving cell.</w:t>
            </w:r>
          </w:p>
        </w:tc>
        <w:tc>
          <w:tcPr>
            <w:tcW w:w="4397" w:type="dxa"/>
            <w:tcBorders>
              <w:top w:val="single" w:sz="4" w:space="0" w:color="auto"/>
              <w:left w:val="single" w:sz="4" w:space="0" w:color="auto"/>
              <w:bottom w:val="single" w:sz="4" w:space="0" w:color="auto"/>
              <w:right w:val="single" w:sz="4" w:space="0" w:color="auto"/>
            </w:tcBorders>
          </w:tcPr>
          <w:p w14:paraId="01FF8AEB" w14:textId="77777777" w:rsidR="00717510" w:rsidRPr="00717510" w:rsidRDefault="00717510" w:rsidP="00B926CF">
            <w:pPr>
              <w:spacing w:after="0"/>
              <w:rPr>
                <w:rFonts w:ascii="Arial" w:eastAsia="MS Mincho" w:hAnsi="Arial" w:cs="Arial"/>
                <w:bCs/>
              </w:rPr>
            </w:pPr>
            <w:r w:rsidRPr="00717510">
              <w:rPr>
                <w:rFonts w:ascii="Arial" w:eastAsia="MS Mincho" w:hAnsi="Arial" w:cs="Arial"/>
                <w:bCs/>
              </w:rPr>
              <w:t xml:space="preserve">The indication of frequency range may need more signalling than other options. </w:t>
            </w:r>
          </w:p>
        </w:tc>
      </w:tr>
      <w:tr w:rsidR="00736AF6" w14:paraId="04A8F7C5" w14:textId="77777777">
        <w:tc>
          <w:tcPr>
            <w:tcW w:w="1356" w:type="dxa"/>
            <w:tcBorders>
              <w:top w:val="single" w:sz="4" w:space="0" w:color="auto"/>
              <w:left w:val="single" w:sz="4" w:space="0" w:color="auto"/>
              <w:bottom w:val="single" w:sz="4" w:space="0" w:color="auto"/>
              <w:right w:val="single" w:sz="4" w:space="0" w:color="auto"/>
            </w:tcBorders>
          </w:tcPr>
          <w:p w14:paraId="1DAB2376" w14:textId="702BC7D1" w:rsidR="00736AF6" w:rsidRPr="00717510" w:rsidRDefault="00736AF6" w:rsidP="00736AF6">
            <w:pPr>
              <w:spacing w:after="0"/>
              <w:rPr>
                <w:rFonts w:ascii="Arial" w:eastAsia="MS Mincho" w:hAnsi="Arial" w:cs="Arial"/>
                <w:bCs/>
              </w:rPr>
            </w:pPr>
            <w:r>
              <w:rPr>
                <w:rFonts w:ascii="Arial" w:eastAsia="MS Mincho" w:hAnsi="Arial" w:cs="Arial"/>
                <w:bCs/>
              </w:rPr>
              <w:t>Intel</w:t>
            </w:r>
          </w:p>
        </w:tc>
        <w:tc>
          <w:tcPr>
            <w:tcW w:w="3876" w:type="dxa"/>
            <w:tcBorders>
              <w:top w:val="single" w:sz="4" w:space="0" w:color="auto"/>
              <w:left w:val="single" w:sz="4" w:space="0" w:color="auto"/>
              <w:bottom w:val="single" w:sz="4" w:space="0" w:color="auto"/>
              <w:right w:val="single" w:sz="4" w:space="0" w:color="auto"/>
            </w:tcBorders>
          </w:tcPr>
          <w:p w14:paraId="5A9D891F" w14:textId="0BC73C90" w:rsidR="00736AF6" w:rsidRDefault="00736AF6" w:rsidP="00736AF6">
            <w:pPr>
              <w:spacing w:after="0"/>
              <w:rPr>
                <w:rFonts w:ascii="Arial" w:eastAsia="MS Mincho" w:hAnsi="Arial" w:cs="Arial"/>
                <w:bCs/>
              </w:rPr>
            </w:pPr>
            <w:r>
              <w:rPr>
                <w:rFonts w:ascii="Arial" w:eastAsia="MS Mincho" w:hAnsi="Arial" w:cs="Arial"/>
                <w:bCs/>
              </w:rPr>
              <w:t xml:space="preserve">General comment is that Option 1/2/2a/4/6 are all based on reporting a frequency region, the difference </w:t>
            </w:r>
            <w:r w:rsidR="0034380C">
              <w:rPr>
                <w:rFonts w:ascii="Arial" w:eastAsia="MS Mincho" w:hAnsi="Arial" w:cs="Arial"/>
                <w:bCs/>
              </w:rPr>
              <w:t>is</w:t>
            </w:r>
            <w:r>
              <w:rPr>
                <w:rFonts w:ascii="Arial" w:eastAsia="MS Mincho" w:hAnsi="Arial" w:cs="Arial"/>
                <w:bCs/>
              </w:rPr>
              <w:t xml:space="preserve"> mainly about indication method and granularity. </w:t>
            </w:r>
          </w:p>
          <w:p w14:paraId="68A25ABA" w14:textId="77777777" w:rsidR="00736AF6" w:rsidRDefault="00736AF6" w:rsidP="00736AF6">
            <w:pPr>
              <w:spacing w:after="0"/>
              <w:rPr>
                <w:rFonts w:ascii="Arial" w:eastAsia="MS Mincho" w:hAnsi="Arial" w:cs="Arial"/>
                <w:bCs/>
              </w:rPr>
            </w:pPr>
          </w:p>
          <w:p w14:paraId="377F8410" w14:textId="77777777" w:rsidR="00736AF6" w:rsidRDefault="00736AF6" w:rsidP="00736AF6">
            <w:pPr>
              <w:spacing w:after="0"/>
              <w:rPr>
                <w:rFonts w:ascii="Arial" w:eastAsia="MS Mincho" w:hAnsi="Arial" w:cs="Arial"/>
                <w:bCs/>
              </w:rPr>
            </w:pPr>
            <w:r>
              <w:rPr>
                <w:rFonts w:ascii="Arial" w:eastAsia="MS Mincho" w:hAnsi="Arial" w:cs="Arial"/>
                <w:bCs/>
              </w:rPr>
              <w:t>For option 1 and 2a, the granularity of bandwidth is not clear.</w:t>
            </w:r>
          </w:p>
          <w:p w14:paraId="31FA2245" w14:textId="77777777" w:rsidR="00736AF6" w:rsidRDefault="00736AF6" w:rsidP="00736AF6">
            <w:pPr>
              <w:spacing w:after="0"/>
              <w:rPr>
                <w:rFonts w:ascii="Arial" w:eastAsia="MS Mincho" w:hAnsi="Arial" w:cs="Arial"/>
                <w:bCs/>
              </w:rPr>
            </w:pPr>
          </w:p>
          <w:p w14:paraId="64017D57" w14:textId="77777777" w:rsidR="00736AF6" w:rsidRDefault="00736AF6" w:rsidP="00736AF6">
            <w:pPr>
              <w:spacing w:after="0"/>
              <w:rPr>
                <w:rFonts w:ascii="Arial" w:eastAsia="MS Mincho" w:hAnsi="Arial" w:cs="Arial"/>
                <w:bCs/>
              </w:rPr>
            </w:pPr>
            <w:r>
              <w:rPr>
                <w:rFonts w:ascii="Arial" w:eastAsia="MS Mincho" w:hAnsi="Arial" w:cs="Arial"/>
                <w:bCs/>
              </w:rPr>
              <w:t xml:space="preserve">If </w:t>
            </w:r>
            <w:r w:rsidRPr="00F431DE">
              <w:rPr>
                <w:rFonts w:ascii="Arial" w:eastAsia="MS Mincho" w:hAnsi="Arial" w:cs="Arial"/>
                <w:bCs/>
                <w:i/>
                <w:iCs/>
              </w:rPr>
              <w:t>ARFCN-</w:t>
            </w:r>
            <w:proofErr w:type="spellStart"/>
            <w:r w:rsidRPr="00F431DE">
              <w:rPr>
                <w:rFonts w:ascii="Arial" w:eastAsia="MS Mincho" w:hAnsi="Arial" w:cs="Arial"/>
                <w:bCs/>
                <w:i/>
                <w:iCs/>
              </w:rPr>
              <w:t>ValueNR</w:t>
            </w:r>
            <w:proofErr w:type="spellEnd"/>
            <w:r w:rsidRPr="00F431DE">
              <w:rPr>
                <w:rFonts w:ascii="Arial" w:eastAsia="MS Mincho" w:hAnsi="Arial" w:cs="Arial"/>
                <w:bCs/>
              </w:rPr>
              <w:t xml:space="preserve"> is used to indicate the starting/</w:t>
            </w:r>
            <w:proofErr w:type="spellStart"/>
            <w:r w:rsidRPr="00F431DE">
              <w:rPr>
                <w:rFonts w:ascii="Arial" w:eastAsia="MS Mincho" w:hAnsi="Arial" w:cs="Arial"/>
                <w:bCs/>
              </w:rPr>
              <w:t>center</w:t>
            </w:r>
            <w:proofErr w:type="spellEnd"/>
            <w:r w:rsidRPr="00F431DE">
              <w:rPr>
                <w:rFonts w:ascii="Arial" w:eastAsia="MS Mincho" w:hAnsi="Arial" w:cs="Arial"/>
                <w:bCs/>
              </w:rPr>
              <w:t xml:space="preserve"> frequency and can be </w:t>
            </w:r>
            <w:r>
              <w:rPr>
                <w:rFonts w:ascii="Arial" w:eastAsia="MS Mincho" w:hAnsi="Arial" w:cs="Arial"/>
                <w:bCs/>
              </w:rPr>
              <w:t xml:space="preserve">different from those configured in </w:t>
            </w:r>
            <w:proofErr w:type="spellStart"/>
            <w:r>
              <w:rPr>
                <w:rFonts w:ascii="Arial" w:eastAsia="MS Mincho" w:hAnsi="Arial" w:cs="Arial"/>
                <w:bCs/>
              </w:rPr>
              <w:t>gNB</w:t>
            </w:r>
            <w:proofErr w:type="spellEnd"/>
            <w:r>
              <w:rPr>
                <w:rFonts w:ascii="Arial" w:eastAsia="MS Mincho" w:hAnsi="Arial" w:cs="Arial"/>
                <w:bCs/>
              </w:rPr>
              <w:t xml:space="preserve"> (as in </w:t>
            </w:r>
            <w:proofErr w:type="spellStart"/>
            <w:r w:rsidRPr="00F431DE">
              <w:rPr>
                <w:rFonts w:ascii="Arial" w:eastAsia="MS Mincho" w:hAnsi="Arial" w:cs="Arial"/>
                <w:bCs/>
                <w:i/>
                <w:iCs/>
              </w:rPr>
              <w:t>candidateServingFreqListNR</w:t>
            </w:r>
            <w:proofErr w:type="spellEnd"/>
            <w:r>
              <w:rPr>
                <w:rFonts w:ascii="Arial" w:eastAsia="MS Mincho" w:hAnsi="Arial" w:cs="Arial"/>
                <w:bCs/>
              </w:rPr>
              <w:t xml:space="preserve">), then exactly same solution can be </w:t>
            </w:r>
            <w:proofErr w:type="spellStart"/>
            <w:r>
              <w:rPr>
                <w:rFonts w:ascii="Arial" w:eastAsia="MS Mincho" w:hAnsi="Arial" w:cs="Arial"/>
                <w:bCs/>
              </w:rPr>
              <w:t>use</w:t>
            </w:r>
            <w:proofErr w:type="spellEnd"/>
            <w:r>
              <w:rPr>
                <w:rFonts w:ascii="Arial" w:eastAsia="MS Mincho" w:hAnsi="Arial" w:cs="Arial"/>
                <w:bCs/>
              </w:rPr>
              <w:t xml:space="preserve"> for both serving and non-serving frequencies.</w:t>
            </w:r>
            <w:r w:rsidRPr="00F431DE">
              <w:rPr>
                <w:rFonts w:ascii="Arial" w:eastAsia="MS Mincho" w:hAnsi="Arial" w:cs="Arial"/>
                <w:bCs/>
              </w:rPr>
              <w:t xml:space="preserve"> </w:t>
            </w:r>
          </w:p>
          <w:p w14:paraId="497C1A2B" w14:textId="28326F5D" w:rsidR="00736AF6" w:rsidRDefault="00736AF6" w:rsidP="00736AF6">
            <w:pPr>
              <w:spacing w:after="0"/>
              <w:rPr>
                <w:rFonts w:ascii="Arial" w:eastAsia="MS Mincho" w:hAnsi="Arial" w:cs="Arial"/>
                <w:bCs/>
              </w:rPr>
            </w:pPr>
            <w:r>
              <w:rPr>
                <w:rFonts w:ascii="Arial" w:eastAsia="MS Mincho" w:hAnsi="Arial" w:cs="Arial"/>
                <w:bCs/>
              </w:rPr>
              <w:t xml:space="preserve"> </w:t>
            </w:r>
          </w:p>
        </w:tc>
        <w:tc>
          <w:tcPr>
            <w:tcW w:w="4397" w:type="dxa"/>
            <w:tcBorders>
              <w:top w:val="single" w:sz="4" w:space="0" w:color="auto"/>
              <w:left w:val="single" w:sz="4" w:space="0" w:color="auto"/>
              <w:bottom w:val="single" w:sz="4" w:space="0" w:color="auto"/>
              <w:right w:val="single" w:sz="4" w:space="0" w:color="auto"/>
            </w:tcBorders>
          </w:tcPr>
          <w:p w14:paraId="3904B538" w14:textId="205613D0" w:rsidR="00736AF6" w:rsidRDefault="00736AF6" w:rsidP="00736AF6">
            <w:pPr>
              <w:spacing w:after="0"/>
              <w:rPr>
                <w:rFonts w:ascii="Arial" w:eastAsia="MS Mincho" w:hAnsi="Arial" w:cs="Arial"/>
                <w:bCs/>
              </w:rPr>
            </w:pPr>
            <w:r>
              <w:rPr>
                <w:rFonts w:ascii="Arial" w:eastAsia="MS Mincho" w:hAnsi="Arial" w:cs="Arial"/>
                <w:bCs/>
              </w:rPr>
              <w:t xml:space="preserve">There might be larger signalling overhead if </w:t>
            </w:r>
            <w:r w:rsidRPr="00F431DE">
              <w:rPr>
                <w:rFonts w:ascii="Arial" w:eastAsia="MS Mincho" w:hAnsi="Arial" w:cs="Arial"/>
                <w:bCs/>
                <w:i/>
                <w:iCs/>
              </w:rPr>
              <w:t>ARFCN-</w:t>
            </w:r>
            <w:proofErr w:type="spellStart"/>
            <w:r w:rsidRPr="00F431DE">
              <w:rPr>
                <w:rFonts w:ascii="Arial" w:eastAsia="MS Mincho" w:hAnsi="Arial" w:cs="Arial"/>
                <w:bCs/>
                <w:i/>
                <w:iCs/>
              </w:rPr>
              <w:t>ValueNR</w:t>
            </w:r>
            <w:proofErr w:type="spellEnd"/>
            <w:r w:rsidRPr="00F431DE">
              <w:rPr>
                <w:rFonts w:ascii="Arial" w:eastAsia="MS Mincho" w:hAnsi="Arial" w:cs="Arial"/>
                <w:bCs/>
              </w:rPr>
              <w:t xml:space="preserve"> is used to indicate the starting/</w:t>
            </w:r>
            <w:proofErr w:type="spellStart"/>
            <w:r w:rsidRPr="00F431DE">
              <w:rPr>
                <w:rFonts w:ascii="Arial" w:eastAsia="MS Mincho" w:hAnsi="Arial" w:cs="Arial"/>
                <w:bCs/>
              </w:rPr>
              <w:t>center</w:t>
            </w:r>
            <w:proofErr w:type="spellEnd"/>
            <w:r w:rsidRPr="00F431DE">
              <w:rPr>
                <w:rFonts w:ascii="Arial" w:eastAsia="MS Mincho" w:hAnsi="Arial" w:cs="Arial"/>
                <w:bCs/>
              </w:rPr>
              <w:t xml:space="preserve"> frequency and can be </w:t>
            </w:r>
            <w:r>
              <w:rPr>
                <w:rFonts w:ascii="Arial" w:eastAsia="MS Mincho" w:hAnsi="Arial" w:cs="Arial"/>
                <w:bCs/>
              </w:rPr>
              <w:t xml:space="preserve">different from those configured in </w:t>
            </w:r>
            <w:proofErr w:type="spellStart"/>
            <w:r>
              <w:rPr>
                <w:rFonts w:ascii="Arial" w:eastAsia="MS Mincho" w:hAnsi="Arial" w:cs="Arial"/>
                <w:bCs/>
              </w:rPr>
              <w:t>gNB</w:t>
            </w:r>
            <w:proofErr w:type="spellEnd"/>
            <w:r>
              <w:rPr>
                <w:rFonts w:ascii="Arial" w:eastAsia="MS Mincho" w:hAnsi="Arial" w:cs="Arial"/>
                <w:bCs/>
              </w:rPr>
              <w:t xml:space="preserve"> (as in </w:t>
            </w:r>
            <w:proofErr w:type="spellStart"/>
            <w:r w:rsidRPr="00F431DE">
              <w:rPr>
                <w:rFonts w:ascii="Arial" w:eastAsia="MS Mincho" w:hAnsi="Arial" w:cs="Arial"/>
                <w:bCs/>
                <w:i/>
                <w:iCs/>
              </w:rPr>
              <w:t>candidateServingFreqListNR</w:t>
            </w:r>
            <w:proofErr w:type="spellEnd"/>
            <w:r>
              <w:rPr>
                <w:rFonts w:ascii="Arial" w:eastAsia="MS Mincho" w:hAnsi="Arial" w:cs="Arial"/>
                <w:bCs/>
              </w:rPr>
              <w:t xml:space="preserve">). In particular, the signalling overhead is largest for option 2 since end frequency is also indicated in </w:t>
            </w:r>
            <w:r w:rsidRPr="00F431DE">
              <w:rPr>
                <w:rFonts w:ascii="Arial" w:eastAsia="MS Mincho" w:hAnsi="Arial" w:cs="Arial"/>
                <w:bCs/>
                <w:i/>
                <w:iCs/>
              </w:rPr>
              <w:t>ARFCN-</w:t>
            </w:r>
            <w:proofErr w:type="spellStart"/>
            <w:r w:rsidRPr="00F431DE">
              <w:rPr>
                <w:rFonts w:ascii="Arial" w:eastAsia="MS Mincho" w:hAnsi="Arial" w:cs="Arial"/>
                <w:bCs/>
                <w:i/>
                <w:iCs/>
              </w:rPr>
              <w:t>ValueN</w:t>
            </w:r>
            <w:r>
              <w:rPr>
                <w:rFonts w:ascii="Arial" w:eastAsia="MS Mincho" w:hAnsi="Arial" w:cs="Arial"/>
                <w:bCs/>
                <w:i/>
                <w:iCs/>
              </w:rPr>
              <w:t>R</w:t>
            </w:r>
            <w:proofErr w:type="spellEnd"/>
            <w:r>
              <w:rPr>
                <w:rFonts w:ascii="Arial" w:eastAsia="MS Mincho" w:hAnsi="Arial" w:cs="Arial"/>
                <w:bCs/>
                <w:i/>
                <w:iCs/>
              </w:rPr>
              <w:t xml:space="preserve"> </w:t>
            </w:r>
            <w:r>
              <w:rPr>
                <w:rFonts w:ascii="Arial" w:eastAsia="MS Mincho" w:hAnsi="Arial" w:cs="Arial"/>
                <w:bCs/>
              </w:rPr>
              <w:t>(</w:t>
            </w:r>
            <w:r w:rsidR="0088447A">
              <w:rPr>
                <w:rFonts w:ascii="Arial" w:eastAsia="MS Mincho" w:hAnsi="Arial" w:cs="Arial"/>
                <w:bCs/>
              </w:rPr>
              <w:t xml:space="preserve">but </w:t>
            </w:r>
            <w:r>
              <w:rPr>
                <w:rFonts w:ascii="Arial" w:eastAsia="MS Mincho" w:hAnsi="Arial" w:cs="Arial"/>
                <w:bCs/>
              </w:rPr>
              <w:t xml:space="preserve">the start and end frequency should be relatively close in terms of </w:t>
            </w:r>
            <w:r w:rsidRPr="00741D8F">
              <w:rPr>
                <w:rFonts w:ascii="Arial" w:eastAsia="MS Mincho" w:hAnsi="Arial" w:cs="Arial"/>
                <w:bCs/>
                <w:i/>
                <w:iCs/>
              </w:rPr>
              <w:t>ARFCN-</w:t>
            </w:r>
            <w:proofErr w:type="spellStart"/>
            <w:r w:rsidRPr="00741D8F">
              <w:rPr>
                <w:rFonts w:ascii="Arial" w:eastAsia="MS Mincho" w:hAnsi="Arial" w:cs="Arial"/>
                <w:bCs/>
                <w:i/>
                <w:iCs/>
              </w:rPr>
              <w:t>ValueNR</w:t>
            </w:r>
            <w:proofErr w:type="spellEnd"/>
            <w:r>
              <w:rPr>
                <w:rFonts w:ascii="Arial" w:eastAsia="MS Mincho" w:hAnsi="Arial" w:cs="Arial"/>
                <w:bCs/>
              </w:rPr>
              <w:t xml:space="preserve">).  </w:t>
            </w:r>
          </w:p>
        </w:tc>
      </w:tr>
      <w:tr w:rsidR="00736AF6" w14:paraId="4225439D" w14:textId="77777777">
        <w:tc>
          <w:tcPr>
            <w:tcW w:w="1356" w:type="dxa"/>
            <w:tcBorders>
              <w:top w:val="single" w:sz="4" w:space="0" w:color="auto"/>
              <w:left w:val="single" w:sz="4" w:space="0" w:color="auto"/>
              <w:bottom w:val="single" w:sz="4" w:space="0" w:color="auto"/>
              <w:right w:val="single" w:sz="4" w:space="0" w:color="auto"/>
            </w:tcBorders>
          </w:tcPr>
          <w:p w14:paraId="6135EC8C" w14:textId="7C157050" w:rsidR="00736AF6" w:rsidRPr="00B6406A" w:rsidRDefault="00B6406A" w:rsidP="00736AF6">
            <w:pPr>
              <w:spacing w:after="0"/>
              <w:rPr>
                <w:rFonts w:ascii="Arial" w:eastAsiaTheme="minorEastAsia" w:hAnsi="Arial" w:cs="Arial"/>
                <w:bCs/>
                <w:lang w:eastAsia="zh-CN"/>
              </w:rPr>
            </w:pPr>
            <w:r>
              <w:rPr>
                <w:rFonts w:ascii="Arial" w:eastAsiaTheme="minorEastAsia" w:hAnsi="Arial" w:cs="Arial" w:hint="eastAsia"/>
                <w:bCs/>
                <w:lang w:eastAsia="zh-CN"/>
              </w:rPr>
              <w:t>v</w:t>
            </w:r>
            <w:r>
              <w:rPr>
                <w:rFonts w:ascii="Arial" w:eastAsiaTheme="minorEastAsia" w:hAnsi="Arial" w:cs="Arial"/>
                <w:bCs/>
                <w:lang w:eastAsia="zh-CN"/>
              </w:rPr>
              <w:t>ivo</w:t>
            </w:r>
          </w:p>
        </w:tc>
        <w:tc>
          <w:tcPr>
            <w:tcW w:w="3876" w:type="dxa"/>
            <w:tcBorders>
              <w:top w:val="single" w:sz="4" w:space="0" w:color="auto"/>
              <w:left w:val="single" w:sz="4" w:space="0" w:color="auto"/>
              <w:bottom w:val="single" w:sz="4" w:space="0" w:color="auto"/>
              <w:right w:val="single" w:sz="4" w:space="0" w:color="auto"/>
            </w:tcBorders>
          </w:tcPr>
          <w:p w14:paraId="6CC0A899" w14:textId="7E569882" w:rsidR="00736AF6" w:rsidRPr="00B6406A" w:rsidRDefault="00B6406A" w:rsidP="00736AF6">
            <w:pPr>
              <w:spacing w:after="0"/>
              <w:rPr>
                <w:rFonts w:ascii="Arial" w:eastAsia="MS Mincho" w:hAnsi="Arial" w:cs="Arial"/>
                <w:bCs/>
              </w:rPr>
            </w:pPr>
            <w:r>
              <w:rPr>
                <w:rFonts w:ascii="Arial" w:eastAsiaTheme="minorEastAsia" w:hAnsi="Arial" w:cs="Arial"/>
                <w:bCs/>
                <w:lang w:eastAsia="zh-CN"/>
              </w:rPr>
              <w:t xml:space="preserve">It is </w:t>
            </w:r>
            <w:r>
              <w:rPr>
                <w:rFonts w:ascii="Arial" w:eastAsiaTheme="minorEastAsia" w:hAnsi="Arial" w:cs="Arial"/>
                <w:bCs/>
              </w:rPr>
              <w:t>a</w:t>
            </w:r>
            <w:r>
              <w:rPr>
                <w:rFonts w:ascii="Arial" w:eastAsia="MS Mincho" w:hAnsi="Arial" w:cs="Arial"/>
                <w:bCs/>
              </w:rPr>
              <w:t>pplicable for both serving and non-serving frequency.</w:t>
            </w:r>
          </w:p>
        </w:tc>
        <w:tc>
          <w:tcPr>
            <w:tcW w:w="4397" w:type="dxa"/>
            <w:tcBorders>
              <w:top w:val="single" w:sz="4" w:space="0" w:color="auto"/>
              <w:left w:val="single" w:sz="4" w:space="0" w:color="auto"/>
              <w:bottom w:val="single" w:sz="4" w:space="0" w:color="auto"/>
              <w:right w:val="single" w:sz="4" w:space="0" w:color="auto"/>
            </w:tcBorders>
          </w:tcPr>
          <w:p w14:paraId="3610EB72" w14:textId="29C768B8" w:rsidR="00736AF6" w:rsidRPr="00B340EE" w:rsidRDefault="00B340EE" w:rsidP="00684B1B">
            <w:pPr>
              <w:spacing w:after="0"/>
              <w:jc w:val="both"/>
              <w:rPr>
                <w:rFonts w:ascii="Arial" w:eastAsiaTheme="minorEastAsia" w:hAnsi="Arial" w:cs="Arial"/>
                <w:bCs/>
                <w:lang w:eastAsia="zh-CN"/>
              </w:rPr>
            </w:pPr>
            <w:r>
              <w:rPr>
                <w:rFonts w:ascii="Arial" w:eastAsiaTheme="minorEastAsia" w:hAnsi="Arial" w:cs="Arial" w:hint="eastAsia"/>
                <w:bCs/>
                <w:lang w:eastAsia="zh-CN"/>
              </w:rPr>
              <w:t>C</w:t>
            </w:r>
            <w:r>
              <w:rPr>
                <w:rFonts w:ascii="Arial" w:eastAsiaTheme="minorEastAsia" w:hAnsi="Arial" w:cs="Arial"/>
                <w:bCs/>
                <w:lang w:eastAsia="zh-CN"/>
              </w:rPr>
              <w:t xml:space="preserve">ompared with BWP based solution, </w:t>
            </w:r>
            <w:r>
              <w:rPr>
                <w:rFonts w:ascii="Arial" w:hAnsi="Arial" w:cs="Arial" w:hint="eastAsia"/>
                <w:bCs/>
                <w:lang w:val="en-US" w:eastAsia="zh-CN"/>
              </w:rPr>
              <w:t>more signaling overhead</w:t>
            </w:r>
            <w:r w:rsidR="00684B1B">
              <w:rPr>
                <w:rFonts w:ascii="Arial" w:hAnsi="Arial" w:cs="Arial"/>
                <w:bCs/>
                <w:lang w:val="en-US" w:eastAsia="zh-CN"/>
              </w:rPr>
              <w:t xml:space="preserve"> is needed</w:t>
            </w:r>
            <w:r>
              <w:rPr>
                <w:rFonts w:ascii="Arial" w:hAnsi="Arial" w:cs="Arial"/>
                <w:bCs/>
                <w:lang w:val="en-US" w:eastAsia="zh-CN"/>
              </w:rPr>
              <w:t xml:space="preserve"> especially for serving frequency case.</w:t>
            </w:r>
            <w:r w:rsidR="00AA231F">
              <w:rPr>
                <w:rFonts w:ascii="Arial" w:hAnsi="Arial" w:cs="Arial"/>
                <w:bCs/>
                <w:lang w:val="en-US" w:eastAsia="zh-CN"/>
              </w:rPr>
              <w:t xml:space="preserve"> Spe</w:t>
            </w:r>
            <w:r w:rsidR="00684B1B">
              <w:rPr>
                <w:rFonts w:ascii="Arial" w:hAnsi="Arial" w:cs="Arial"/>
                <w:bCs/>
                <w:lang w:val="en-US" w:eastAsia="zh-CN"/>
              </w:rPr>
              <w:t xml:space="preserve">cifically, for serving frequency, </w:t>
            </w:r>
            <w:r w:rsidR="00684B1B">
              <w:rPr>
                <w:rFonts w:ascii="Arial" w:eastAsia="MS Mincho" w:hAnsi="Arial" w:cs="Arial"/>
                <w:bCs/>
              </w:rPr>
              <w:t>affected part of serving frequency</w:t>
            </w:r>
            <w:r w:rsidR="00684B1B">
              <w:rPr>
                <w:rFonts w:ascii="Arial" w:hAnsi="Arial" w:cs="Arial"/>
                <w:bCs/>
                <w:lang w:val="en-US" w:eastAsia="zh-CN"/>
              </w:rPr>
              <w:t xml:space="preserve"> can be indicated by cell ID and BWP ID, whose overhead is far less than the solution which is indicated by frequency info.</w:t>
            </w:r>
          </w:p>
        </w:tc>
      </w:tr>
    </w:tbl>
    <w:p w14:paraId="2A9FB7A7" w14:textId="77777777" w:rsidR="007159BE" w:rsidRDefault="007159BE">
      <w:pPr>
        <w:rPr>
          <w:rFonts w:ascii="Arial" w:hAnsi="Arial"/>
          <w:lang w:eastAsia="zh-CN"/>
        </w:rPr>
      </w:pPr>
    </w:p>
    <w:p w14:paraId="4C553E6F" w14:textId="77777777" w:rsidR="007159BE" w:rsidRDefault="007D3121">
      <w:pPr>
        <w:rPr>
          <w:rFonts w:ascii="Arial" w:hAnsi="Arial"/>
          <w:lang w:eastAsia="zh-CN"/>
        </w:rPr>
      </w:pPr>
      <w:r>
        <w:rPr>
          <w:rFonts w:ascii="Arial" w:hAnsi="Arial"/>
          <w:lang w:eastAsia="zh-CN"/>
        </w:rPr>
        <w:t>Option 3 is:</w:t>
      </w:r>
    </w:p>
    <w:p w14:paraId="7D490E13" w14:textId="77777777" w:rsidR="007159BE" w:rsidRDefault="007D3121">
      <w:pPr>
        <w:ind w:left="426" w:right="850"/>
        <w:rPr>
          <w:rFonts w:ascii="Arial" w:hAnsi="Arial"/>
          <w:lang w:eastAsia="zh-CN"/>
        </w:rPr>
      </w:pPr>
      <w:r>
        <w:rPr>
          <w:rFonts w:ascii="Arial" w:hAnsi="Arial"/>
          <w:b/>
          <w:bCs/>
          <w:lang w:eastAsia="zh-CN"/>
        </w:rPr>
        <w:lastRenderedPageBreak/>
        <w:t>Option 3</w:t>
      </w:r>
      <w:r>
        <w:rPr>
          <w:rFonts w:ascii="Arial" w:hAnsi="Arial"/>
          <w:lang w:eastAsia="zh-CN"/>
        </w:rPr>
        <w:t xml:space="preserve">: BWP-based reporting using BWP ID (5/14 serving frequency only , 2/14 for both serving and </w:t>
      </w:r>
      <w:proofErr w:type="spellStart"/>
      <w:r>
        <w:rPr>
          <w:rFonts w:ascii="Arial" w:hAnsi="Arial"/>
          <w:lang w:eastAsia="zh-CN"/>
        </w:rPr>
        <w:t>non serving</w:t>
      </w:r>
      <w:proofErr w:type="spellEnd"/>
      <w:r>
        <w:rPr>
          <w:rFonts w:ascii="Arial" w:hAnsi="Arial"/>
          <w:lang w:eastAsia="zh-CN"/>
        </w:rPr>
        <w:t xml:space="preserve"> frequency) </w:t>
      </w:r>
      <w:r>
        <w:rPr>
          <w:rFonts w:ascii="Arial" w:eastAsia="Malgun Gothic" w:hAnsi="Arial" w:cs="Arial"/>
          <w:lang w:val="en-US" w:eastAsia="ko-KR"/>
        </w:rPr>
        <w:t>[1], [6], [7], [10], [12], [13].</w:t>
      </w:r>
    </w:p>
    <w:p w14:paraId="76ADE25D" w14:textId="77777777" w:rsidR="007159BE" w:rsidRDefault="007D3121">
      <w:pPr>
        <w:rPr>
          <w:rFonts w:ascii="Arial" w:hAnsi="Arial"/>
          <w:b/>
          <w:bCs/>
          <w:lang w:eastAsia="zh-CN"/>
        </w:rPr>
      </w:pPr>
      <w:r>
        <w:rPr>
          <w:rFonts w:ascii="Arial" w:hAnsi="Arial"/>
          <w:b/>
          <w:bCs/>
          <w:lang w:eastAsia="zh-CN"/>
        </w:rPr>
        <w:t>Q5: What are technical benefits and drawbacks of solution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3876"/>
        <w:gridCol w:w="4397"/>
      </w:tblGrid>
      <w:tr w:rsidR="007159BE" w14:paraId="032C161C" w14:textId="77777777">
        <w:tc>
          <w:tcPr>
            <w:tcW w:w="1356" w:type="dxa"/>
            <w:tcBorders>
              <w:top w:val="single" w:sz="4" w:space="0" w:color="auto"/>
              <w:left w:val="single" w:sz="4" w:space="0" w:color="auto"/>
              <w:bottom w:val="single" w:sz="4" w:space="0" w:color="auto"/>
              <w:right w:val="single" w:sz="4" w:space="0" w:color="auto"/>
            </w:tcBorders>
            <w:shd w:val="clear" w:color="auto" w:fill="D9D9D9"/>
          </w:tcPr>
          <w:p w14:paraId="07D2068B" w14:textId="77777777" w:rsidR="007159BE" w:rsidRDefault="007D3121">
            <w:pPr>
              <w:spacing w:after="0"/>
              <w:rPr>
                <w:rFonts w:ascii="Arial" w:hAnsi="Arial" w:cs="Arial"/>
                <w:b/>
                <w:bCs/>
                <w:lang w:eastAsia="zh-CN"/>
              </w:rPr>
            </w:pPr>
            <w:r>
              <w:rPr>
                <w:rFonts w:ascii="Arial" w:hAnsi="Arial" w:cs="Arial"/>
                <w:b/>
                <w:bCs/>
                <w:lang w:eastAsia="zh-CN"/>
              </w:rPr>
              <w:t>Company</w:t>
            </w:r>
          </w:p>
        </w:tc>
        <w:tc>
          <w:tcPr>
            <w:tcW w:w="3876" w:type="dxa"/>
            <w:tcBorders>
              <w:top w:val="single" w:sz="4" w:space="0" w:color="auto"/>
              <w:left w:val="single" w:sz="4" w:space="0" w:color="auto"/>
              <w:bottom w:val="single" w:sz="4" w:space="0" w:color="auto"/>
              <w:right w:val="single" w:sz="4" w:space="0" w:color="auto"/>
            </w:tcBorders>
            <w:shd w:val="clear" w:color="auto" w:fill="D9D9D9"/>
          </w:tcPr>
          <w:p w14:paraId="1F51C69C" w14:textId="77777777" w:rsidR="007159BE" w:rsidRDefault="007D3121">
            <w:pPr>
              <w:spacing w:after="0"/>
              <w:rPr>
                <w:rFonts w:ascii="Arial" w:hAnsi="Arial" w:cs="Arial"/>
                <w:b/>
                <w:bCs/>
                <w:lang w:eastAsia="zh-CN"/>
              </w:rPr>
            </w:pPr>
            <w:r>
              <w:rPr>
                <w:rFonts w:ascii="Arial" w:hAnsi="Arial" w:cs="Arial"/>
                <w:b/>
                <w:bCs/>
                <w:lang w:eastAsia="zh-CN"/>
              </w:rPr>
              <w:t>Benefits</w:t>
            </w:r>
          </w:p>
        </w:tc>
        <w:tc>
          <w:tcPr>
            <w:tcW w:w="4397" w:type="dxa"/>
            <w:tcBorders>
              <w:top w:val="single" w:sz="4" w:space="0" w:color="auto"/>
              <w:left w:val="single" w:sz="4" w:space="0" w:color="auto"/>
              <w:bottom w:val="single" w:sz="4" w:space="0" w:color="auto"/>
              <w:right w:val="single" w:sz="4" w:space="0" w:color="auto"/>
            </w:tcBorders>
            <w:shd w:val="clear" w:color="auto" w:fill="D9D9D9"/>
          </w:tcPr>
          <w:p w14:paraId="1F3D066C" w14:textId="77777777" w:rsidR="007159BE" w:rsidRDefault="007D3121">
            <w:pPr>
              <w:spacing w:after="0"/>
              <w:rPr>
                <w:rFonts w:ascii="Arial" w:hAnsi="Arial" w:cs="Arial"/>
                <w:b/>
                <w:bCs/>
                <w:lang w:eastAsia="zh-CN"/>
              </w:rPr>
            </w:pPr>
            <w:r>
              <w:rPr>
                <w:rFonts w:ascii="Arial" w:hAnsi="Arial" w:cs="Arial"/>
                <w:b/>
                <w:bCs/>
                <w:lang w:eastAsia="zh-CN"/>
              </w:rPr>
              <w:t>Drawbacks</w:t>
            </w:r>
          </w:p>
        </w:tc>
      </w:tr>
      <w:tr w:rsidR="007159BE" w14:paraId="46009F15" w14:textId="77777777">
        <w:tc>
          <w:tcPr>
            <w:tcW w:w="1356" w:type="dxa"/>
            <w:tcBorders>
              <w:top w:val="single" w:sz="4" w:space="0" w:color="auto"/>
              <w:left w:val="single" w:sz="4" w:space="0" w:color="auto"/>
              <w:bottom w:val="single" w:sz="4" w:space="0" w:color="auto"/>
              <w:right w:val="single" w:sz="4" w:space="0" w:color="auto"/>
            </w:tcBorders>
          </w:tcPr>
          <w:p w14:paraId="4D58DE7A" w14:textId="77777777" w:rsidR="007159BE" w:rsidRDefault="007D3121">
            <w:pPr>
              <w:spacing w:after="0"/>
              <w:rPr>
                <w:rFonts w:ascii="Arial" w:eastAsia="MS Mincho" w:hAnsi="Arial" w:cs="Arial"/>
                <w:bCs/>
              </w:rPr>
            </w:pPr>
            <w:r>
              <w:rPr>
                <w:rFonts w:ascii="Arial" w:eastAsia="MS Mincho" w:hAnsi="Arial" w:cs="Arial"/>
                <w:bCs/>
              </w:rPr>
              <w:t>Nokia</w:t>
            </w:r>
          </w:p>
        </w:tc>
        <w:tc>
          <w:tcPr>
            <w:tcW w:w="3876" w:type="dxa"/>
            <w:tcBorders>
              <w:top w:val="single" w:sz="4" w:space="0" w:color="auto"/>
              <w:left w:val="single" w:sz="4" w:space="0" w:color="auto"/>
              <w:bottom w:val="single" w:sz="4" w:space="0" w:color="auto"/>
              <w:right w:val="single" w:sz="4" w:space="0" w:color="auto"/>
            </w:tcBorders>
          </w:tcPr>
          <w:p w14:paraId="655BD1E7" w14:textId="77777777" w:rsidR="007159BE" w:rsidRDefault="007D3121">
            <w:pPr>
              <w:spacing w:after="0"/>
              <w:rPr>
                <w:rFonts w:ascii="Arial" w:eastAsia="MS Mincho" w:hAnsi="Arial" w:cs="Arial"/>
                <w:bCs/>
              </w:rPr>
            </w:pPr>
            <w:r>
              <w:rPr>
                <w:rFonts w:ascii="Arial" w:eastAsia="MS Mincho" w:hAnsi="Arial" w:cs="Arial"/>
                <w:bCs/>
              </w:rPr>
              <w:t xml:space="preserve">Maybe smaller </w:t>
            </w:r>
            <w:proofErr w:type="spellStart"/>
            <w:r>
              <w:rPr>
                <w:rFonts w:ascii="Arial" w:eastAsia="MS Mincho" w:hAnsi="Arial" w:cs="Arial"/>
                <w:bCs/>
              </w:rPr>
              <w:t>signaling</w:t>
            </w:r>
            <w:proofErr w:type="spellEnd"/>
            <w:r>
              <w:rPr>
                <w:rFonts w:ascii="Arial" w:eastAsia="MS Mincho" w:hAnsi="Arial" w:cs="Arial"/>
                <w:bCs/>
              </w:rPr>
              <w:t xml:space="preserve"> from UE to NW (but more </w:t>
            </w:r>
            <w:proofErr w:type="spellStart"/>
            <w:r>
              <w:rPr>
                <w:rFonts w:ascii="Arial" w:eastAsia="MS Mincho" w:hAnsi="Arial" w:cs="Arial"/>
                <w:bCs/>
              </w:rPr>
              <w:t>signaling</w:t>
            </w:r>
            <w:proofErr w:type="spellEnd"/>
            <w:r>
              <w:rPr>
                <w:rFonts w:ascii="Arial" w:eastAsia="MS Mincho" w:hAnsi="Arial" w:cs="Arial"/>
                <w:bCs/>
              </w:rPr>
              <w:t xml:space="preserve"> from NW to UE)</w:t>
            </w:r>
          </w:p>
          <w:p w14:paraId="0E9064C3" w14:textId="77777777" w:rsidR="007159BE" w:rsidRDefault="007159BE">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54763826" w14:textId="77777777" w:rsidR="007159BE" w:rsidRDefault="007D3121">
            <w:pPr>
              <w:spacing w:after="0"/>
              <w:rPr>
                <w:rFonts w:ascii="Arial" w:eastAsia="MS Mincho" w:hAnsi="Arial" w:cs="Arial"/>
                <w:bCs/>
              </w:rPr>
            </w:pPr>
            <w:r>
              <w:rPr>
                <w:rFonts w:ascii="Arial" w:eastAsia="MS Mincho" w:hAnsi="Arial" w:cs="Arial"/>
                <w:bCs/>
              </w:rPr>
              <w:t xml:space="preserve">UE needs to be configured with multiple BWPs and somehow also for non-serving cells – in fact it was not clear how this solution would work for non-serving cells? And if this is based on NW indicating candidate BWPs why would we consider such a solution if UE could indicate actual impacted parts of frequency directly without needing NW to add some additional information which parts of frequency it is interested in? Likely only reason would be possibly reduced </w:t>
            </w:r>
            <w:proofErr w:type="spellStart"/>
            <w:r>
              <w:rPr>
                <w:rFonts w:ascii="Arial" w:eastAsia="MS Mincho" w:hAnsi="Arial" w:cs="Arial"/>
                <w:bCs/>
              </w:rPr>
              <w:t>signaling</w:t>
            </w:r>
            <w:proofErr w:type="spellEnd"/>
            <w:r>
              <w:rPr>
                <w:rFonts w:ascii="Arial" w:eastAsia="MS Mincho" w:hAnsi="Arial" w:cs="Arial"/>
                <w:bCs/>
              </w:rPr>
              <w:t xml:space="preserve"> from UE to NW?</w:t>
            </w:r>
          </w:p>
          <w:p w14:paraId="5654E331" w14:textId="77777777" w:rsidR="007159BE" w:rsidRDefault="007159BE">
            <w:pPr>
              <w:spacing w:after="0"/>
              <w:rPr>
                <w:rFonts w:ascii="Arial" w:eastAsia="MS Mincho" w:hAnsi="Arial" w:cs="Arial"/>
                <w:bCs/>
              </w:rPr>
            </w:pPr>
          </w:p>
          <w:p w14:paraId="119CC364" w14:textId="77777777" w:rsidR="007159BE" w:rsidRDefault="007D3121">
            <w:pPr>
              <w:spacing w:after="0"/>
              <w:rPr>
                <w:rFonts w:ascii="Arial" w:eastAsia="MS Mincho" w:hAnsi="Arial" w:cs="Arial"/>
                <w:bCs/>
              </w:rPr>
            </w:pPr>
            <w:r>
              <w:rPr>
                <w:rFonts w:ascii="Arial" w:eastAsia="MS Mincho" w:hAnsi="Arial" w:cs="Arial"/>
                <w:bCs/>
              </w:rPr>
              <w:t>This seems to be very limited in granularity i.e. UEs would not have any means to indicated precisely what are affected parts</w:t>
            </w:r>
          </w:p>
        </w:tc>
      </w:tr>
      <w:tr w:rsidR="007159BE" w14:paraId="66B0C48E" w14:textId="77777777">
        <w:tc>
          <w:tcPr>
            <w:tcW w:w="1356" w:type="dxa"/>
            <w:tcBorders>
              <w:top w:val="single" w:sz="4" w:space="0" w:color="auto"/>
              <w:left w:val="single" w:sz="4" w:space="0" w:color="auto"/>
              <w:bottom w:val="single" w:sz="4" w:space="0" w:color="auto"/>
              <w:right w:val="single" w:sz="4" w:space="0" w:color="auto"/>
            </w:tcBorders>
          </w:tcPr>
          <w:p w14:paraId="20E3B49C" w14:textId="77777777" w:rsidR="007159BE" w:rsidRDefault="007D3121">
            <w:pPr>
              <w:spacing w:after="0"/>
              <w:rPr>
                <w:rFonts w:ascii="Arial" w:eastAsia="MS Mincho" w:hAnsi="Arial" w:cs="Arial"/>
                <w:bCs/>
              </w:rPr>
            </w:pPr>
            <w:r>
              <w:rPr>
                <w:rFonts w:ascii="Arial" w:eastAsia="MS Mincho" w:hAnsi="Arial" w:cs="Arial"/>
                <w:bCs/>
              </w:rPr>
              <w:t>Xiaomi</w:t>
            </w:r>
          </w:p>
        </w:tc>
        <w:tc>
          <w:tcPr>
            <w:tcW w:w="3876" w:type="dxa"/>
            <w:tcBorders>
              <w:top w:val="single" w:sz="4" w:space="0" w:color="auto"/>
              <w:left w:val="single" w:sz="4" w:space="0" w:color="auto"/>
              <w:bottom w:val="single" w:sz="4" w:space="0" w:color="auto"/>
              <w:right w:val="single" w:sz="4" w:space="0" w:color="auto"/>
            </w:tcBorders>
          </w:tcPr>
          <w:p w14:paraId="5A947F31" w14:textId="77777777" w:rsidR="007159BE" w:rsidRDefault="007D3121">
            <w:pPr>
              <w:spacing w:after="0"/>
              <w:rPr>
                <w:rFonts w:ascii="Arial" w:eastAsia="MS Mincho" w:hAnsi="Arial" w:cs="Arial"/>
                <w:bCs/>
              </w:rPr>
            </w:pPr>
            <w:r>
              <w:rPr>
                <w:rFonts w:ascii="Arial" w:eastAsia="MS Mincho" w:hAnsi="Arial" w:cs="Arial"/>
                <w:bCs/>
              </w:rPr>
              <w:t>Less signalling overheads compared with Option 1/2/2a</w:t>
            </w:r>
          </w:p>
        </w:tc>
        <w:tc>
          <w:tcPr>
            <w:tcW w:w="4397" w:type="dxa"/>
            <w:tcBorders>
              <w:top w:val="single" w:sz="4" w:space="0" w:color="auto"/>
              <w:left w:val="single" w:sz="4" w:space="0" w:color="auto"/>
              <w:bottom w:val="single" w:sz="4" w:space="0" w:color="auto"/>
              <w:right w:val="single" w:sz="4" w:space="0" w:color="auto"/>
            </w:tcBorders>
          </w:tcPr>
          <w:p w14:paraId="0DE04F53" w14:textId="77777777" w:rsidR="007159BE" w:rsidRDefault="007D3121">
            <w:pPr>
              <w:spacing w:after="0"/>
              <w:rPr>
                <w:rFonts w:ascii="Arial" w:eastAsia="MS Mincho" w:hAnsi="Arial" w:cs="Arial"/>
                <w:bCs/>
              </w:rPr>
            </w:pPr>
            <w:r>
              <w:rPr>
                <w:rFonts w:ascii="Arial" w:eastAsia="MS Mincho" w:hAnsi="Arial" w:cs="Arial"/>
                <w:bCs/>
              </w:rPr>
              <w:t>It is not clear how this Option is applicable for EN-DC or NR-DC, as the LTE</w:t>
            </w:r>
            <w:r>
              <w:rPr>
                <w:rFonts w:ascii="Arial" w:eastAsiaTheme="minorEastAsia" w:hAnsi="Arial" w:cs="Arial" w:hint="eastAsia"/>
                <w:bCs/>
                <w:lang w:eastAsia="zh-CN"/>
              </w:rPr>
              <w:t>/</w:t>
            </w:r>
            <w:r>
              <w:rPr>
                <w:rFonts w:ascii="Arial" w:eastAsiaTheme="minorEastAsia" w:hAnsi="Arial" w:cs="Arial"/>
                <w:bCs/>
                <w:lang w:eastAsia="zh-CN"/>
              </w:rPr>
              <w:t>NR</w:t>
            </w:r>
            <w:r>
              <w:rPr>
                <w:rFonts w:ascii="Arial" w:eastAsia="MS Mincho" w:hAnsi="Arial" w:cs="Arial"/>
                <w:bCs/>
              </w:rPr>
              <w:t xml:space="preserve"> MN is not able to know the affected SCG BWP.</w:t>
            </w:r>
          </w:p>
          <w:p w14:paraId="714FD26E" w14:textId="77777777" w:rsidR="007159BE" w:rsidRDefault="007D3121">
            <w:pPr>
              <w:spacing w:after="0"/>
              <w:rPr>
                <w:rFonts w:ascii="Arial" w:eastAsia="MS Mincho" w:hAnsi="Arial" w:cs="Arial"/>
                <w:bCs/>
              </w:rPr>
            </w:pPr>
            <w:r>
              <w:rPr>
                <w:rFonts w:ascii="Arial" w:eastAsia="MS Mincho" w:hAnsi="Arial" w:cs="Arial"/>
                <w:bCs/>
              </w:rPr>
              <w:t>It is not clear how this Option is applicable for non-serving frequency, as the non-serving has no BWP configuration.</w:t>
            </w:r>
          </w:p>
          <w:p w14:paraId="1E48B768" w14:textId="77777777" w:rsidR="007159BE" w:rsidRDefault="007D3121">
            <w:pPr>
              <w:spacing w:after="0"/>
              <w:rPr>
                <w:rFonts w:ascii="Arial" w:eastAsia="MS Mincho" w:hAnsi="Arial" w:cs="Arial"/>
                <w:bCs/>
              </w:rPr>
            </w:pPr>
            <w:r>
              <w:rPr>
                <w:rFonts w:ascii="Arial" w:eastAsia="MS Mincho" w:hAnsi="Arial" w:cs="Arial"/>
                <w:bCs/>
              </w:rPr>
              <w:t>The granularity of reporting BWP depending on the bandwidth of each BWP configuration may not be sufficient when the BWP bandwidth is large.</w:t>
            </w:r>
          </w:p>
        </w:tc>
      </w:tr>
      <w:tr w:rsidR="007159BE" w14:paraId="43337920" w14:textId="77777777">
        <w:tc>
          <w:tcPr>
            <w:tcW w:w="1356" w:type="dxa"/>
            <w:tcBorders>
              <w:top w:val="single" w:sz="4" w:space="0" w:color="auto"/>
              <w:left w:val="single" w:sz="4" w:space="0" w:color="auto"/>
              <w:bottom w:val="single" w:sz="4" w:space="0" w:color="auto"/>
              <w:right w:val="single" w:sz="4" w:space="0" w:color="auto"/>
            </w:tcBorders>
          </w:tcPr>
          <w:p w14:paraId="26716922" w14:textId="77777777" w:rsidR="007159BE" w:rsidRDefault="007D3121">
            <w:pPr>
              <w:spacing w:after="0"/>
              <w:rPr>
                <w:rFonts w:ascii="Arial" w:eastAsia="MS Mincho" w:hAnsi="Arial" w:cs="Arial"/>
                <w:bCs/>
              </w:rPr>
            </w:pPr>
            <w:r>
              <w:rPr>
                <w:rFonts w:ascii="Arial" w:eastAsia="MS Mincho" w:hAnsi="Arial" w:cs="Arial"/>
                <w:bCs/>
              </w:rPr>
              <w:t>OPPO</w:t>
            </w:r>
          </w:p>
        </w:tc>
        <w:tc>
          <w:tcPr>
            <w:tcW w:w="3876" w:type="dxa"/>
            <w:tcBorders>
              <w:top w:val="single" w:sz="4" w:space="0" w:color="auto"/>
              <w:left w:val="single" w:sz="4" w:space="0" w:color="auto"/>
              <w:bottom w:val="single" w:sz="4" w:space="0" w:color="auto"/>
              <w:right w:val="single" w:sz="4" w:space="0" w:color="auto"/>
            </w:tcBorders>
          </w:tcPr>
          <w:p w14:paraId="67DB0641" w14:textId="77777777" w:rsidR="007159BE" w:rsidRPr="00B23851" w:rsidRDefault="007D3121">
            <w:pPr>
              <w:pStyle w:val="aff4"/>
              <w:numPr>
                <w:ilvl w:val="0"/>
                <w:numId w:val="15"/>
              </w:numPr>
              <w:rPr>
                <w:rFonts w:ascii="Arial" w:eastAsia="MS Mincho" w:hAnsi="Arial" w:cs="Arial"/>
                <w:bCs/>
                <w:lang w:val="en-US"/>
              </w:rPr>
            </w:pPr>
            <w:r w:rsidRPr="00B23851">
              <w:rPr>
                <w:rFonts w:ascii="Arial" w:eastAsia="MS Mincho" w:hAnsi="Arial" w:cs="Arial"/>
                <w:bCs/>
                <w:lang w:val="en-US"/>
              </w:rPr>
              <w:t xml:space="preserve">If we only consider enhancement for serving frequency, it doesn’t need more </w:t>
            </w:r>
            <w:proofErr w:type="spellStart"/>
            <w:r w:rsidRPr="00B23851">
              <w:rPr>
                <w:rFonts w:ascii="Arial" w:eastAsia="MS Mincho" w:hAnsi="Arial" w:cs="Arial"/>
                <w:bCs/>
                <w:lang w:val="en-US"/>
              </w:rPr>
              <w:t>signalling</w:t>
            </w:r>
            <w:proofErr w:type="spellEnd"/>
            <w:r w:rsidRPr="00B23851">
              <w:rPr>
                <w:rFonts w:ascii="Arial" w:eastAsia="MS Mincho" w:hAnsi="Arial" w:cs="Arial"/>
                <w:bCs/>
                <w:lang w:val="en-US"/>
              </w:rPr>
              <w:t xml:space="preserve"> from NW to UE, and UE just needs to report the BWP ID.</w:t>
            </w:r>
          </w:p>
          <w:p w14:paraId="588BE1B3" w14:textId="77777777" w:rsidR="007159BE" w:rsidRDefault="007159BE">
            <w:pPr>
              <w:spacing w:after="0"/>
              <w:rPr>
                <w:rFonts w:ascii="Arial" w:eastAsia="MS Mincho" w:hAnsi="Arial" w:cs="Arial"/>
                <w:bCs/>
              </w:rPr>
            </w:pPr>
          </w:p>
          <w:p w14:paraId="095E740F" w14:textId="77777777" w:rsidR="007159BE" w:rsidRDefault="007159BE">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079729BC" w14:textId="77777777" w:rsidR="007159BE" w:rsidRPr="00B23851" w:rsidRDefault="007D3121">
            <w:pPr>
              <w:pStyle w:val="aff4"/>
              <w:numPr>
                <w:ilvl w:val="0"/>
                <w:numId w:val="15"/>
              </w:numPr>
              <w:rPr>
                <w:rFonts w:ascii="Arial" w:eastAsia="MS Mincho" w:hAnsi="Arial" w:cs="Arial"/>
                <w:bCs/>
                <w:lang w:val="en-US"/>
              </w:rPr>
            </w:pPr>
            <w:r w:rsidRPr="00B23851">
              <w:rPr>
                <w:rFonts w:ascii="Arial" w:eastAsia="MS Mincho" w:hAnsi="Arial" w:cs="Arial"/>
                <w:bCs/>
                <w:lang w:val="en-US"/>
              </w:rPr>
              <w:t xml:space="preserve">It is not straightforward for non-serving frequency or non-serving cells. But whether this drawback exists depends on whether we need enhancement on granularity for these scenarios really. </w:t>
            </w:r>
          </w:p>
          <w:p w14:paraId="4D28D34F" w14:textId="77777777" w:rsidR="007159BE" w:rsidRDefault="007D3121">
            <w:pPr>
              <w:pStyle w:val="aff4"/>
              <w:numPr>
                <w:ilvl w:val="0"/>
                <w:numId w:val="15"/>
              </w:numPr>
              <w:rPr>
                <w:rFonts w:ascii="Arial" w:eastAsia="MS Mincho" w:hAnsi="Arial" w:cs="Arial"/>
                <w:bCs/>
              </w:rPr>
            </w:pPr>
            <w:r>
              <w:rPr>
                <w:rFonts w:ascii="Arial" w:eastAsiaTheme="minorEastAsia" w:hAnsi="Arial" w:cs="Arial" w:hint="eastAsia"/>
                <w:bCs/>
                <w:lang w:eastAsia="zh-CN"/>
              </w:rPr>
              <w:t>L</w:t>
            </w:r>
            <w:r>
              <w:rPr>
                <w:rFonts w:ascii="Arial" w:eastAsiaTheme="minorEastAsia" w:hAnsi="Arial" w:cs="Arial"/>
                <w:bCs/>
                <w:lang w:eastAsia="zh-CN"/>
              </w:rPr>
              <w:t>ess granularity?</w:t>
            </w:r>
          </w:p>
          <w:p w14:paraId="323F5883" w14:textId="77777777" w:rsidR="007159BE" w:rsidRDefault="007159BE">
            <w:pPr>
              <w:spacing w:after="0"/>
              <w:rPr>
                <w:rFonts w:ascii="Arial" w:eastAsiaTheme="minorEastAsia" w:hAnsi="Arial" w:cs="Arial"/>
                <w:bCs/>
                <w:lang w:eastAsia="zh-CN"/>
              </w:rPr>
            </w:pPr>
          </w:p>
        </w:tc>
      </w:tr>
      <w:tr w:rsidR="007159BE" w14:paraId="121CE83E" w14:textId="77777777">
        <w:tc>
          <w:tcPr>
            <w:tcW w:w="1356" w:type="dxa"/>
            <w:tcBorders>
              <w:top w:val="single" w:sz="4" w:space="0" w:color="auto"/>
              <w:left w:val="single" w:sz="4" w:space="0" w:color="auto"/>
              <w:bottom w:val="single" w:sz="4" w:space="0" w:color="auto"/>
              <w:right w:val="single" w:sz="4" w:space="0" w:color="auto"/>
            </w:tcBorders>
          </w:tcPr>
          <w:p w14:paraId="28BA8ACE" w14:textId="77777777" w:rsidR="007159BE" w:rsidRDefault="007D3121">
            <w:pPr>
              <w:spacing w:after="0"/>
              <w:rPr>
                <w:rFonts w:ascii="Arial" w:eastAsia="MS Mincho" w:hAnsi="Arial" w:cs="Arial"/>
                <w:bCs/>
              </w:rPr>
            </w:pPr>
            <w:r>
              <w:rPr>
                <w:rFonts w:ascii="Arial" w:eastAsia="MS Mincho" w:hAnsi="Arial" w:cs="Arial"/>
                <w:bCs/>
              </w:rPr>
              <w:t>Qualcomm</w:t>
            </w:r>
          </w:p>
        </w:tc>
        <w:tc>
          <w:tcPr>
            <w:tcW w:w="3876" w:type="dxa"/>
            <w:tcBorders>
              <w:top w:val="single" w:sz="4" w:space="0" w:color="auto"/>
              <w:left w:val="single" w:sz="4" w:space="0" w:color="auto"/>
              <w:bottom w:val="single" w:sz="4" w:space="0" w:color="auto"/>
              <w:right w:val="single" w:sz="4" w:space="0" w:color="auto"/>
            </w:tcBorders>
          </w:tcPr>
          <w:p w14:paraId="176BD3EF" w14:textId="77777777" w:rsidR="007159BE" w:rsidRDefault="007D3121">
            <w:pPr>
              <w:spacing w:after="0"/>
              <w:rPr>
                <w:rFonts w:ascii="Arial" w:eastAsia="MS Mincho" w:hAnsi="Arial" w:cs="Arial"/>
                <w:bCs/>
              </w:rPr>
            </w:pPr>
            <w:r>
              <w:rPr>
                <w:rFonts w:ascii="Arial" w:eastAsia="MS Mincho" w:hAnsi="Arial" w:cs="Arial"/>
                <w:bCs/>
              </w:rPr>
              <w:t xml:space="preserve">Changing BWP happens via L1, so both the reporting and the solution overhead are very low compared to option 1/2/2a which makes it a more realistic option for adoption. </w:t>
            </w:r>
          </w:p>
          <w:p w14:paraId="1EAE3C29" w14:textId="77777777" w:rsidR="007159BE" w:rsidRDefault="007159BE">
            <w:pPr>
              <w:spacing w:after="0"/>
              <w:rPr>
                <w:rFonts w:ascii="Arial" w:eastAsia="MS Mincho" w:hAnsi="Arial" w:cs="Arial"/>
                <w:bCs/>
              </w:rPr>
            </w:pPr>
          </w:p>
          <w:p w14:paraId="1D46BD8C" w14:textId="77777777" w:rsidR="007159BE" w:rsidRDefault="007D3121">
            <w:pPr>
              <w:spacing w:after="0"/>
              <w:rPr>
                <w:rFonts w:ascii="Arial" w:eastAsia="MS Mincho" w:hAnsi="Arial" w:cs="Arial"/>
                <w:bCs/>
              </w:rPr>
            </w:pPr>
            <w:r>
              <w:rPr>
                <w:rFonts w:ascii="Arial" w:eastAsia="MS Mincho" w:hAnsi="Arial" w:cs="Arial"/>
                <w:bCs/>
              </w:rPr>
              <w:t xml:space="preserve">Offers an intermediate flexibility of reporting between the whole band and the individual PRB extremes. </w:t>
            </w:r>
          </w:p>
          <w:p w14:paraId="3DE276BB" w14:textId="77777777" w:rsidR="007159BE" w:rsidRDefault="007159BE">
            <w:pPr>
              <w:spacing w:after="0"/>
              <w:rPr>
                <w:rFonts w:ascii="Arial" w:eastAsia="MS Mincho" w:hAnsi="Arial" w:cs="Arial"/>
                <w:bCs/>
              </w:rPr>
            </w:pPr>
          </w:p>
          <w:p w14:paraId="33F1B9BA" w14:textId="77777777" w:rsidR="007159BE" w:rsidRDefault="007D3121">
            <w:pPr>
              <w:spacing w:after="0"/>
              <w:rPr>
                <w:rFonts w:ascii="Arial" w:eastAsia="MS Mincho" w:hAnsi="Arial" w:cs="Arial"/>
                <w:bCs/>
              </w:rPr>
            </w:pPr>
            <w:r>
              <w:rPr>
                <w:rFonts w:ascii="Arial" w:eastAsia="MS Mincho" w:hAnsi="Arial" w:cs="Arial"/>
                <w:bCs/>
              </w:rPr>
              <w:t>We do not consider coarse granularity a con since having this as an option with the previous option 1&amp;2 can cover all the flexibilities that the NW may choose to configure.</w:t>
            </w:r>
          </w:p>
          <w:p w14:paraId="5B6EED95" w14:textId="77777777" w:rsidR="007159BE" w:rsidRDefault="007159BE">
            <w:pPr>
              <w:spacing w:after="0"/>
              <w:rPr>
                <w:rFonts w:ascii="Arial" w:eastAsia="MS Mincho" w:hAnsi="Arial" w:cs="Arial"/>
                <w:bCs/>
              </w:rPr>
            </w:pPr>
          </w:p>
          <w:p w14:paraId="499D653D" w14:textId="77777777" w:rsidR="007159BE" w:rsidRDefault="007D3121">
            <w:pPr>
              <w:spacing w:after="0"/>
              <w:rPr>
                <w:rFonts w:ascii="Arial" w:eastAsia="MS Mincho" w:hAnsi="Arial" w:cs="Arial"/>
                <w:bCs/>
              </w:rPr>
            </w:pPr>
            <w:r>
              <w:rPr>
                <w:rFonts w:ascii="Arial" w:eastAsia="MS Mincho" w:hAnsi="Arial" w:cs="Arial"/>
                <w:bCs/>
              </w:rPr>
              <w:t>Simple configuration since there are at most 4 BWPs configured for the UE, so the UE need to just ask the UE to report on the BWP granularity</w:t>
            </w:r>
          </w:p>
        </w:tc>
        <w:tc>
          <w:tcPr>
            <w:tcW w:w="4397" w:type="dxa"/>
            <w:tcBorders>
              <w:top w:val="single" w:sz="4" w:space="0" w:color="auto"/>
              <w:left w:val="single" w:sz="4" w:space="0" w:color="auto"/>
              <w:bottom w:val="single" w:sz="4" w:space="0" w:color="auto"/>
              <w:right w:val="single" w:sz="4" w:space="0" w:color="auto"/>
            </w:tcBorders>
          </w:tcPr>
          <w:p w14:paraId="3641B585" w14:textId="77777777" w:rsidR="007159BE" w:rsidRDefault="007D3121">
            <w:pPr>
              <w:spacing w:after="0"/>
              <w:rPr>
                <w:rFonts w:ascii="Arial" w:eastAsia="MS Mincho" w:hAnsi="Arial" w:cs="Arial"/>
                <w:bCs/>
              </w:rPr>
            </w:pPr>
            <w:r>
              <w:rPr>
                <w:rFonts w:ascii="Arial" w:eastAsia="MS Mincho" w:hAnsi="Arial" w:cs="Arial"/>
                <w:bCs/>
              </w:rPr>
              <w:t>For a large BWP where IDC only occurs in a portion of frequencies, an IDC problem reported might not clarify that the IDC issue does not affect the whole BWP.</w:t>
            </w:r>
          </w:p>
          <w:p w14:paraId="11DD796C" w14:textId="77777777" w:rsidR="007159BE" w:rsidRDefault="007159BE">
            <w:pPr>
              <w:spacing w:after="0"/>
              <w:rPr>
                <w:rFonts w:ascii="Arial" w:eastAsia="MS Mincho" w:hAnsi="Arial" w:cs="Arial"/>
                <w:bCs/>
              </w:rPr>
            </w:pPr>
          </w:p>
          <w:p w14:paraId="7887F05C" w14:textId="77777777" w:rsidR="007159BE" w:rsidRDefault="007D3121">
            <w:pPr>
              <w:spacing w:after="0"/>
              <w:rPr>
                <w:rFonts w:ascii="Arial" w:eastAsia="MS Mincho" w:hAnsi="Arial" w:cs="Arial"/>
                <w:bCs/>
              </w:rPr>
            </w:pPr>
            <w:r>
              <w:rPr>
                <w:rFonts w:ascii="Arial" w:eastAsia="MS Mincho" w:hAnsi="Arial" w:cs="Arial"/>
                <w:bCs/>
              </w:rPr>
              <w:t>Not applicable for non-serving cell</w:t>
            </w:r>
          </w:p>
        </w:tc>
      </w:tr>
      <w:tr w:rsidR="007159BE" w14:paraId="6FCA2859" w14:textId="77777777">
        <w:tc>
          <w:tcPr>
            <w:tcW w:w="1356" w:type="dxa"/>
            <w:tcBorders>
              <w:top w:val="single" w:sz="4" w:space="0" w:color="auto"/>
              <w:left w:val="single" w:sz="4" w:space="0" w:color="auto"/>
              <w:bottom w:val="single" w:sz="4" w:space="0" w:color="auto"/>
              <w:right w:val="single" w:sz="4" w:space="0" w:color="auto"/>
            </w:tcBorders>
          </w:tcPr>
          <w:p w14:paraId="7A065EDF" w14:textId="77777777" w:rsidR="007159BE" w:rsidRDefault="007D3121">
            <w:pPr>
              <w:spacing w:after="0"/>
              <w:rPr>
                <w:rFonts w:ascii="Arial" w:hAnsi="Arial" w:cs="Arial"/>
                <w:bCs/>
                <w:lang w:val="en-US" w:eastAsia="zh-CN"/>
              </w:rPr>
            </w:pPr>
            <w:r>
              <w:rPr>
                <w:rFonts w:ascii="Arial" w:hAnsi="Arial" w:cs="Arial" w:hint="eastAsia"/>
                <w:bCs/>
                <w:lang w:val="en-US" w:eastAsia="zh-CN"/>
              </w:rPr>
              <w:t>ZTE</w:t>
            </w:r>
          </w:p>
        </w:tc>
        <w:tc>
          <w:tcPr>
            <w:tcW w:w="3876" w:type="dxa"/>
            <w:tcBorders>
              <w:top w:val="single" w:sz="4" w:space="0" w:color="auto"/>
              <w:left w:val="single" w:sz="4" w:space="0" w:color="auto"/>
              <w:bottom w:val="single" w:sz="4" w:space="0" w:color="auto"/>
              <w:right w:val="single" w:sz="4" w:space="0" w:color="auto"/>
            </w:tcBorders>
          </w:tcPr>
          <w:p w14:paraId="617294BC" w14:textId="77777777" w:rsidR="007159BE" w:rsidRDefault="007D3121">
            <w:pPr>
              <w:numPr>
                <w:ilvl w:val="0"/>
                <w:numId w:val="16"/>
              </w:numPr>
              <w:spacing w:after="0"/>
              <w:rPr>
                <w:rFonts w:ascii="Arial" w:hAnsi="Arial" w:cs="Arial"/>
                <w:bCs/>
                <w:lang w:val="en-US" w:eastAsia="zh-CN"/>
              </w:rPr>
            </w:pPr>
            <w:r>
              <w:rPr>
                <w:rFonts w:ascii="Arial" w:hAnsi="Arial" w:cs="Arial" w:hint="eastAsia"/>
                <w:bCs/>
                <w:lang w:val="en-US" w:eastAsia="zh-CN"/>
              </w:rPr>
              <w:t>Solution is simple</w:t>
            </w:r>
          </w:p>
          <w:p w14:paraId="03C0D6BA" w14:textId="77777777" w:rsidR="007159BE" w:rsidRDefault="007D3121">
            <w:pPr>
              <w:numPr>
                <w:ilvl w:val="0"/>
                <w:numId w:val="16"/>
              </w:numPr>
              <w:spacing w:after="0"/>
              <w:rPr>
                <w:rFonts w:ascii="Arial" w:hAnsi="Arial" w:cs="Arial"/>
                <w:bCs/>
                <w:lang w:val="en-US" w:eastAsia="zh-CN"/>
              </w:rPr>
            </w:pPr>
            <w:r>
              <w:rPr>
                <w:rFonts w:ascii="Arial" w:hAnsi="Arial" w:cs="Arial" w:hint="eastAsia"/>
                <w:bCs/>
                <w:lang w:val="en-US" w:eastAsia="zh-CN"/>
              </w:rPr>
              <w:t>Less signaling overhead</w:t>
            </w:r>
          </w:p>
          <w:p w14:paraId="17FA5CAA" w14:textId="77777777" w:rsidR="007159BE" w:rsidRDefault="007D3121">
            <w:pPr>
              <w:numPr>
                <w:ilvl w:val="0"/>
                <w:numId w:val="16"/>
              </w:numPr>
              <w:spacing w:after="0"/>
              <w:rPr>
                <w:rFonts w:ascii="Arial" w:hAnsi="Arial" w:cs="Arial"/>
                <w:bCs/>
                <w:lang w:val="en-US" w:eastAsia="zh-CN"/>
              </w:rPr>
            </w:pPr>
            <w:r>
              <w:rPr>
                <w:rFonts w:ascii="Arial" w:hAnsi="Arial" w:cs="Arial" w:hint="eastAsia"/>
                <w:bCs/>
                <w:lang w:val="en-US" w:eastAsia="zh-CN"/>
              </w:rPr>
              <w:t>Simple processing at network side</w:t>
            </w:r>
          </w:p>
        </w:tc>
        <w:tc>
          <w:tcPr>
            <w:tcW w:w="4397" w:type="dxa"/>
            <w:tcBorders>
              <w:top w:val="single" w:sz="4" w:space="0" w:color="auto"/>
              <w:left w:val="single" w:sz="4" w:space="0" w:color="auto"/>
              <w:bottom w:val="single" w:sz="4" w:space="0" w:color="auto"/>
              <w:right w:val="single" w:sz="4" w:space="0" w:color="auto"/>
            </w:tcBorders>
          </w:tcPr>
          <w:p w14:paraId="7AC196FC" w14:textId="77777777" w:rsidR="007159BE" w:rsidRDefault="007D3121">
            <w:pPr>
              <w:spacing w:after="0"/>
              <w:rPr>
                <w:rFonts w:ascii="Arial" w:hAnsi="Arial" w:cs="Arial"/>
                <w:bCs/>
                <w:lang w:val="en-US" w:eastAsia="zh-CN"/>
              </w:rPr>
            </w:pPr>
            <w:r>
              <w:rPr>
                <w:rFonts w:ascii="Arial" w:eastAsia="MS Mincho" w:hAnsi="Arial" w:cs="Arial"/>
                <w:bCs/>
              </w:rPr>
              <w:t>Not applicable for non-serving cell</w:t>
            </w:r>
            <w:r>
              <w:rPr>
                <w:rFonts w:ascii="Arial" w:hAnsi="Arial" w:cs="Arial" w:hint="eastAsia"/>
                <w:bCs/>
                <w:lang w:val="en-US" w:eastAsia="zh-CN"/>
              </w:rPr>
              <w:t xml:space="preserve"> (if enhancement to the non-serving frequency is supported)</w:t>
            </w:r>
          </w:p>
        </w:tc>
      </w:tr>
      <w:tr w:rsidR="007159BE" w14:paraId="04317441" w14:textId="77777777">
        <w:tc>
          <w:tcPr>
            <w:tcW w:w="1356" w:type="dxa"/>
            <w:tcBorders>
              <w:top w:val="single" w:sz="4" w:space="0" w:color="auto"/>
              <w:left w:val="single" w:sz="4" w:space="0" w:color="auto"/>
              <w:bottom w:val="single" w:sz="4" w:space="0" w:color="auto"/>
              <w:right w:val="single" w:sz="4" w:space="0" w:color="auto"/>
            </w:tcBorders>
          </w:tcPr>
          <w:p w14:paraId="397AC044" w14:textId="781ACD4C" w:rsidR="007159BE" w:rsidRDefault="00B52E72">
            <w:pPr>
              <w:spacing w:after="0"/>
              <w:rPr>
                <w:rFonts w:ascii="Arial" w:eastAsia="MS Mincho" w:hAnsi="Arial" w:cs="Arial"/>
                <w:bCs/>
              </w:rPr>
            </w:pPr>
            <w:r>
              <w:rPr>
                <w:rFonts w:ascii="Arial" w:eastAsia="MS Mincho" w:hAnsi="Arial" w:cs="Arial"/>
                <w:bCs/>
              </w:rPr>
              <w:lastRenderedPageBreak/>
              <w:t>Apple</w:t>
            </w:r>
          </w:p>
        </w:tc>
        <w:tc>
          <w:tcPr>
            <w:tcW w:w="3876" w:type="dxa"/>
            <w:tcBorders>
              <w:top w:val="single" w:sz="4" w:space="0" w:color="auto"/>
              <w:left w:val="single" w:sz="4" w:space="0" w:color="auto"/>
              <w:bottom w:val="single" w:sz="4" w:space="0" w:color="auto"/>
              <w:right w:val="single" w:sz="4" w:space="0" w:color="auto"/>
            </w:tcBorders>
          </w:tcPr>
          <w:p w14:paraId="352EB3C4" w14:textId="59CBBFE4" w:rsidR="00B52E72" w:rsidRDefault="00B52E72">
            <w:pPr>
              <w:spacing w:after="0"/>
              <w:rPr>
                <w:rFonts w:ascii="Arial" w:eastAsia="MS Mincho" w:hAnsi="Arial" w:cs="Arial"/>
                <w:bCs/>
              </w:rPr>
            </w:pPr>
            <w:r>
              <w:rPr>
                <w:rFonts w:ascii="Arial" w:eastAsia="MS Mincho" w:hAnsi="Arial" w:cs="Arial"/>
                <w:bCs/>
              </w:rPr>
              <w:t xml:space="preserve">Reporting BWP ID is simple with low </w:t>
            </w:r>
            <w:proofErr w:type="spellStart"/>
            <w:r>
              <w:rPr>
                <w:rFonts w:ascii="Arial" w:eastAsia="MS Mincho" w:hAnsi="Arial" w:cs="Arial"/>
                <w:bCs/>
              </w:rPr>
              <w:t>signaling</w:t>
            </w:r>
            <w:proofErr w:type="spellEnd"/>
            <w:r>
              <w:rPr>
                <w:rFonts w:ascii="Arial" w:eastAsia="MS Mincho" w:hAnsi="Arial" w:cs="Arial"/>
                <w:bCs/>
              </w:rPr>
              <w:t xml:space="preserve"> overhead.</w:t>
            </w:r>
          </w:p>
        </w:tc>
        <w:tc>
          <w:tcPr>
            <w:tcW w:w="4397" w:type="dxa"/>
            <w:tcBorders>
              <w:top w:val="single" w:sz="4" w:space="0" w:color="auto"/>
              <w:left w:val="single" w:sz="4" w:space="0" w:color="auto"/>
              <w:bottom w:val="single" w:sz="4" w:space="0" w:color="auto"/>
              <w:right w:val="single" w:sz="4" w:space="0" w:color="auto"/>
            </w:tcBorders>
          </w:tcPr>
          <w:p w14:paraId="1CC5B906" w14:textId="77777777" w:rsidR="007159BE" w:rsidRDefault="00B52E72">
            <w:pPr>
              <w:spacing w:after="0"/>
              <w:rPr>
                <w:rFonts w:ascii="Arial" w:eastAsia="MS Mincho" w:hAnsi="Arial" w:cs="Arial"/>
                <w:bCs/>
              </w:rPr>
            </w:pPr>
            <w:r>
              <w:rPr>
                <w:rFonts w:ascii="Arial" w:eastAsia="MS Mincho" w:hAnsi="Arial" w:cs="Arial"/>
                <w:bCs/>
              </w:rPr>
              <w:t>In our view, BWP based reporting is only applicable to serving cells.</w:t>
            </w:r>
          </w:p>
          <w:p w14:paraId="5BB32F7B" w14:textId="69B38937" w:rsidR="00B52E72" w:rsidRDefault="00B52E72">
            <w:pPr>
              <w:spacing w:after="0"/>
              <w:rPr>
                <w:rFonts w:ascii="Arial" w:eastAsia="MS Mincho" w:hAnsi="Arial" w:cs="Arial"/>
                <w:bCs/>
              </w:rPr>
            </w:pPr>
            <w:r>
              <w:rPr>
                <w:rFonts w:ascii="Arial" w:eastAsia="MS Mincho" w:hAnsi="Arial" w:cs="Arial"/>
                <w:bCs/>
              </w:rPr>
              <w:t>The granularity of problematic resources is coarser than PRB based reporting.</w:t>
            </w:r>
          </w:p>
        </w:tc>
      </w:tr>
      <w:tr w:rsidR="00717510" w:rsidRPr="00916935" w14:paraId="674B1FFF" w14:textId="77777777" w:rsidTr="00717510">
        <w:tc>
          <w:tcPr>
            <w:tcW w:w="1356" w:type="dxa"/>
            <w:tcBorders>
              <w:top w:val="single" w:sz="4" w:space="0" w:color="auto"/>
              <w:left w:val="single" w:sz="4" w:space="0" w:color="auto"/>
              <w:bottom w:val="single" w:sz="4" w:space="0" w:color="auto"/>
              <w:right w:val="single" w:sz="4" w:space="0" w:color="auto"/>
            </w:tcBorders>
          </w:tcPr>
          <w:p w14:paraId="3518780C" w14:textId="77777777" w:rsidR="00717510" w:rsidRPr="00717510" w:rsidRDefault="00717510" w:rsidP="00B926CF">
            <w:pPr>
              <w:spacing w:after="0"/>
              <w:rPr>
                <w:rFonts w:ascii="Arial" w:eastAsia="MS Mincho" w:hAnsi="Arial" w:cs="Arial"/>
                <w:bCs/>
              </w:rPr>
            </w:pPr>
            <w:r w:rsidRPr="00717510">
              <w:rPr>
                <w:rFonts w:ascii="Arial" w:eastAsia="MS Mincho" w:hAnsi="Arial" w:cs="Arial" w:hint="eastAsia"/>
                <w:bCs/>
              </w:rPr>
              <w:t>S</w:t>
            </w:r>
            <w:r w:rsidRPr="00717510">
              <w:rPr>
                <w:rFonts w:ascii="Arial" w:eastAsia="MS Mincho" w:hAnsi="Arial" w:cs="Arial"/>
                <w:bCs/>
              </w:rPr>
              <w:t xml:space="preserve">amsung </w:t>
            </w:r>
          </w:p>
        </w:tc>
        <w:tc>
          <w:tcPr>
            <w:tcW w:w="3876" w:type="dxa"/>
            <w:tcBorders>
              <w:top w:val="single" w:sz="4" w:space="0" w:color="auto"/>
              <w:left w:val="single" w:sz="4" w:space="0" w:color="auto"/>
              <w:bottom w:val="single" w:sz="4" w:space="0" w:color="auto"/>
              <w:right w:val="single" w:sz="4" w:space="0" w:color="auto"/>
            </w:tcBorders>
          </w:tcPr>
          <w:p w14:paraId="06C2465F" w14:textId="77777777" w:rsidR="00717510" w:rsidRPr="00717510" w:rsidRDefault="00717510" w:rsidP="00B926CF">
            <w:pPr>
              <w:spacing w:after="0"/>
              <w:rPr>
                <w:rFonts w:ascii="Arial" w:eastAsia="MS Mincho" w:hAnsi="Arial" w:cs="Arial"/>
                <w:bCs/>
              </w:rPr>
            </w:pPr>
            <w:r w:rsidRPr="00717510">
              <w:rPr>
                <w:rFonts w:ascii="Arial" w:eastAsia="MS Mincho" w:hAnsi="Arial" w:cs="Arial"/>
                <w:bCs/>
              </w:rPr>
              <w:t>BWP ID can indicate finer granularity for serving cell, and the signalling overhead may be small.</w:t>
            </w:r>
          </w:p>
        </w:tc>
        <w:tc>
          <w:tcPr>
            <w:tcW w:w="4397" w:type="dxa"/>
            <w:tcBorders>
              <w:top w:val="single" w:sz="4" w:space="0" w:color="auto"/>
              <w:left w:val="single" w:sz="4" w:space="0" w:color="auto"/>
              <w:bottom w:val="single" w:sz="4" w:space="0" w:color="auto"/>
              <w:right w:val="single" w:sz="4" w:space="0" w:color="auto"/>
            </w:tcBorders>
          </w:tcPr>
          <w:p w14:paraId="66124E1A" w14:textId="77777777" w:rsidR="00717510" w:rsidRPr="00717510" w:rsidRDefault="00717510" w:rsidP="00B926CF">
            <w:pPr>
              <w:spacing w:after="0"/>
              <w:rPr>
                <w:rFonts w:ascii="Arial" w:eastAsia="MS Mincho" w:hAnsi="Arial" w:cs="Arial"/>
                <w:bCs/>
              </w:rPr>
            </w:pPr>
            <w:r w:rsidRPr="00717510">
              <w:rPr>
                <w:rFonts w:ascii="Arial" w:eastAsia="MS Mincho" w:hAnsi="Arial" w:cs="Arial" w:hint="eastAsia"/>
                <w:bCs/>
              </w:rPr>
              <w:t>B</w:t>
            </w:r>
            <w:r w:rsidRPr="00717510">
              <w:rPr>
                <w:rFonts w:ascii="Arial" w:eastAsia="MS Mincho" w:hAnsi="Arial" w:cs="Arial"/>
                <w:bCs/>
              </w:rPr>
              <w:t xml:space="preserve">WP ID cannot be applicable for the non-serving cell. If the problematic frequency range is a subset of BWP, or is across two BWPs, this option cannot accurately indicate the range. </w:t>
            </w:r>
          </w:p>
        </w:tc>
      </w:tr>
      <w:tr w:rsidR="00736AF6" w14:paraId="378B70BD" w14:textId="77777777">
        <w:tc>
          <w:tcPr>
            <w:tcW w:w="1356" w:type="dxa"/>
            <w:tcBorders>
              <w:top w:val="single" w:sz="4" w:space="0" w:color="auto"/>
              <w:left w:val="single" w:sz="4" w:space="0" w:color="auto"/>
              <w:bottom w:val="single" w:sz="4" w:space="0" w:color="auto"/>
              <w:right w:val="single" w:sz="4" w:space="0" w:color="auto"/>
            </w:tcBorders>
          </w:tcPr>
          <w:p w14:paraId="78458AAC" w14:textId="0A0B2D76" w:rsidR="00736AF6" w:rsidRPr="00717510" w:rsidRDefault="00736AF6" w:rsidP="00736AF6">
            <w:pPr>
              <w:spacing w:after="0"/>
              <w:rPr>
                <w:rFonts w:ascii="Arial" w:eastAsia="MS Mincho" w:hAnsi="Arial" w:cs="Arial"/>
                <w:bCs/>
              </w:rPr>
            </w:pPr>
            <w:r>
              <w:rPr>
                <w:rFonts w:ascii="Arial" w:eastAsia="MS Mincho" w:hAnsi="Arial" w:cs="Arial"/>
                <w:bCs/>
              </w:rPr>
              <w:t>Intel</w:t>
            </w:r>
          </w:p>
        </w:tc>
        <w:tc>
          <w:tcPr>
            <w:tcW w:w="3876" w:type="dxa"/>
            <w:tcBorders>
              <w:top w:val="single" w:sz="4" w:space="0" w:color="auto"/>
              <w:left w:val="single" w:sz="4" w:space="0" w:color="auto"/>
              <w:bottom w:val="single" w:sz="4" w:space="0" w:color="auto"/>
              <w:right w:val="single" w:sz="4" w:space="0" w:color="auto"/>
            </w:tcBorders>
          </w:tcPr>
          <w:p w14:paraId="1EE5D702" w14:textId="69DBB08D" w:rsidR="00736AF6" w:rsidRDefault="00736AF6" w:rsidP="00736AF6">
            <w:pPr>
              <w:spacing w:after="0"/>
              <w:rPr>
                <w:rFonts w:ascii="Arial" w:eastAsia="MS Mincho" w:hAnsi="Arial" w:cs="Arial"/>
                <w:bCs/>
              </w:rPr>
            </w:pPr>
            <w:r>
              <w:rPr>
                <w:rFonts w:ascii="Arial" w:eastAsia="MS Mincho" w:hAnsi="Arial" w:cs="Arial"/>
                <w:bCs/>
              </w:rPr>
              <w:t>Less signalling overhead.</w:t>
            </w:r>
          </w:p>
        </w:tc>
        <w:tc>
          <w:tcPr>
            <w:tcW w:w="4397" w:type="dxa"/>
            <w:tcBorders>
              <w:top w:val="single" w:sz="4" w:space="0" w:color="auto"/>
              <w:left w:val="single" w:sz="4" w:space="0" w:color="auto"/>
              <w:bottom w:val="single" w:sz="4" w:space="0" w:color="auto"/>
              <w:right w:val="single" w:sz="4" w:space="0" w:color="auto"/>
            </w:tcBorders>
          </w:tcPr>
          <w:p w14:paraId="72761834" w14:textId="2C110344" w:rsidR="00736AF6" w:rsidRDefault="00736AF6" w:rsidP="00736AF6">
            <w:pPr>
              <w:spacing w:after="0"/>
              <w:rPr>
                <w:rFonts w:ascii="Arial" w:eastAsia="MS Mincho" w:hAnsi="Arial" w:cs="Arial"/>
                <w:bCs/>
              </w:rPr>
            </w:pPr>
            <w:bookmarkStart w:id="2" w:name="_Hlk117623188"/>
            <w:r>
              <w:rPr>
                <w:rFonts w:ascii="Arial" w:eastAsia="MS Mincho" w:hAnsi="Arial" w:cs="Arial"/>
                <w:bCs/>
              </w:rPr>
              <w:t xml:space="preserve">The key problem is limited information / granularity. </w:t>
            </w:r>
            <w:bookmarkEnd w:id="2"/>
            <w:r>
              <w:rPr>
                <w:rFonts w:ascii="Arial" w:eastAsia="MS Mincho" w:hAnsi="Arial" w:cs="Arial"/>
                <w:bCs/>
              </w:rPr>
              <w:t>T</w:t>
            </w:r>
            <w:r w:rsidRPr="00741D8F">
              <w:rPr>
                <w:rFonts w:ascii="Arial" w:eastAsia="MS Mincho" w:hAnsi="Arial" w:cs="Arial"/>
                <w:bCs/>
              </w:rPr>
              <w:t xml:space="preserve">here can be a maximum of 4 BWPs configured per serving cell and 4 BWPs cannot provide much information regarding IDC interference. Since IDC interference is related to various factors e.g. channel conditions in both RAT as well as UE implementation, </w:t>
            </w:r>
            <w:proofErr w:type="spellStart"/>
            <w:r w:rsidRPr="00741D8F">
              <w:rPr>
                <w:rFonts w:ascii="Arial" w:eastAsia="MS Mincho" w:hAnsi="Arial" w:cs="Arial"/>
                <w:bCs/>
              </w:rPr>
              <w:t>gNB</w:t>
            </w:r>
            <w:proofErr w:type="spellEnd"/>
            <w:r w:rsidRPr="00741D8F">
              <w:rPr>
                <w:rFonts w:ascii="Arial" w:eastAsia="MS Mincho" w:hAnsi="Arial" w:cs="Arial"/>
                <w:bCs/>
              </w:rPr>
              <w:t xml:space="preserve"> might not have good knowledge to configure BWPs which are related to IDC interference.</w:t>
            </w:r>
          </w:p>
        </w:tc>
      </w:tr>
      <w:tr w:rsidR="00736AF6" w14:paraId="78A94008" w14:textId="77777777">
        <w:tc>
          <w:tcPr>
            <w:tcW w:w="1356" w:type="dxa"/>
            <w:tcBorders>
              <w:top w:val="single" w:sz="4" w:space="0" w:color="auto"/>
              <w:left w:val="single" w:sz="4" w:space="0" w:color="auto"/>
              <w:bottom w:val="single" w:sz="4" w:space="0" w:color="auto"/>
              <w:right w:val="single" w:sz="4" w:space="0" w:color="auto"/>
            </w:tcBorders>
          </w:tcPr>
          <w:p w14:paraId="7B70C139" w14:textId="323F8379" w:rsidR="00736AF6" w:rsidRPr="0031189D" w:rsidRDefault="0031189D" w:rsidP="00736AF6">
            <w:pPr>
              <w:spacing w:after="0"/>
              <w:rPr>
                <w:rFonts w:ascii="Arial" w:eastAsiaTheme="minorEastAsia" w:hAnsi="Arial" w:cs="Arial"/>
                <w:bCs/>
                <w:lang w:eastAsia="zh-CN"/>
              </w:rPr>
            </w:pPr>
            <w:r>
              <w:rPr>
                <w:rFonts w:ascii="Arial" w:eastAsiaTheme="minorEastAsia" w:hAnsi="Arial" w:cs="Arial" w:hint="eastAsia"/>
                <w:bCs/>
                <w:lang w:eastAsia="zh-CN"/>
              </w:rPr>
              <w:t>v</w:t>
            </w:r>
            <w:r>
              <w:rPr>
                <w:rFonts w:ascii="Arial" w:eastAsiaTheme="minorEastAsia" w:hAnsi="Arial" w:cs="Arial"/>
                <w:bCs/>
                <w:lang w:eastAsia="zh-CN"/>
              </w:rPr>
              <w:t>ivo</w:t>
            </w:r>
          </w:p>
        </w:tc>
        <w:tc>
          <w:tcPr>
            <w:tcW w:w="3876" w:type="dxa"/>
            <w:tcBorders>
              <w:top w:val="single" w:sz="4" w:space="0" w:color="auto"/>
              <w:left w:val="single" w:sz="4" w:space="0" w:color="auto"/>
              <w:bottom w:val="single" w:sz="4" w:space="0" w:color="auto"/>
              <w:right w:val="single" w:sz="4" w:space="0" w:color="auto"/>
            </w:tcBorders>
          </w:tcPr>
          <w:p w14:paraId="2FB19B3F" w14:textId="49A39079" w:rsidR="00736AF6" w:rsidRDefault="0031189D" w:rsidP="00736AF6">
            <w:pPr>
              <w:spacing w:after="0"/>
              <w:rPr>
                <w:rFonts w:ascii="Arial" w:eastAsia="MS Mincho" w:hAnsi="Arial" w:cs="Arial"/>
                <w:bCs/>
              </w:rPr>
            </w:pPr>
            <w:r>
              <w:rPr>
                <w:rFonts w:ascii="Arial" w:eastAsia="MS Mincho" w:hAnsi="Arial" w:cs="Arial"/>
                <w:bCs/>
              </w:rPr>
              <w:t>Less signalling overheads compared with Option 1/2/2a</w:t>
            </w:r>
          </w:p>
        </w:tc>
        <w:tc>
          <w:tcPr>
            <w:tcW w:w="4397" w:type="dxa"/>
            <w:tcBorders>
              <w:top w:val="single" w:sz="4" w:space="0" w:color="auto"/>
              <w:left w:val="single" w:sz="4" w:space="0" w:color="auto"/>
              <w:bottom w:val="single" w:sz="4" w:space="0" w:color="auto"/>
              <w:right w:val="single" w:sz="4" w:space="0" w:color="auto"/>
            </w:tcBorders>
          </w:tcPr>
          <w:p w14:paraId="4B9D9D52" w14:textId="35AD6FBD" w:rsidR="00736AF6" w:rsidRPr="00EE4134" w:rsidRDefault="00EE4134" w:rsidP="00777594">
            <w:pPr>
              <w:spacing w:after="0"/>
              <w:jc w:val="both"/>
              <w:rPr>
                <w:rFonts w:ascii="Arial" w:eastAsiaTheme="minorEastAsia" w:hAnsi="Arial" w:cs="Arial"/>
                <w:bCs/>
                <w:lang w:eastAsia="zh-CN"/>
              </w:rPr>
            </w:pPr>
            <w:r>
              <w:rPr>
                <w:rFonts w:ascii="Arial" w:eastAsiaTheme="minorEastAsia" w:hAnsi="Arial" w:cs="Arial"/>
                <w:bCs/>
                <w:lang w:eastAsia="zh-CN"/>
              </w:rPr>
              <w:t xml:space="preserve">Current BWP ID cannot be directly used </w:t>
            </w:r>
            <w:r w:rsidR="00060D72">
              <w:rPr>
                <w:rFonts w:ascii="Arial" w:eastAsiaTheme="minorEastAsia" w:hAnsi="Arial" w:cs="Arial"/>
                <w:bCs/>
                <w:lang w:eastAsia="zh-CN"/>
              </w:rPr>
              <w:t xml:space="preserve">to configure </w:t>
            </w:r>
            <w:r w:rsidR="00060D72">
              <w:rPr>
                <w:rFonts w:ascii="Arial" w:hAnsi="Arial"/>
                <w:lang w:eastAsia="zh-CN"/>
              </w:rPr>
              <w:t>candidate frequencies</w:t>
            </w:r>
            <w:r w:rsidR="00060D72">
              <w:rPr>
                <w:rFonts w:ascii="Arial" w:eastAsiaTheme="minorEastAsia" w:hAnsi="Arial" w:cs="Arial"/>
                <w:bCs/>
                <w:lang w:eastAsia="zh-CN"/>
              </w:rPr>
              <w:t xml:space="preserve"> range for </w:t>
            </w:r>
            <w:r>
              <w:rPr>
                <w:rFonts w:ascii="Arial" w:eastAsiaTheme="minorEastAsia" w:hAnsi="Arial" w:cs="Arial"/>
                <w:bCs/>
                <w:lang w:eastAsia="zh-CN"/>
              </w:rPr>
              <w:t xml:space="preserve">non-serving frequency. </w:t>
            </w:r>
            <w:r w:rsidR="00060D72">
              <w:rPr>
                <w:rFonts w:ascii="Arial" w:eastAsiaTheme="minorEastAsia" w:hAnsi="Arial" w:cs="Arial"/>
                <w:bCs/>
                <w:lang w:eastAsia="zh-CN"/>
              </w:rPr>
              <w:t>For no</w:t>
            </w:r>
            <w:r w:rsidR="008F068D">
              <w:rPr>
                <w:rFonts w:ascii="Arial" w:eastAsiaTheme="minorEastAsia" w:hAnsi="Arial" w:cs="Arial"/>
                <w:bCs/>
                <w:lang w:eastAsia="zh-CN"/>
              </w:rPr>
              <w:t>n-serving frequency case, additional candidate BWP info which is not used currently by UE should be provided to UE.</w:t>
            </w:r>
          </w:p>
        </w:tc>
      </w:tr>
    </w:tbl>
    <w:p w14:paraId="100A6CAB" w14:textId="77777777" w:rsidR="007159BE" w:rsidRDefault="007159BE">
      <w:pPr>
        <w:rPr>
          <w:rFonts w:ascii="Arial" w:hAnsi="Arial"/>
          <w:lang w:eastAsia="zh-CN"/>
        </w:rPr>
      </w:pPr>
    </w:p>
    <w:p w14:paraId="7AF7960A" w14:textId="77777777" w:rsidR="007159BE" w:rsidRDefault="007D3121">
      <w:pPr>
        <w:rPr>
          <w:rFonts w:ascii="Arial" w:hAnsi="Arial"/>
          <w:lang w:eastAsia="zh-CN"/>
        </w:rPr>
      </w:pPr>
      <w:r>
        <w:rPr>
          <w:rFonts w:ascii="Arial" w:hAnsi="Arial"/>
          <w:lang w:eastAsia="zh-CN"/>
        </w:rPr>
        <w:t>Option 4 is:</w:t>
      </w:r>
    </w:p>
    <w:p w14:paraId="0743E723" w14:textId="77777777" w:rsidR="007159BE" w:rsidRDefault="007D3121">
      <w:pPr>
        <w:ind w:left="426" w:right="850"/>
        <w:rPr>
          <w:rFonts w:ascii="Arial" w:hAnsi="Arial"/>
          <w:lang w:eastAsia="zh-CN"/>
        </w:rPr>
      </w:pPr>
      <w:r>
        <w:rPr>
          <w:rFonts w:ascii="Arial" w:hAnsi="Arial"/>
          <w:b/>
          <w:bCs/>
          <w:lang w:eastAsia="zh-CN"/>
        </w:rPr>
        <w:t>Option 4</w:t>
      </w:r>
      <w:r>
        <w:rPr>
          <w:rFonts w:ascii="Arial" w:hAnsi="Arial"/>
          <w:lang w:eastAsia="zh-CN"/>
        </w:rPr>
        <w:t xml:space="preserve">: BWP-based reporting using BWP ID + PRB index (2/14 for serving frequency) </w:t>
      </w:r>
      <w:r>
        <w:rPr>
          <w:rFonts w:ascii="Arial" w:eastAsia="Malgun Gothic" w:hAnsi="Arial" w:cs="Arial"/>
          <w:lang w:val="en-US" w:eastAsia="ko-KR"/>
        </w:rPr>
        <w:t>[6]. [7], [9].</w:t>
      </w:r>
    </w:p>
    <w:p w14:paraId="5306D399" w14:textId="77777777" w:rsidR="007159BE" w:rsidRDefault="007D3121">
      <w:pPr>
        <w:rPr>
          <w:rFonts w:ascii="Arial" w:hAnsi="Arial"/>
          <w:b/>
          <w:bCs/>
          <w:lang w:eastAsia="zh-CN"/>
        </w:rPr>
      </w:pPr>
      <w:r>
        <w:rPr>
          <w:rFonts w:ascii="Arial" w:hAnsi="Arial"/>
          <w:b/>
          <w:bCs/>
          <w:lang w:eastAsia="zh-CN"/>
        </w:rPr>
        <w:t>Q6: What are technical benefits and drawbacks of solution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3876"/>
        <w:gridCol w:w="4397"/>
      </w:tblGrid>
      <w:tr w:rsidR="007159BE" w14:paraId="3221EB79" w14:textId="77777777">
        <w:tc>
          <w:tcPr>
            <w:tcW w:w="1356" w:type="dxa"/>
            <w:tcBorders>
              <w:top w:val="single" w:sz="4" w:space="0" w:color="auto"/>
              <w:left w:val="single" w:sz="4" w:space="0" w:color="auto"/>
              <w:bottom w:val="single" w:sz="4" w:space="0" w:color="auto"/>
              <w:right w:val="single" w:sz="4" w:space="0" w:color="auto"/>
            </w:tcBorders>
            <w:shd w:val="clear" w:color="auto" w:fill="D9D9D9"/>
          </w:tcPr>
          <w:p w14:paraId="47F08307" w14:textId="77777777" w:rsidR="007159BE" w:rsidRDefault="007D3121">
            <w:pPr>
              <w:spacing w:after="0"/>
              <w:rPr>
                <w:rFonts w:ascii="Arial" w:hAnsi="Arial" w:cs="Arial"/>
                <w:b/>
                <w:bCs/>
                <w:lang w:eastAsia="zh-CN"/>
              </w:rPr>
            </w:pPr>
            <w:r>
              <w:rPr>
                <w:rFonts w:ascii="Arial" w:hAnsi="Arial" w:cs="Arial"/>
                <w:b/>
                <w:bCs/>
                <w:lang w:eastAsia="zh-CN"/>
              </w:rPr>
              <w:t>Company</w:t>
            </w:r>
          </w:p>
        </w:tc>
        <w:tc>
          <w:tcPr>
            <w:tcW w:w="3876" w:type="dxa"/>
            <w:tcBorders>
              <w:top w:val="single" w:sz="4" w:space="0" w:color="auto"/>
              <w:left w:val="single" w:sz="4" w:space="0" w:color="auto"/>
              <w:bottom w:val="single" w:sz="4" w:space="0" w:color="auto"/>
              <w:right w:val="single" w:sz="4" w:space="0" w:color="auto"/>
            </w:tcBorders>
            <w:shd w:val="clear" w:color="auto" w:fill="D9D9D9"/>
          </w:tcPr>
          <w:p w14:paraId="70DF7357" w14:textId="77777777" w:rsidR="007159BE" w:rsidRDefault="007D3121">
            <w:pPr>
              <w:spacing w:after="0"/>
              <w:rPr>
                <w:rFonts w:ascii="Arial" w:hAnsi="Arial" w:cs="Arial"/>
                <w:b/>
                <w:bCs/>
                <w:lang w:eastAsia="zh-CN"/>
              </w:rPr>
            </w:pPr>
            <w:r>
              <w:rPr>
                <w:rFonts w:ascii="Arial" w:hAnsi="Arial" w:cs="Arial"/>
                <w:b/>
                <w:bCs/>
                <w:lang w:eastAsia="zh-CN"/>
              </w:rPr>
              <w:t>Benefits</w:t>
            </w:r>
          </w:p>
        </w:tc>
        <w:tc>
          <w:tcPr>
            <w:tcW w:w="4397" w:type="dxa"/>
            <w:tcBorders>
              <w:top w:val="single" w:sz="4" w:space="0" w:color="auto"/>
              <w:left w:val="single" w:sz="4" w:space="0" w:color="auto"/>
              <w:bottom w:val="single" w:sz="4" w:space="0" w:color="auto"/>
              <w:right w:val="single" w:sz="4" w:space="0" w:color="auto"/>
            </w:tcBorders>
            <w:shd w:val="clear" w:color="auto" w:fill="D9D9D9"/>
          </w:tcPr>
          <w:p w14:paraId="4758BB9A" w14:textId="77777777" w:rsidR="007159BE" w:rsidRDefault="007D3121">
            <w:pPr>
              <w:spacing w:after="0"/>
              <w:rPr>
                <w:rFonts w:ascii="Arial" w:hAnsi="Arial" w:cs="Arial"/>
                <w:b/>
                <w:bCs/>
                <w:lang w:eastAsia="zh-CN"/>
              </w:rPr>
            </w:pPr>
            <w:r>
              <w:rPr>
                <w:rFonts w:ascii="Arial" w:hAnsi="Arial" w:cs="Arial"/>
                <w:b/>
                <w:bCs/>
                <w:lang w:eastAsia="zh-CN"/>
              </w:rPr>
              <w:t>Drawbacks</w:t>
            </w:r>
          </w:p>
        </w:tc>
      </w:tr>
      <w:tr w:rsidR="007159BE" w14:paraId="2CC230C0" w14:textId="77777777">
        <w:tc>
          <w:tcPr>
            <w:tcW w:w="1356" w:type="dxa"/>
            <w:tcBorders>
              <w:top w:val="single" w:sz="4" w:space="0" w:color="auto"/>
              <w:left w:val="single" w:sz="4" w:space="0" w:color="auto"/>
              <w:bottom w:val="single" w:sz="4" w:space="0" w:color="auto"/>
              <w:right w:val="single" w:sz="4" w:space="0" w:color="auto"/>
            </w:tcBorders>
          </w:tcPr>
          <w:p w14:paraId="5A534358" w14:textId="77777777" w:rsidR="007159BE" w:rsidRDefault="007D3121">
            <w:pPr>
              <w:spacing w:after="0"/>
              <w:rPr>
                <w:rFonts w:ascii="Arial" w:eastAsia="MS Mincho" w:hAnsi="Arial" w:cs="Arial"/>
                <w:bCs/>
              </w:rPr>
            </w:pPr>
            <w:r>
              <w:rPr>
                <w:rFonts w:ascii="Arial" w:eastAsia="MS Mincho" w:hAnsi="Arial" w:cs="Arial"/>
                <w:bCs/>
              </w:rPr>
              <w:t>Nokia</w:t>
            </w:r>
          </w:p>
        </w:tc>
        <w:tc>
          <w:tcPr>
            <w:tcW w:w="3876" w:type="dxa"/>
            <w:tcBorders>
              <w:top w:val="single" w:sz="4" w:space="0" w:color="auto"/>
              <w:left w:val="single" w:sz="4" w:space="0" w:color="auto"/>
              <w:bottom w:val="single" w:sz="4" w:space="0" w:color="auto"/>
              <w:right w:val="single" w:sz="4" w:space="0" w:color="auto"/>
            </w:tcBorders>
          </w:tcPr>
          <w:p w14:paraId="474B5E43" w14:textId="77777777" w:rsidR="007159BE" w:rsidRDefault="007D3121">
            <w:pPr>
              <w:spacing w:after="0"/>
              <w:rPr>
                <w:rFonts w:ascii="Arial" w:eastAsia="MS Mincho" w:hAnsi="Arial" w:cs="Arial"/>
                <w:bCs/>
              </w:rPr>
            </w:pPr>
            <w:r>
              <w:rPr>
                <w:rFonts w:ascii="Arial" w:eastAsia="MS Mincho" w:hAnsi="Arial" w:cs="Arial"/>
                <w:bCs/>
              </w:rPr>
              <w:t>Granularity of PRB indication is likely about maximum we can get</w:t>
            </w:r>
          </w:p>
          <w:p w14:paraId="316BFB45" w14:textId="77777777" w:rsidR="007159BE" w:rsidRDefault="007159BE">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1693521F" w14:textId="77777777" w:rsidR="007159BE" w:rsidRDefault="007D3121">
            <w:pPr>
              <w:spacing w:after="0"/>
              <w:rPr>
                <w:rFonts w:ascii="Arial" w:eastAsia="MS Mincho" w:hAnsi="Arial" w:cs="Arial"/>
                <w:bCs/>
              </w:rPr>
            </w:pPr>
            <w:r>
              <w:rPr>
                <w:rFonts w:ascii="Arial" w:eastAsia="MS Mincho" w:hAnsi="Arial" w:cs="Arial"/>
                <w:bCs/>
              </w:rPr>
              <w:t>Same as for option 3 but not having limitation for granularity</w:t>
            </w:r>
          </w:p>
        </w:tc>
      </w:tr>
      <w:tr w:rsidR="007159BE" w14:paraId="45A1C37A" w14:textId="77777777">
        <w:tc>
          <w:tcPr>
            <w:tcW w:w="1356" w:type="dxa"/>
            <w:tcBorders>
              <w:top w:val="single" w:sz="4" w:space="0" w:color="auto"/>
              <w:left w:val="single" w:sz="4" w:space="0" w:color="auto"/>
              <w:bottom w:val="single" w:sz="4" w:space="0" w:color="auto"/>
              <w:right w:val="single" w:sz="4" w:space="0" w:color="auto"/>
            </w:tcBorders>
          </w:tcPr>
          <w:p w14:paraId="30D50626" w14:textId="77777777" w:rsidR="007159BE" w:rsidRDefault="007D3121">
            <w:pPr>
              <w:spacing w:after="0"/>
              <w:rPr>
                <w:rFonts w:ascii="Arial" w:eastAsia="MS Mincho" w:hAnsi="Arial" w:cs="Arial"/>
                <w:bCs/>
              </w:rPr>
            </w:pPr>
            <w:r>
              <w:rPr>
                <w:rFonts w:ascii="Arial" w:eastAsia="MS Mincho" w:hAnsi="Arial" w:cs="Arial"/>
                <w:bCs/>
              </w:rPr>
              <w:t>Xiaomi</w:t>
            </w:r>
          </w:p>
        </w:tc>
        <w:tc>
          <w:tcPr>
            <w:tcW w:w="3876" w:type="dxa"/>
            <w:tcBorders>
              <w:top w:val="single" w:sz="4" w:space="0" w:color="auto"/>
              <w:left w:val="single" w:sz="4" w:space="0" w:color="auto"/>
              <w:bottom w:val="single" w:sz="4" w:space="0" w:color="auto"/>
              <w:right w:val="single" w:sz="4" w:space="0" w:color="auto"/>
            </w:tcBorders>
          </w:tcPr>
          <w:p w14:paraId="7759B5D2" w14:textId="77777777" w:rsidR="007159BE" w:rsidRDefault="007D3121">
            <w:pPr>
              <w:spacing w:after="0"/>
              <w:rPr>
                <w:rFonts w:ascii="Arial" w:eastAsia="MS Mincho" w:hAnsi="Arial" w:cs="Arial"/>
                <w:bCs/>
              </w:rPr>
            </w:pPr>
            <w:r>
              <w:rPr>
                <w:rFonts w:ascii="Arial" w:eastAsia="MS Mincho" w:hAnsi="Arial" w:cs="Arial"/>
                <w:bCs/>
              </w:rPr>
              <w:t>Less signalling overheads compared with Option 1/2/2a.</w:t>
            </w:r>
          </w:p>
          <w:p w14:paraId="47A12735" w14:textId="77777777" w:rsidR="007159BE" w:rsidRDefault="007D3121">
            <w:pPr>
              <w:spacing w:after="0"/>
              <w:rPr>
                <w:rFonts w:ascii="Arial" w:eastAsia="MS Mincho" w:hAnsi="Arial" w:cs="Arial"/>
                <w:bCs/>
              </w:rPr>
            </w:pPr>
            <w:r>
              <w:rPr>
                <w:rFonts w:ascii="Arial" w:eastAsia="MS Mincho" w:hAnsi="Arial" w:cs="Arial"/>
                <w:bCs/>
              </w:rPr>
              <w:t>Better granularity compared with Option 3</w:t>
            </w:r>
          </w:p>
        </w:tc>
        <w:tc>
          <w:tcPr>
            <w:tcW w:w="4397" w:type="dxa"/>
            <w:tcBorders>
              <w:top w:val="single" w:sz="4" w:space="0" w:color="auto"/>
              <w:left w:val="single" w:sz="4" w:space="0" w:color="auto"/>
              <w:bottom w:val="single" w:sz="4" w:space="0" w:color="auto"/>
              <w:right w:val="single" w:sz="4" w:space="0" w:color="auto"/>
            </w:tcBorders>
          </w:tcPr>
          <w:p w14:paraId="0C6A0814" w14:textId="77777777" w:rsidR="007159BE" w:rsidRDefault="007D3121">
            <w:pPr>
              <w:spacing w:after="0"/>
              <w:rPr>
                <w:rFonts w:ascii="Arial" w:eastAsia="MS Mincho" w:hAnsi="Arial" w:cs="Arial"/>
                <w:bCs/>
              </w:rPr>
            </w:pPr>
            <w:r>
              <w:rPr>
                <w:rFonts w:ascii="Arial" w:eastAsia="MS Mincho" w:hAnsi="Arial" w:cs="Arial"/>
                <w:bCs/>
              </w:rPr>
              <w:t>It is not clear how this Option is applicable for EN-DC or NR-DC, as the LTE</w:t>
            </w:r>
            <w:r>
              <w:rPr>
                <w:rFonts w:ascii="Arial" w:eastAsiaTheme="minorEastAsia" w:hAnsi="Arial" w:cs="Arial" w:hint="eastAsia"/>
                <w:bCs/>
                <w:lang w:eastAsia="zh-CN"/>
              </w:rPr>
              <w:t>/</w:t>
            </w:r>
            <w:r>
              <w:rPr>
                <w:rFonts w:ascii="Arial" w:eastAsiaTheme="minorEastAsia" w:hAnsi="Arial" w:cs="Arial"/>
                <w:bCs/>
                <w:lang w:eastAsia="zh-CN"/>
              </w:rPr>
              <w:t>NR</w:t>
            </w:r>
            <w:r>
              <w:rPr>
                <w:rFonts w:ascii="Arial" w:eastAsia="MS Mincho" w:hAnsi="Arial" w:cs="Arial"/>
                <w:bCs/>
              </w:rPr>
              <w:t xml:space="preserve"> MN is not able to know the affected SCG BWP.</w:t>
            </w:r>
          </w:p>
          <w:p w14:paraId="5AC4A95A" w14:textId="77777777" w:rsidR="007159BE" w:rsidRDefault="007D3121">
            <w:pPr>
              <w:spacing w:after="0"/>
              <w:rPr>
                <w:rFonts w:ascii="Arial" w:eastAsia="MS Mincho" w:hAnsi="Arial" w:cs="Arial"/>
                <w:bCs/>
              </w:rPr>
            </w:pPr>
            <w:r>
              <w:rPr>
                <w:rFonts w:ascii="Arial" w:eastAsia="MS Mincho" w:hAnsi="Arial" w:cs="Arial"/>
                <w:bCs/>
              </w:rPr>
              <w:t>It is not clear how this Option is applicable for non-serving frequency, as the non-serving has no BWP configuration.</w:t>
            </w:r>
          </w:p>
        </w:tc>
      </w:tr>
      <w:tr w:rsidR="007159BE" w14:paraId="5444E2EB" w14:textId="77777777">
        <w:tc>
          <w:tcPr>
            <w:tcW w:w="1356" w:type="dxa"/>
            <w:tcBorders>
              <w:top w:val="single" w:sz="4" w:space="0" w:color="auto"/>
              <w:left w:val="single" w:sz="4" w:space="0" w:color="auto"/>
              <w:bottom w:val="single" w:sz="4" w:space="0" w:color="auto"/>
              <w:right w:val="single" w:sz="4" w:space="0" w:color="auto"/>
            </w:tcBorders>
          </w:tcPr>
          <w:p w14:paraId="69D4FABB" w14:textId="77777777" w:rsidR="007159BE" w:rsidRDefault="007D3121">
            <w:pPr>
              <w:spacing w:after="0"/>
              <w:rPr>
                <w:rFonts w:ascii="Arial" w:eastAsia="MS Mincho" w:hAnsi="Arial" w:cs="Arial"/>
                <w:bCs/>
              </w:rPr>
            </w:pPr>
            <w:r>
              <w:rPr>
                <w:rFonts w:ascii="Arial" w:eastAsia="MS Mincho" w:hAnsi="Arial" w:cs="Arial"/>
                <w:bCs/>
              </w:rPr>
              <w:t>OPPO</w:t>
            </w:r>
          </w:p>
        </w:tc>
        <w:tc>
          <w:tcPr>
            <w:tcW w:w="3876" w:type="dxa"/>
            <w:tcBorders>
              <w:top w:val="single" w:sz="4" w:space="0" w:color="auto"/>
              <w:left w:val="single" w:sz="4" w:space="0" w:color="auto"/>
              <w:bottom w:val="single" w:sz="4" w:space="0" w:color="auto"/>
              <w:right w:val="single" w:sz="4" w:space="0" w:color="auto"/>
            </w:tcBorders>
          </w:tcPr>
          <w:p w14:paraId="2AA3C8DA" w14:textId="77777777" w:rsidR="007159BE" w:rsidRDefault="007159BE">
            <w:pPr>
              <w:spacing w:after="0"/>
              <w:rPr>
                <w:rFonts w:ascii="Arial" w:eastAsiaTheme="minorEastAsia" w:hAnsi="Arial" w:cs="Arial"/>
                <w:bCs/>
                <w:lang w:eastAsia="zh-CN"/>
              </w:rPr>
            </w:pPr>
          </w:p>
        </w:tc>
        <w:tc>
          <w:tcPr>
            <w:tcW w:w="4397" w:type="dxa"/>
            <w:tcBorders>
              <w:top w:val="single" w:sz="4" w:space="0" w:color="auto"/>
              <w:left w:val="single" w:sz="4" w:space="0" w:color="auto"/>
              <w:bottom w:val="single" w:sz="4" w:space="0" w:color="auto"/>
              <w:right w:val="single" w:sz="4" w:space="0" w:color="auto"/>
            </w:tcBorders>
          </w:tcPr>
          <w:p w14:paraId="685D22C4" w14:textId="77777777" w:rsidR="007159BE" w:rsidRPr="00B23851" w:rsidRDefault="007D3121">
            <w:pPr>
              <w:pStyle w:val="aff4"/>
              <w:numPr>
                <w:ilvl w:val="0"/>
                <w:numId w:val="17"/>
              </w:numPr>
              <w:rPr>
                <w:rFonts w:ascii="Arial" w:eastAsia="MS Mincho" w:hAnsi="Arial" w:cs="Arial"/>
                <w:bCs/>
                <w:lang w:val="en-US"/>
              </w:rPr>
            </w:pPr>
            <w:r w:rsidRPr="00B23851">
              <w:rPr>
                <w:rFonts w:ascii="Arial" w:eastAsia="MS Mincho" w:hAnsi="Arial" w:cs="Arial"/>
                <w:bCs/>
                <w:lang w:val="en-US"/>
              </w:rPr>
              <w:t>PRB level reporting may lead to frequent IDC indication reporting due to the change of IDC status.</w:t>
            </w:r>
          </w:p>
          <w:p w14:paraId="580BB5A8" w14:textId="77777777" w:rsidR="007159BE" w:rsidRDefault="007D3121">
            <w:pPr>
              <w:pStyle w:val="aff4"/>
              <w:numPr>
                <w:ilvl w:val="0"/>
                <w:numId w:val="17"/>
              </w:numPr>
              <w:rPr>
                <w:rFonts w:ascii="Arial" w:eastAsia="MS Mincho" w:hAnsi="Arial" w:cs="Arial"/>
                <w:bCs/>
              </w:rPr>
            </w:pPr>
            <w:r>
              <w:rPr>
                <w:rFonts w:ascii="Arial" w:eastAsiaTheme="minorEastAsia" w:hAnsi="Arial" w:cs="Arial" w:hint="eastAsia"/>
                <w:bCs/>
                <w:lang w:eastAsia="zh-CN"/>
              </w:rPr>
              <w:t>I</w:t>
            </w:r>
            <w:r>
              <w:rPr>
                <w:rFonts w:ascii="Arial" w:eastAsiaTheme="minorEastAsia" w:hAnsi="Arial" w:cs="Arial"/>
                <w:bCs/>
                <w:lang w:eastAsia="zh-CN"/>
              </w:rPr>
              <w:t>ncreased signalling overhead</w:t>
            </w:r>
          </w:p>
        </w:tc>
      </w:tr>
      <w:tr w:rsidR="007159BE" w14:paraId="6AA6552F" w14:textId="77777777">
        <w:tc>
          <w:tcPr>
            <w:tcW w:w="1356" w:type="dxa"/>
            <w:tcBorders>
              <w:top w:val="single" w:sz="4" w:space="0" w:color="auto"/>
              <w:left w:val="single" w:sz="4" w:space="0" w:color="auto"/>
              <w:bottom w:val="single" w:sz="4" w:space="0" w:color="auto"/>
              <w:right w:val="single" w:sz="4" w:space="0" w:color="auto"/>
            </w:tcBorders>
          </w:tcPr>
          <w:p w14:paraId="71C238FF" w14:textId="77777777" w:rsidR="007159BE" w:rsidRDefault="007D3121">
            <w:pPr>
              <w:spacing w:after="0"/>
              <w:jc w:val="center"/>
              <w:rPr>
                <w:rFonts w:ascii="Arial" w:eastAsia="MS Mincho" w:hAnsi="Arial" w:cs="Arial"/>
                <w:bCs/>
              </w:rPr>
            </w:pPr>
            <w:r>
              <w:rPr>
                <w:rFonts w:ascii="Arial" w:eastAsia="MS Mincho" w:hAnsi="Arial" w:cs="Arial"/>
                <w:bCs/>
              </w:rPr>
              <w:t>Qualcomm</w:t>
            </w:r>
          </w:p>
        </w:tc>
        <w:tc>
          <w:tcPr>
            <w:tcW w:w="3876" w:type="dxa"/>
            <w:tcBorders>
              <w:top w:val="single" w:sz="4" w:space="0" w:color="auto"/>
              <w:left w:val="single" w:sz="4" w:space="0" w:color="auto"/>
              <w:bottom w:val="single" w:sz="4" w:space="0" w:color="auto"/>
              <w:right w:val="single" w:sz="4" w:space="0" w:color="auto"/>
            </w:tcBorders>
          </w:tcPr>
          <w:p w14:paraId="4311707E" w14:textId="77777777" w:rsidR="007159BE" w:rsidRDefault="007D3121">
            <w:pPr>
              <w:spacing w:after="0"/>
              <w:rPr>
                <w:rFonts w:ascii="Arial" w:eastAsia="MS Mincho" w:hAnsi="Arial" w:cs="Arial"/>
                <w:bCs/>
              </w:rPr>
            </w:pPr>
            <w:r>
              <w:rPr>
                <w:rFonts w:ascii="Arial" w:eastAsia="MS Mincho" w:hAnsi="Arial" w:cs="Arial"/>
                <w:bCs/>
              </w:rPr>
              <w:t xml:space="preserve">Same as option 1/2/2a but with even better signalling and more compact reporting. </w:t>
            </w:r>
          </w:p>
        </w:tc>
        <w:tc>
          <w:tcPr>
            <w:tcW w:w="4397" w:type="dxa"/>
            <w:tcBorders>
              <w:top w:val="single" w:sz="4" w:space="0" w:color="auto"/>
              <w:left w:val="single" w:sz="4" w:space="0" w:color="auto"/>
              <w:bottom w:val="single" w:sz="4" w:space="0" w:color="auto"/>
              <w:right w:val="single" w:sz="4" w:space="0" w:color="auto"/>
            </w:tcBorders>
          </w:tcPr>
          <w:p w14:paraId="0F15744F" w14:textId="77777777" w:rsidR="007159BE" w:rsidRDefault="007D3121">
            <w:pPr>
              <w:spacing w:after="0"/>
              <w:rPr>
                <w:rFonts w:ascii="Arial" w:eastAsia="MS Mincho" w:hAnsi="Arial" w:cs="Arial"/>
                <w:bCs/>
              </w:rPr>
            </w:pPr>
            <w:r>
              <w:rPr>
                <w:rFonts w:ascii="Arial" w:eastAsia="MS Mincho" w:hAnsi="Arial" w:cs="Arial"/>
                <w:bCs/>
              </w:rPr>
              <w:t xml:space="preserve">Same as option1/2/2a without the large overhead part. </w:t>
            </w:r>
          </w:p>
          <w:p w14:paraId="451BA8B5" w14:textId="77777777" w:rsidR="007159BE" w:rsidRDefault="007159BE">
            <w:pPr>
              <w:spacing w:after="0"/>
              <w:rPr>
                <w:rFonts w:ascii="Arial" w:eastAsia="MS Mincho" w:hAnsi="Arial" w:cs="Arial"/>
                <w:bCs/>
              </w:rPr>
            </w:pPr>
          </w:p>
          <w:p w14:paraId="5123EF76" w14:textId="77777777" w:rsidR="007159BE" w:rsidRDefault="007D3121">
            <w:pPr>
              <w:spacing w:after="0"/>
              <w:rPr>
                <w:rFonts w:ascii="Arial" w:eastAsia="MS Mincho" w:hAnsi="Arial" w:cs="Arial"/>
                <w:bCs/>
              </w:rPr>
            </w:pPr>
            <w:r>
              <w:rPr>
                <w:rFonts w:ascii="Arial" w:eastAsia="MS Mincho" w:hAnsi="Arial" w:cs="Arial"/>
                <w:bCs/>
              </w:rPr>
              <w:t>Not applicable to non-serving cell</w:t>
            </w:r>
          </w:p>
        </w:tc>
      </w:tr>
      <w:tr w:rsidR="007159BE" w14:paraId="2981CF5E" w14:textId="77777777">
        <w:tc>
          <w:tcPr>
            <w:tcW w:w="1356" w:type="dxa"/>
            <w:tcBorders>
              <w:top w:val="single" w:sz="4" w:space="0" w:color="auto"/>
              <w:left w:val="single" w:sz="4" w:space="0" w:color="auto"/>
              <w:bottom w:val="single" w:sz="4" w:space="0" w:color="auto"/>
              <w:right w:val="single" w:sz="4" w:space="0" w:color="auto"/>
            </w:tcBorders>
          </w:tcPr>
          <w:p w14:paraId="0A1EEBAE" w14:textId="77777777" w:rsidR="007159BE" w:rsidRDefault="007D3121">
            <w:pPr>
              <w:spacing w:after="0"/>
              <w:rPr>
                <w:rFonts w:ascii="Arial" w:hAnsi="Arial" w:cs="Arial"/>
                <w:bCs/>
                <w:lang w:val="en-US" w:eastAsia="zh-CN"/>
              </w:rPr>
            </w:pPr>
            <w:r>
              <w:rPr>
                <w:rFonts w:ascii="Arial" w:hAnsi="Arial" w:cs="Arial" w:hint="eastAsia"/>
                <w:bCs/>
                <w:lang w:val="en-US" w:eastAsia="zh-CN"/>
              </w:rPr>
              <w:t>ZTE</w:t>
            </w:r>
          </w:p>
        </w:tc>
        <w:tc>
          <w:tcPr>
            <w:tcW w:w="3876" w:type="dxa"/>
            <w:tcBorders>
              <w:top w:val="single" w:sz="4" w:space="0" w:color="auto"/>
              <w:left w:val="single" w:sz="4" w:space="0" w:color="auto"/>
              <w:bottom w:val="single" w:sz="4" w:space="0" w:color="auto"/>
              <w:right w:val="single" w:sz="4" w:space="0" w:color="auto"/>
            </w:tcBorders>
          </w:tcPr>
          <w:p w14:paraId="5F44327F" w14:textId="77777777" w:rsidR="007159BE" w:rsidRDefault="007D3121">
            <w:pPr>
              <w:spacing w:after="0"/>
              <w:rPr>
                <w:rFonts w:ascii="Arial" w:hAnsi="Arial" w:cs="Arial"/>
                <w:bCs/>
                <w:lang w:val="en-US" w:eastAsia="zh-CN"/>
              </w:rPr>
            </w:pPr>
            <w:r>
              <w:rPr>
                <w:rFonts w:ascii="Arial" w:hAnsi="Arial" w:cs="Arial" w:hint="eastAsia"/>
                <w:bCs/>
                <w:lang w:val="en-US" w:eastAsia="zh-CN"/>
              </w:rPr>
              <w:t>Can provide more detail info for each BWP</w:t>
            </w:r>
          </w:p>
        </w:tc>
        <w:tc>
          <w:tcPr>
            <w:tcW w:w="4397" w:type="dxa"/>
            <w:tcBorders>
              <w:top w:val="single" w:sz="4" w:space="0" w:color="auto"/>
              <w:left w:val="single" w:sz="4" w:space="0" w:color="auto"/>
              <w:bottom w:val="single" w:sz="4" w:space="0" w:color="auto"/>
              <w:right w:val="single" w:sz="4" w:space="0" w:color="auto"/>
            </w:tcBorders>
          </w:tcPr>
          <w:p w14:paraId="56522C7E" w14:textId="77777777" w:rsidR="007159BE" w:rsidRDefault="007D3121">
            <w:pPr>
              <w:spacing w:after="0"/>
              <w:rPr>
                <w:rFonts w:ascii="Arial" w:hAnsi="Arial" w:cs="Arial"/>
                <w:bCs/>
                <w:lang w:val="en-US" w:eastAsia="zh-CN"/>
              </w:rPr>
            </w:pPr>
            <w:r>
              <w:rPr>
                <w:rFonts w:ascii="Arial" w:hAnsi="Arial" w:cs="Arial" w:hint="eastAsia"/>
                <w:bCs/>
                <w:lang w:val="en-US" w:eastAsia="zh-CN"/>
              </w:rPr>
              <w:t>More signaling overheads</w:t>
            </w:r>
          </w:p>
        </w:tc>
      </w:tr>
      <w:tr w:rsidR="007159BE" w14:paraId="636BD096" w14:textId="77777777">
        <w:tc>
          <w:tcPr>
            <w:tcW w:w="1356" w:type="dxa"/>
            <w:tcBorders>
              <w:top w:val="single" w:sz="4" w:space="0" w:color="auto"/>
              <w:left w:val="single" w:sz="4" w:space="0" w:color="auto"/>
              <w:bottom w:val="single" w:sz="4" w:space="0" w:color="auto"/>
              <w:right w:val="single" w:sz="4" w:space="0" w:color="auto"/>
            </w:tcBorders>
          </w:tcPr>
          <w:p w14:paraId="73FD0AB5" w14:textId="644FAF6D" w:rsidR="007159BE" w:rsidRDefault="00B52E72">
            <w:pPr>
              <w:spacing w:after="0"/>
              <w:rPr>
                <w:rFonts w:ascii="Arial" w:eastAsia="MS Mincho" w:hAnsi="Arial" w:cs="Arial"/>
                <w:bCs/>
              </w:rPr>
            </w:pPr>
            <w:r>
              <w:rPr>
                <w:rFonts w:ascii="Arial" w:eastAsia="MS Mincho" w:hAnsi="Arial" w:cs="Arial"/>
                <w:bCs/>
              </w:rPr>
              <w:t>Apple</w:t>
            </w:r>
          </w:p>
        </w:tc>
        <w:tc>
          <w:tcPr>
            <w:tcW w:w="3876" w:type="dxa"/>
            <w:tcBorders>
              <w:top w:val="single" w:sz="4" w:space="0" w:color="auto"/>
              <w:left w:val="single" w:sz="4" w:space="0" w:color="auto"/>
              <w:bottom w:val="single" w:sz="4" w:space="0" w:color="auto"/>
              <w:right w:val="single" w:sz="4" w:space="0" w:color="auto"/>
            </w:tcBorders>
          </w:tcPr>
          <w:p w14:paraId="4D90BF7C" w14:textId="0DBB2CF9" w:rsidR="0070720C" w:rsidRDefault="0070720C">
            <w:pPr>
              <w:spacing w:after="0"/>
              <w:rPr>
                <w:rFonts w:ascii="Arial" w:eastAsia="MS Mincho" w:hAnsi="Arial" w:cs="Arial"/>
                <w:bCs/>
              </w:rPr>
            </w:pPr>
            <w:r>
              <w:rPr>
                <w:rFonts w:ascii="Arial" w:eastAsia="MS Mincho" w:hAnsi="Arial" w:cs="Arial"/>
                <w:bCs/>
              </w:rPr>
              <w:t>Finest granularity of problematic resources.</w:t>
            </w:r>
          </w:p>
        </w:tc>
        <w:tc>
          <w:tcPr>
            <w:tcW w:w="4397" w:type="dxa"/>
            <w:tcBorders>
              <w:top w:val="single" w:sz="4" w:space="0" w:color="auto"/>
              <w:left w:val="single" w:sz="4" w:space="0" w:color="auto"/>
              <w:bottom w:val="single" w:sz="4" w:space="0" w:color="auto"/>
              <w:right w:val="single" w:sz="4" w:space="0" w:color="auto"/>
            </w:tcBorders>
          </w:tcPr>
          <w:p w14:paraId="450ECA18" w14:textId="35264F02" w:rsidR="007159BE" w:rsidRDefault="0070720C">
            <w:pPr>
              <w:spacing w:after="0"/>
              <w:rPr>
                <w:rFonts w:ascii="Arial" w:eastAsia="MS Mincho" w:hAnsi="Arial" w:cs="Arial"/>
                <w:bCs/>
              </w:rPr>
            </w:pPr>
            <w:r>
              <w:rPr>
                <w:rFonts w:ascii="Arial" w:eastAsia="MS Mincho" w:hAnsi="Arial" w:cs="Arial"/>
                <w:bCs/>
              </w:rPr>
              <w:t xml:space="preserve">Larger </w:t>
            </w:r>
            <w:proofErr w:type="spellStart"/>
            <w:r>
              <w:rPr>
                <w:rFonts w:ascii="Arial" w:eastAsia="MS Mincho" w:hAnsi="Arial" w:cs="Arial"/>
                <w:bCs/>
              </w:rPr>
              <w:t>signaling</w:t>
            </w:r>
            <w:proofErr w:type="spellEnd"/>
            <w:r>
              <w:rPr>
                <w:rFonts w:ascii="Arial" w:eastAsia="MS Mincho" w:hAnsi="Arial" w:cs="Arial"/>
                <w:bCs/>
              </w:rPr>
              <w:t xml:space="preserve"> overhead than BWP ID only reporting.</w:t>
            </w:r>
          </w:p>
        </w:tc>
      </w:tr>
      <w:tr w:rsidR="00717510" w:rsidRPr="00916935" w14:paraId="6AB21969" w14:textId="77777777" w:rsidTr="00717510">
        <w:tc>
          <w:tcPr>
            <w:tcW w:w="1356" w:type="dxa"/>
            <w:tcBorders>
              <w:top w:val="single" w:sz="4" w:space="0" w:color="auto"/>
              <w:left w:val="single" w:sz="4" w:space="0" w:color="auto"/>
              <w:bottom w:val="single" w:sz="4" w:space="0" w:color="auto"/>
              <w:right w:val="single" w:sz="4" w:space="0" w:color="auto"/>
            </w:tcBorders>
          </w:tcPr>
          <w:p w14:paraId="44623B24" w14:textId="77777777" w:rsidR="00717510" w:rsidRPr="00717510" w:rsidRDefault="00717510" w:rsidP="00B926CF">
            <w:pPr>
              <w:spacing w:after="0"/>
              <w:rPr>
                <w:rFonts w:ascii="Arial" w:eastAsia="MS Mincho" w:hAnsi="Arial" w:cs="Arial"/>
                <w:bCs/>
              </w:rPr>
            </w:pPr>
            <w:r w:rsidRPr="00717510">
              <w:rPr>
                <w:rFonts w:ascii="Arial" w:eastAsia="MS Mincho" w:hAnsi="Arial" w:cs="Arial" w:hint="eastAsia"/>
                <w:bCs/>
              </w:rPr>
              <w:t>S</w:t>
            </w:r>
            <w:r w:rsidRPr="00717510">
              <w:rPr>
                <w:rFonts w:ascii="Arial" w:eastAsia="MS Mincho" w:hAnsi="Arial" w:cs="Arial"/>
                <w:bCs/>
              </w:rPr>
              <w:t xml:space="preserve">amsung </w:t>
            </w:r>
          </w:p>
        </w:tc>
        <w:tc>
          <w:tcPr>
            <w:tcW w:w="3876" w:type="dxa"/>
            <w:tcBorders>
              <w:top w:val="single" w:sz="4" w:space="0" w:color="auto"/>
              <w:left w:val="single" w:sz="4" w:space="0" w:color="auto"/>
              <w:bottom w:val="single" w:sz="4" w:space="0" w:color="auto"/>
              <w:right w:val="single" w:sz="4" w:space="0" w:color="auto"/>
            </w:tcBorders>
          </w:tcPr>
          <w:p w14:paraId="0783A5AE" w14:textId="77777777" w:rsidR="00717510" w:rsidRPr="00717510" w:rsidRDefault="00717510" w:rsidP="00B926CF">
            <w:pPr>
              <w:spacing w:after="0"/>
              <w:rPr>
                <w:rFonts w:ascii="Arial" w:eastAsia="MS Mincho" w:hAnsi="Arial" w:cs="Arial"/>
                <w:bCs/>
              </w:rPr>
            </w:pPr>
            <w:r w:rsidRPr="00717510">
              <w:rPr>
                <w:rFonts w:ascii="Arial" w:eastAsia="MS Mincho" w:hAnsi="Arial" w:cs="Arial" w:hint="eastAsia"/>
                <w:bCs/>
              </w:rPr>
              <w:t>I</w:t>
            </w:r>
            <w:r w:rsidRPr="00717510">
              <w:rPr>
                <w:rFonts w:ascii="Arial" w:eastAsia="MS Mincho" w:hAnsi="Arial" w:cs="Arial"/>
                <w:bCs/>
              </w:rPr>
              <w:t xml:space="preserve">t can provide finer granularity than option3. </w:t>
            </w:r>
          </w:p>
        </w:tc>
        <w:tc>
          <w:tcPr>
            <w:tcW w:w="4397" w:type="dxa"/>
            <w:tcBorders>
              <w:top w:val="single" w:sz="4" w:space="0" w:color="auto"/>
              <w:left w:val="single" w:sz="4" w:space="0" w:color="auto"/>
              <w:bottom w:val="single" w:sz="4" w:space="0" w:color="auto"/>
              <w:right w:val="single" w:sz="4" w:space="0" w:color="auto"/>
            </w:tcBorders>
          </w:tcPr>
          <w:p w14:paraId="6077B044" w14:textId="77777777" w:rsidR="00717510" w:rsidRPr="00717510" w:rsidRDefault="00717510" w:rsidP="00B926CF">
            <w:pPr>
              <w:spacing w:after="0"/>
              <w:rPr>
                <w:rFonts w:ascii="Arial" w:eastAsia="MS Mincho" w:hAnsi="Arial" w:cs="Arial"/>
                <w:bCs/>
              </w:rPr>
            </w:pPr>
            <w:r w:rsidRPr="00717510">
              <w:rPr>
                <w:rFonts w:ascii="Arial" w:eastAsia="MS Mincho" w:hAnsi="Arial" w:cs="Arial"/>
                <w:bCs/>
              </w:rPr>
              <w:t>Similar as option 3.</w:t>
            </w:r>
          </w:p>
        </w:tc>
      </w:tr>
      <w:tr w:rsidR="00736AF6" w14:paraId="0FF5C9E4" w14:textId="77777777">
        <w:tc>
          <w:tcPr>
            <w:tcW w:w="1356" w:type="dxa"/>
            <w:tcBorders>
              <w:top w:val="single" w:sz="4" w:space="0" w:color="auto"/>
              <w:left w:val="single" w:sz="4" w:space="0" w:color="auto"/>
              <w:bottom w:val="single" w:sz="4" w:space="0" w:color="auto"/>
              <w:right w:val="single" w:sz="4" w:space="0" w:color="auto"/>
            </w:tcBorders>
          </w:tcPr>
          <w:p w14:paraId="3A2DEA7A" w14:textId="6261841A" w:rsidR="00736AF6" w:rsidRDefault="00736AF6" w:rsidP="00736AF6">
            <w:pPr>
              <w:spacing w:after="0"/>
              <w:rPr>
                <w:rFonts w:ascii="Arial" w:eastAsia="MS Mincho" w:hAnsi="Arial" w:cs="Arial"/>
                <w:bCs/>
              </w:rPr>
            </w:pPr>
            <w:r>
              <w:rPr>
                <w:rFonts w:ascii="Arial" w:eastAsia="MS Mincho" w:hAnsi="Arial" w:cs="Arial"/>
                <w:bCs/>
              </w:rPr>
              <w:t>Intel</w:t>
            </w:r>
          </w:p>
        </w:tc>
        <w:tc>
          <w:tcPr>
            <w:tcW w:w="3876" w:type="dxa"/>
            <w:tcBorders>
              <w:top w:val="single" w:sz="4" w:space="0" w:color="auto"/>
              <w:left w:val="single" w:sz="4" w:space="0" w:color="auto"/>
              <w:bottom w:val="single" w:sz="4" w:space="0" w:color="auto"/>
              <w:right w:val="single" w:sz="4" w:space="0" w:color="auto"/>
            </w:tcBorders>
          </w:tcPr>
          <w:p w14:paraId="0E8917F3" w14:textId="5215CAD0" w:rsidR="00736AF6" w:rsidRDefault="00736AF6" w:rsidP="00736AF6">
            <w:pPr>
              <w:spacing w:after="0"/>
              <w:rPr>
                <w:rFonts w:ascii="Arial" w:eastAsia="MS Mincho" w:hAnsi="Arial" w:cs="Arial"/>
                <w:bCs/>
              </w:rPr>
            </w:pPr>
            <w:r>
              <w:rPr>
                <w:rFonts w:ascii="Arial" w:eastAsia="MS Mincho" w:hAnsi="Arial" w:cs="Arial"/>
                <w:bCs/>
              </w:rPr>
              <w:t xml:space="preserve">Since </w:t>
            </w:r>
            <w:proofErr w:type="spellStart"/>
            <w:r>
              <w:rPr>
                <w:rFonts w:ascii="Arial" w:eastAsia="MS Mincho" w:hAnsi="Arial" w:cs="Arial"/>
                <w:bCs/>
              </w:rPr>
              <w:t>gNB</w:t>
            </w:r>
            <w:proofErr w:type="spellEnd"/>
            <w:r>
              <w:rPr>
                <w:rFonts w:ascii="Arial" w:eastAsia="MS Mincho" w:hAnsi="Arial" w:cs="Arial"/>
                <w:bCs/>
              </w:rPr>
              <w:t xml:space="preserve"> can only schedule in unit of PRB, this option has the best granularity.</w:t>
            </w:r>
          </w:p>
        </w:tc>
        <w:tc>
          <w:tcPr>
            <w:tcW w:w="4397" w:type="dxa"/>
            <w:tcBorders>
              <w:top w:val="single" w:sz="4" w:space="0" w:color="auto"/>
              <w:left w:val="single" w:sz="4" w:space="0" w:color="auto"/>
              <w:bottom w:val="single" w:sz="4" w:space="0" w:color="auto"/>
              <w:right w:val="single" w:sz="4" w:space="0" w:color="auto"/>
            </w:tcBorders>
          </w:tcPr>
          <w:p w14:paraId="3C687FA6" w14:textId="29126096" w:rsidR="00736AF6" w:rsidRDefault="00736AF6" w:rsidP="00736AF6">
            <w:pPr>
              <w:spacing w:after="0"/>
              <w:rPr>
                <w:rFonts w:ascii="Arial" w:eastAsia="MS Mincho" w:hAnsi="Arial" w:cs="Arial"/>
                <w:bCs/>
              </w:rPr>
            </w:pPr>
            <w:r>
              <w:rPr>
                <w:rFonts w:ascii="Arial" w:eastAsia="MS Mincho" w:hAnsi="Arial" w:cs="Arial"/>
                <w:bCs/>
              </w:rPr>
              <w:t>Potentially larger signalling overhead compared with option 3 and 6.</w:t>
            </w:r>
          </w:p>
        </w:tc>
      </w:tr>
      <w:tr w:rsidR="00736AF6" w14:paraId="1BAF8713" w14:textId="77777777">
        <w:tc>
          <w:tcPr>
            <w:tcW w:w="1356" w:type="dxa"/>
            <w:tcBorders>
              <w:top w:val="single" w:sz="4" w:space="0" w:color="auto"/>
              <w:left w:val="single" w:sz="4" w:space="0" w:color="auto"/>
              <w:bottom w:val="single" w:sz="4" w:space="0" w:color="auto"/>
              <w:right w:val="single" w:sz="4" w:space="0" w:color="auto"/>
            </w:tcBorders>
          </w:tcPr>
          <w:p w14:paraId="634EE759" w14:textId="4F49C338" w:rsidR="00736AF6" w:rsidRPr="00FE311C" w:rsidRDefault="00FE311C" w:rsidP="00736AF6">
            <w:pPr>
              <w:spacing w:after="0"/>
              <w:rPr>
                <w:rFonts w:ascii="Arial" w:eastAsiaTheme="minorEastAsia" w:hAnsi="Arial" w:cs="Arial"/>
                <w:bCs/>
                <w:lang w:eastAsia="zh-CN"/>
              </w:rPr>
            </w:pPr>
            <w:r>
              <w:rPr>
                <w:rFonts w:ascii="Arial" w:eastAsiaTheme="minorEastAsia" w:hAnsi="Arial" w:cs="Arial" w:hint="eastAsia"/>
                <w:bCs/>
                <w:lang w:eastAsia="zh-CN"/>
              </w:rPr>
              <w:lastRenderedPageBreak/>
              <w:t>v</w:t>
            </w:r>
            <w:r>
              <w:rPr>
                <w:rFonts w:ascii="Arial" w:eastAsiaTheme="minorEastAsia" w:hAnsi="Arial" w:cs="Arial"/>
                <w:bCs/>
                <w:lang w:eastAsia="zh-CN"/>
              </w:rPr>
              <w:t>ivo</w:t>
            </w:r>
          </w:p>
        </w:tc>
        <w:tc>
          <w:tcPr>
            <w:tcW w:w="3876" w:type="dxa"/>
            <w:tcBorders>
              <w:top w:val="single" w:sz="4" w:space="0" w:color="auto"/>
              <w:left w:val="single" w:sz="4" w:space="0" w:color="auto"/>
              <w:bottom w:val="single" w:sz="4" w:space="0" w:color="auto"/>
              <w:right w:val="single" w:sz="4" w:space="0" w:color="auto"/>
            </w:tcBorders>
          </w:tcPr>
          <w:p w14:paraId="650E3206" w14:textId="1D185CC7" w:rsidR="00736AF6" w:rsidRDefault="00FE311C" w:rsidP="00736AF6">
            <w:pPr>
              <w:spacing w:after="0"/>
              <w:rPr>
                <w:rFonts w:ascii="Arial" w:eastAsia="MS Mincho" w:hAnsi="Arial" w:cs="Arial"/>
                <w:bCs/>
              </w:rPr>
            </w:pPr>
            <w:r>
              <w:rPr>
                <w:rFonts w:ascii="Arial" w:eastAsia="MS Mincho" w:hAnsi="Arial" w:cs="Arial"/>
                <w:bCs/>
              </w:rPr>
              <w:t>F</w:t>
            </w:r>
            <w:r w:rsidRPr="00717510">
              <w:rPr>
                <w:rFonts w:ascii="Arial" w:eastAsia="MS Mincho" w:hAnsi="Arial" w:cs="Arial"/>
                <w:bCs/>
              </w:rPr>
              <w:t>iner granularity than option3</w:t>
            </w:r>
          </w:p>
        </w:tc>
        <w:tc>
          <w:tcPr>
            <w:tcW w:w="4397" w:type="dxa"/>
            <w:tcBorders>
              <w:top w:val="single" w:sz="4" w:space="0" w:color="auto"/>
              <w:left w:val="single" w:sz="4" w:space="0" w:color="auto"/>
              <w:bottom w:val="single" w:sz="4" w:space="0" w:color="auto"/>
              <w:right w:val="single" w:sz="4" w:space="0" w:color="auto"/>
            </w:tcBorders>
          </w:tcPr>
          <w:p w14:paraId="6CA1F136" w14:textId="67320ABE" w:rsidR="00736AF6" w:rsidRPr="00FE311C" w:rsidRDefault="00FE311C" w:rsidP="00736AF6">
            <w:pPr>
              <w:spacing w:after="0"/>
              <w:rPr>
                <w:rFonts w:ascii="Arial" w:eastAsiaTheme="minorEastAsia" w:hAnsi="Arial" w:cs="Arial"/>
                <w:bCs/>
                <w:lang w:eastAsia="zh-CN"/>
              </w:rPr>
            </w:pPr>
            <w:r>
              <w:rPr>
                <w:rFonts w:ascii="Arial" w:eastAsia="MS Mincho" w:hAnsi="Arial" w:cs="Arial"/>
                <w:bCs/>
              </w:rPr>
              <w:t>Larger signalling overhead compared with Option 1/2/2a</w:t>
            </w:r>
            <w:r>
              <w:rPr>
                <w:rFonts w:ascii="Arial" w:eastAsiaTheme="minorEastAsia" w:hAnsi="Arial" w:cs="Arial" w:hint="eastAsia"/>
                <w:bCs/>
                <w:lang w:eastAsia="zh-CN"/>
              </w:rPr>
              <w:t>/</w:t>
            </w:r>
            <w:r>
              <w:rPr>
                <w:rFonts w:ascii="Arial" w:eastAsiaTheme="minorEastAsia" w:hAnsi="Arial" w:cs="Arial"/>
                <w:bCs/>
                <w:lang w:eastAsia="zh-CN"/>
              </w:rPr>
              <w:t>3.</w:t>
            </w:r>
          </w:p>
        </w:tc>
      </w:tr>
    </w:tbl>
    <w:p w14:paraId="37DDB174" w14:textId="77777777" w:rsidR="007159BE" w:rsidRDefault="007159BE">
      <w:pPr>
        <w:rPr>
          <w:rFonts w:ascii="Arial" w:hAnsi="Arial"/>
          <w:lang w:eastAsia="zh-CN"/>
        </w:rPr>
      </w:pPr>
    </w:p>
    <w:p w14:paraId="4EED88E7" w14:textId="77777777" w:rsidR="007159BE" w:rsidRDefault="007D3121">
      <w:pPr>
        <w:rPr>
          <w:rFonts w:ascii="Arial" w:hAnsi="Arial"/>
          <w:lang w:eastAsia="zh-CN"/>
        </w:rPr>
      </w:pPr>
      <w:r>
        <w:rPr>
          <w:rFonts w:ascii="Arial" w:hAnsi="Arial"/>
          <w:lang w:eastAsia="zh-CN"/>
        </w:rPr>
        <w:t>Option 6 is:</w:t>
      </w:r>
    </w:p>
    <w:p w14:paraId="09A9F6FD" w14:textId="77777777" w:rsidR="007159BE" w:rsidRDefault="007D3121">
      <w:pPr>
        <w:ind w:left="426" w:right="850"/>
        <w:rPr>
          <w:rFonts w:ascii="Arial" w:hAnsi="Arial" w:cs="Arial"/>
          <w:lang w:eastAsia="zh-CN"/>
        </w:rPr>
      </w:pPr>
      <w:r>
        <w:rPr>
          <w:rFonts w:ascii="Arial" w:hAnsi="Arial"/>
          <w:b/>
          <w:bCs/>
          <w:lang w:eastAsia="zh-CN"/>
        </w:rPr>
        <w:t>Option 6</w:t>
      </w:r>
      <w:r>
        <w:rPr>
          <w:rFonts w:ascii="Arial" w:hAnsi="Arial"/>
          <w:lang w:eastAsia="zh-CN"/>
        </w:rPr>
        <w:t xml:space="preserve">: Resource Block Group (RBG) based reporting (1/14 for both serving frequency and non-serving frequency) </w:t>
      </w:r>
      <w:r>
        <w:rPr>
          <w:rFonts w:ascii="Arial" w:hAnsi="Arial" w:cs="Arial"/>
          <w:lang w:eastAsia="zh-CN"/>
        </w:rPr>
        <w:t>[8].</w:t>
      </w:r>
    </w:p>
    <w:p w14:paraId="5874FF0E" w14:textId="77777777" w:rsidR="007159BE" w:rsidRDefault="007D3121">
      <w:pPr>
        <w:rPr>
          <w:rFonts w:ascii="Arial" w:hAnsi="Arial"/>
          <w:b/>
          <w:bCs/>
          <w:lang w:eastAsia="zh-CN"/>
        </w:rPr>
      </w:pPr>
      <w:r>
        <w:rPr>
          <w:rFonts w:ascii="Arial" w:hAnsi="Arial"/>
          <w:b/>
          <w:bCs/>
          <w:lang w:eastAsia="zh-CN"/>
        </w:rPr>
        <w:t>Q7: What are technical benefits and drawbacks of solution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3876"/>
        <w:gridCol w:w="4397"/>
      </w:tblGrid>
      <w:tr w:rsidR="007159BE" w14:paraId="13A3989B" w14:textId="77777777">
        <w:tc>
          <w:tcPr>
            <w:tcW w:w="1356" w:type="dxa"/>
            <w:tcBorders>
              <w:top w:val="single" w:sz="4" w:space="0" w:color="auto"/>
              <w:left w:val="single" w:sz="4" w:space="0" w:color="auto"/>
              <w:bottom w:val="single" w:sz="4" w:space="0" w:color="auto"/>
              <w:right w:val="single" w:sz="4" w:space="0" w:color="auto"/>
            </w:tcBorders>
            <w:shd w:val="clear" w:color="auto" w:fill="D9D9D9"/>
          </w:tcPr>
          <w:p w14:paraId="1B69B04D" w14:textId="77777777" w:rsidR="007159BE" w:rsidRDefault="007D3121">
            <w:pPr>
              <w:spacing w:after="0"/>
              <w:rPr>
                <w:rFonts w:ascii="Arial" w:hAnsi="Arial" w:cs="Arial"/>
                <w:b/>
                <w:bCs/>
                <w:lang w:eastAsia="zh-CN"/>
              </w:rPr>
            </w:pPr>
            <w:r>
              <w:rPr>
                <w:rFonts w:ascii="Arial" w:hAnsi="Arial" w:cs="Arial"/>
                <w:b/>
                <w:bCs/>
                <w:lang w:eastAsia="zh-CN"/>
              </w:rPr>
              <w:t>Company</w:t>
            </w:r>
          </w:p>
        </w:tc>
        <w:tc>
          <w:tcPr>
            <w:tcW w:w="3876" w:type="dxa"/>
            <w:tcBorders>
              <w:top w:val="single" w:sz="4" w:space="0" w:color="auto"/>
              <w:left w:val="single" w:sz="4" w:space="0" w:color="auto"/>
              <w:bottom w:val="single" w:sz="4" w:space="0" w:color="auto"/>
              <w:right w:val="single" w:sz="4" w:space="0" w:color="auto"/>
            </w:tcBorders>
            <w:shd w:val="clear" w:color="auto" w:fill="D9D9D9"/>
          </w:tcPr>
          <w:p w14:paraId="409D493F" w14:textId="77777777" w:rsidR="007159BE" w:rsidRDefault="007D3121">
            <w:pPr>
              <w:spacing w:after="0"/>
              <w:rPr>
                <w:rFonts w:ascii="Arial" w:hAnsi="Arial" w:cs="Arial"/>
                <w:b/>
                <w:bCs/>
                <w:lang w:eastAsia="zh-CN"/>
              </w:rPr>
            </w:pPr>
            <w:r>
              <w:rPr>
                <w:rFonts w:ascii="Arial" w:hAnsi="Arial" w:cs="Arial"/>
                <w:b/>
                <w:bCs/>
                <w:lang w:eastAsia="zh-CN"/>
              </w:rPr>
              <w:t>Benefits</w:t>
            </w:r>
          </w:p>
        </w:tc>
        <w:tc>
          <w:tcPr>
            <w:tcW w:w="4397" w:type="dxa"/>
            <w:tcBorders>
              <w:top w:val="single" w:sz="4" w:space="0" w:color="auto"/>
              <w:left w:val="single" w:sz="4" w:space="0" w:color="auto"/>
              <w:bottom w:val="single" w:sz="4" w:space="0" w:color="auto"/>
              <w:right w:val="single" w:sz="4" w:space="0" w:color="auto"/>
            </w:tcBorders>
            <w:shd w:val="clear" w:color="auto" w:fill="D9D9D9"/>
          </w:tcPr>
          <w:p w14:paraId="6D0FD678" w14:textId="77777777" w:rsidR="007159BE" w:rsidRDefault="007D3121">
            <w:pPr>
              <w:spacing w:after="0"/>
              <w:rPr>
                <w:rFonts w:ascii="Arial" w:hAnsi="Arial" w:cs="Arial"/>
                <w:b/>
                <w:bCs/>
                <w:lang w:eastAsia="zh-CN"/>
              </w:rPr>
            </w:pPr>
            <w:r>
              <w:rPr>
                <w:rFonts w:ascii="Arial" w:hAnsi="Arial" w:cs="Arial"/>
                <w:b/>
                <w:bCs/>
                <w:lang w:eastAsia="zh-CN"/>
              </w:rPr>
              <w:t>Drawbacks</w:t>
            </w:r>
          </w:p>
        </w:tc>
      </w:tr>
      <w:tr w:rsidR="007159BE" w14:paraId="1412FF50" w14:textId="77777777">
        <w:tc>
          <w:tcPr>
            <w:tcW w:w="1356" w:type="dxa"/>
            <w:tcBorders>
              <w:top w:val="single" w:sz="4" w:space="0" w:color="auto"/>
              <w:left w:val="single" w:sz="4" w:space="0" w:color="auto"/>
              <w:bottom w:val="single" w:sz="4" w:space="0" w:color="auto"/>
              <w:right w:val="single" w:sz="4" w:space="0" w:color="auto"/>
            </w:tcBorders>
          </w:tcPr>
          <w:p w14:paraId="06223214" w14:textId="77777777" w:rsidR="007159BE" w:rsidRDefault="007D3121">
            <w:pPr>
              <w:spacing w:after="0"/>
              <w:rPr>
                <w:rFonts w:ascii="Arial" w:eastAsia="MS Mincho" w:hAnsi="Arial" w:cs="Arial"/>
                <w:bCs/>
              </w:rPr>
            </w:pPr>
            <w:r>
              <w:rPr>
                <w:rFonts w:ascii="Arial" w:eastAsia="MS Mincho" w:hAnsi="Arial" w:cs="Arial"/>
                <w:bCs/>
              </w:rPr>
              <w:t>Nokia</w:t>
            </w:r>
          </w:p>
        </w:tc>
        <w:tc>
          <w:tcPr>
            <w:tcW w:w="3876" w:type="dxa"/>
            <w:tcBorders>
              <w:top w:val="single" w:sz="4" w:space="0" w:color="auto"/>
              <w:left w:val="single" w:sz="4" w:space="0" w:color="auto"/>
              <w:bottom w:val="single" w:sz="4" w:space="0" w:color="auto"/>
              <w:right w:val="single" w:sz="4" w:space="0" w:color="auto"/>
            </w:tcBorders>
          </w:tcPr>
          <w:p w14:paraId="68E7CC7B" w14:textId="77777777" w:rsidR="007159BE" w:rsidRDefault="007D3121">
            <w:pPr>
              <w:spacing w:after="0"/>
              <w:rPr>
                <w:rFonts w:ascii="Arial" w:eastAsia="MS Mincho" w:hAnsi="Arial" w:cs="Arial"/>
                <w:bCs/>
              </w:rPr>
            </w:pPr>
            <w:r>
              <w:rPr>
                <w:rFonts w:ascii="Arial" w:eastAsia="MS Mincho" w:hAnsi="Arial" w:cs="Arial"/>
                <w:bCs/>
              </w:rPr>
              <w:t>Granularity seems very good in this solution</w:t>
            </w:r>
          </w:p>
          <w:p w14:paraId="1F9C72C3" w14:textId="77777777" w:rsidR="007159BE" w:rsidRDefault="007159BE">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4FEB61C7" w14:textId="77777777" w:rsidR="007159BE" w:rsidRDefault="007D3121">
            <w:pPr>
              <w:spacing w:after="0"/>
              <w:rPr>
                <w:rFonts w:ascii="Arial" w:eastAsia="MS Mincho" w:hAnsi="Arial" w:cs="Arial"/>
                <w:bCs/>
              </w:rPr>
            </w:pPr>
            <w:r>
              <w:rPr>
                <w:rFonts w:ascii="Arial" w:eastAsia="MS Mincho" w:hAnsi="Arial" w:cs="Arial"/>
                <w:bCs/>
              </w:rPr>
              <w:t xml:space="preserve">Likely bit more </w:t>
            </w:r>
            <w:proofErr w:type="spellStart"/>
            <w:r>
              <w:rPr>
                <w:rFonts w:ascii="Arial" w:eastAsia="MS Mincho" w:hAnsi="Arial" w:cs="Arial"/>
                <w:bCs/>
              </w:rPr>
              <w:t>signaling</w:t>
            </w:r>
            <w:proofErr w:type="spellEnd"/>
            <w:r>
              <w:rPr>
                <w:rFonts w:ascii="Arial" w:eastAsia="MS Mincho" w:hAnsi="Arial" w:cs="Arial"/>
                <w:bCs/>
              </w:rPr>
              <w:t xml:space="preserve"> needed but we do not expects this to be an issue</w:t>
            </w:r>
          </w:p>
        </w:tc>
      </w:tr>
      <w:tr w:rsidR="007159BE" w14:paraId="1BE0C700" w14:textId="77777777">
        <w:tc>
          <w:tcPr>
            <w:tcW w:w="1356" w:type="dxa"/>
            <w:tcBorders>
              <w:top w:val="single" w:sz="4" w:space="0" w:color="auto"/>
              <w:left w:val="single" w:sz="4" w:space="0" w:color="auto"/>
              <w:bottom w:val="single" w:sz="4" w:space="0" w:color="auto"/>
              <w:right w:val="single" w:sz="4" w:space="0" w:color="auto"/>
            </w:tcBorders>
          </w:tcPr>
          <w:p w14:paraId="37D968BE" w14:textId="77777777" w:rsidR="007159BE" w:rsidRDefault="007D3121">
            <w:pPr>
              <w:spacing w:after="0"/>
              <w:rPr>
                <w:rFonts w:ascii="Arial" w:eastAsia="MS Mincho" w:hAnsi="Arial" w:cs="Arial"/>
                <w:bCs/>
              </w:rPr>
            </w:pPr>
            <w:r>
              <w:rPr>
                <w:rFonts w:ascii="Arial" w:eastAsia="MS Mincho" w:hAnsi="Arial" w:cs="Arial"/>
                <w:bCs/>
              </w:rPr>
              <w:t>Xiaomi</w:t>
            </w:r>
          </w:p>
        </w:tc>
        <w:tc>
          <w:tcPr>
            <w:tcW w:w="3876" w:type="dxa"/>
            <w:tcBorders>
              <w:top w:val="single" w:sz="4" w:space="0" w:color="auto"/>
              <w:left w:val="single" w:sz="4" w:space="0" w:color="auto"/>
              <w:bottom w:val="single" w:sz="4" w:space="0" w:color="auto"/>
              <w:right w:val="single" w:sz="4" w:space="0" w:color="auto"/>
            </w:tcBorders>
          </w:tcPr>
          <w:p w14:paraId="2A942235" w14:textId="77777777" w:rsidR="007159BE" w:rsidRDefault="007D3121">
            <w:pPr>
              <w:spacing w:after="0"/>
              <w:rPr>
                <w:rFonts w:ascii="Arial" w:eastAsia="MS Mincho" w:hAnsi="Arial" w:cs="Arial"/>
                <w:bCs/>
              </w:rPr>
            </w:pPr>
            <w:r>
              <w:rPr>
                <w:rFonts w:ascii="Arial" w:eastAsia="MS Mincho" w:hAnsi="Arial" w:cs="Arial"/>
                <w:bCs/>
              </w:rPr>
              <w:t>Less signalling overheads compared with Option 1/2/2a.</w:t>
            </w:r>
          </w:p>
          <w:p w14:paraId="0FF11549" w14:textId="77777777" w:rsidR="007159BE" w:rsidRDefault="007D3121">
            <w:pPr>
              <w:spacing w:after="0"/>
              <w:rPr>
                <w:rFonts w:ascii="Arial" w:eastAsia="MS Mincho" w:hAnsi="Arial" w:cs="Arial"/>
                <w:bCs/>
              </w:rPr>
            </w:pPr>
            <w:r>
              <w:rPr>
                <w:rFonts w:ascii="Arial" w:eastAsia="MS Mincho" w:hAnsi="Arial" w:cs="Arial"/>
                <w:bCs/>
              </w:rPr>
              <w:t>Less signalling overheads compared with Option 4</w:t>
            </w:r>
          </w:p>
          <w:p w14:paraId="2ECA56AE" w14:textId="77777777" w:rsidR="007159BE" w:rsidRDefault="007D3121">
            <w:pPr>
              <w:spacing w:after="0"/>
              <w:rPr>
                <w:rFonts w:ascii="Arial" w:eastAsia="MS Mincho" w:hAnsi="Arial" w:cs="Arial"/>
                <w:bCs/>
              </w:rPr>
            </w:pPr>
            <w:r>
              <w:rPr>
                <w:rFonts w:ascii="Arial" w:eastAsia="MS Mincho" w:hAnsi="Arial" w:cs="Arial"/>
                <w:bCs/>
              </w:rPr>
              <w:t>Better granularity compared with Option 3</w:t>
            </w:r>
          </w:p>
          <w:p w14:paraId="236C1DCA" w14:textId="77777777" w:rsidR="007159BE" w:rsidRDefault="007159BE">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05BF9A4A" w14:textId="77777777" w:rsidR="007159BE" w:rsidRDefault="007D3121">
            <w:pPr>
              <w:spacing w:after="0"/>
              <w:rPr>
                <w:rFonts w:ascii="Arial" w:eastAsia="MS Mincho" w:hAnsi="Arial" w:cs="Arial"/>
                <w:bCs/>
              </w:rPr>
            </w:pPr>
            <w:r>
              <w:rPr>
                <w:rFonts w:ascii="Arial" w:eastAsia="MS Mincho" w:hAnsi="Arial" w:cs="Arial"/>
                <w:bCs/>
              </w:rPr>
              <w:t>It is not clear how this Option is applicable for EN-DC or NR-DC, as the LTE</w:t>
            </w:r>
            <w:r>
              <w:rPr>
                <w:rFonts w:ascii="Arial" w:eastAsia="MS Mincho" w:hAnsi="Arial" w:cs="Arial" w:hint="eastAsia"/>
                <w:bCs/>
              </w:rPr>
              <w:t>/</w:t>
            </w:r>
            <w:r>
              <w:rPr>
                <w:rFonts w:ascii="Arial" w:eastAsia="MS Mincho" w:hAnsi="Arial" w:cs="Arial"/>
                <w:bCs/>
              </w:rPr>
              <w:t>NR MN is not able to know the affected SCG BWP.</w:t>
            </w:r>
          </w:p>
          <w:p w14:paraId="228EBC70" w14:textId="77777777" w:rsidR="007159BE" w:rsidRDefault="007D3121">
            <w:pPr>
              <w:spacing w:after="0"/>
              <w:rPr>
                <w:rFonts w:ascii="Arial" w:eastAsia="MS Mincho" w:hAnsi="Arial" w:cs="Arial"/>
                <w:bCs/>
              </w:rPr>
            </w:pPr>
            <w:r>
              <w:rPr>
                <w:rFonts w:ascii="Arial" w:eastAsia="MS Mincho" w:hAnsi="Arial" w:cs="Arial"/>
                <w:bCs/>
              </w:rPr>
              <w:t>It is not clear how this Option is applicable for non-serving frequency, as the non-serving has no BWP configuration.</w:t>
            </w:r>
          </w:p>
          <w:p w14:paraId="58DFC6F7" w14:textId="77777777" w:rsidR="007159BE" w:rsidRDefault="007D3121">
            <w:pPr>
              <w:spacing w:after="0"/>
              <w:rPr>
                <w:rFonts w:ascii="Arial" w:eastAsia="MS Mincho" w:hAnsi="Arial" w:cs="Arial"/>
                <w:bCs/>
              </w:rPr>
            </w:pPr>
            <w:r>
              <w:rPr>
                <w:rFonts w:ascii="Arial" w:eastAsia="MS Mincho" w:hAnsi="Arial" w:cs="Arial"/>
                <w:bCs/>
              </w:rPr>
              <w:t>It is unclear how/whether to differentiate the frequency indication between “resource allocation type 0” and “resource allocation type 1”</w:t>
            </w:r>
          </w:p>
        </w:tc>
      </w:tr>
      <w:tr w:rsidR="007159BE" w14:paraId="2BAEED63" w14:textId="77777777">
        <w:tc>
          <w:tcPr>
            <w:tcW w:w="1356" w:type="dxa"/>
            <w:tcBorders>
              <w:top w:val="single" w:sz="4" w:space="0" w:color="auto"/>
              <w:left w:val="single" w:sz="4" w:space="0" w:color="auto"/>
              <w:bottom w:val="single" w:sz="4" w:space="0" w:color="auto"/>
              <w:right w:val="single" w:sz="4" w:space="0" w:color="auto"/>
            </w:tcBorders>
          </w:tcPr>
          <w:p w14:paraId="193F199A" w14:textId="77777777" w:rsidR="007159BE" w:rsidRDefault="007D3121">
            <w:pPr>
              <w:spacing w:after="0"/>
              <w:rPr>
                <w:rFonts w:ascii="Arial" w:eastAsia="MS Mincho" w:hAnsi="Arial" w:cs="Arial"/>
                <w:bCs/>
              </w:rPr>
            </w:pPr>
            <w:r>
              <w:rPr>
                <w:rFonts w:ascii="Arial" w:eastAsia="MS Mincho" w:hAnsi="Arial" w:cs="Arial"/>
                <w:bCs/>
              </w:rPr>
              <w:t>OPPO</w:t>
            </w:r>
          </w:p>
        </w:tc>
        <w:tc>
          <w:tcPr>
            <w:tcW w:w="3876" w:type="dxa"/>
            <w:tcBorders>
              <w:top w:val="single" w:sz="4" w:space="0" w:color="auto"/>
              <w:left w:val="single" w:sz="4" w:space="0" w:color="auto"/>
              <w:bottom w:val="single" w:sz="4" w:space="0" w:color="auto"/>
              <w:right w:val="single" w:sz="4" w:space="0" w:color="auto"/>
            </w:tcBorders>
          </w:tcPr>
          <w:p w14:paraId="24C5F12E" w14:textId="77777777" w:rsidR="007159BE" w:rsidRDefault="007D3121">
            <w:pPr>
              <w:spacing w:after="0"/>
              <w:rPr>
                <w:rFonts w:ascii="Arial" w:eastAsia="MS Mincho" w:hAnsi="Arial" w:cs="Arial"/>
                <w:bCs/>
              </w:rPr>
            </w:pPr>
            <w:r>
              <w:rPr>
                <w:rFonts w:ascii="Arial" w:eastAsia="MS Mincho" w:hAnsi="Arial" w:cs="Arial"/>
                <w:bCs/>
              </w:rPr>
              <w:t>Finer granularity</w:t>
            </w:r>
          </w:p>
        </w:tc>
        <w:tc>
          <w:tcPr>
            <w:tcW w:w="4397" w:type="dxa"/>
            <w:tcBorders>
              <w:top w:val="single" w:sz="4" w:space="0" w:color="auto"/>
              <w:left w:val="single" w:sz="4" w:space="0" w:color="auto"/>
              <w:bottom w:val="single" w:sz="4" w:space="0" w:color="auto"/>
              <w:right w:val="single" w:sz="4" w:space="0" w:color="auto"/>
            </w:tcBorders>
          </w:tcPr>
          <w:p w14:paraId="58C22915" w14:textId="77777777" w:rsidR="007159BE" w:rsidRDefault="007D3121">
            <w:pPr>
              <w:spacing w:after="0"/>
              <w:rPr>
                <w:rFonts w:ascii="Arial" w:eastAsia="MS Mincho" w:hAnsi="Arial" w:cs="Arial"/>
                <w:bCs/>
              </w:rPr>
            </w:pPr>
            <w:r>
              <w:rPr>
                <w:rFonts w:ascii="Arial" w:eastAsia="MS Mincho" w:hAnsi="Arial" w:cs="Arial"/>
                <w:bCs/>
              </w:rPr>
              <w:t>It may lead to frequent IDC indication reporting due to the change of IDC status.</w:t>
            </w:r>
          </w:p>
        </w:tc>
      </w:tr>
      <w:tr w:rsidR="007159BE" w14:paraId="12862A59" w14:textId="77777777">
        <w:tc>
          <w:tcPr>
            <w:tcW w:w="1356" w:type="dxa"/>
            <w:tcBorders>
              <w:top w:val="single" w:sz="4" w:space="0" w:color="auto"/>
              <w:left w:val="single" w:sz="4" w:space="0" w:color="auto"/>
              <w:bottom w:val="single" w:sz="4" w:space="0" w:color="auto"/>
              <w:right w:val="single" w:sz="4" w:space="0" w:color="auto"/>
            </w:tcBorders>
          </w:tcPr>
          <w:p w14:paraId="70D5B1E0" w14:textId="77777777" w:rsidR="007159BE" w:rsidRDefault="007D3121">
            <w:pPr>
              <w:spacing w:after="0"/>
              <w:rPr>
                <w:rFonts w:ascii="Arial" w:eastAsia="MS Mincho" w:hAnsi="Arial" w:cs="Arial"/>
                <w:bCs/>
              </w:rPr>
            </w:pPr>
            <w:r>
              <w:rPr>
                <w:rFonts w:ascii="Arial" w:eastAsia="MS Mincho" w:hAnsi="Arial" w:cs="Arial"/>
                <w:bCs/>
              </w:rPr>
              <w:t>Qualcomm</w:t>
            </w:r>
          </w:p>
        </w:tc>
        <w:tc>
          <w:tcPr>
            <w:tcW w:w="3876" w:type="dxa"/>
            <w:tcBorders>
              <w:top w:val="single" w:sz="4" w:space="0" w:color="auto"/>
              <w:left w:val="single" w:sz="4" w:space="0" w:color="auto"/>
              <w:bottom w:val="single" w:sz="4" w:space="0" w:color="auto"/>
              <w:right w:val="single" w:sz="4" w:space="0" w:color="auto"/>
            </w:tcBorders>
          </w:tcPr>
          <w:p w14:paraId="5115C015" w14:textId="77777777" w:rsidR="007159BE" w:rsidRDefault="007D3121">
            <w:pPr>
              <w:spacing w:after="0"/>
              <w:rPr>
                <w:rFonts w:ascii="Arial" w:eastAsia="MS Mincho" w:hAnsi="Arial" w:cs="Arial"/>
                <w:bCs/>
              </w:rPr>
            </w:pPr>
            <w:r>
              <w:rPr>
                <w:rFonts w:ascii="Arial" w:eastAsia="MS Mincho" w:hAnsi="Arial" w:cs="Arial"/>
                <w:bCs/>
              </w:rPr>
              <w:t>Same as option 1/2/2a</w:t>
            </w:r>
          </w:p>
        </w:tc>
        <w:tc>
          <w:tcPr>
            <w:tcW w:w="4397" w:type="dxa"/>
            <w:tcBorders>
              <w:top w:val="single" w:sz="4" w:space="0" w:color="auto"/>
              <w:left w:val="single" w:sz="4" w:space="0" w:color="auto"/>
              <w:bottom w:val="single" w:sz="4" w:space="0" w:color="auto"/>
              <w:right w:val="single" w:sz="4" w:space="0" w:color="auto"/>
            </w:tcBorders>
          </w:tcPr>
          <w:p w14:paraId="4A76BA13" w14:textId="77777777" w:rsidR="007159BE" w:rsidRDefault="007D3121">
            <w:pPr>
              <w:spacing w:after="0"/>
              <w:rPr>
                <w:rFonts w:ascii="Arial" w:eastAsia="MS Mincho" w:hAnsi="Arial" w:cs="Arial"/>
                <w:bCs/>
              </w:rPr>
            </w:pPr>
            <w:r>
              <w:rPr>
                <w:rFonts w:ascii="Arial" w:eastAsia="MS Mincho" w:hAnsi="Arial" w:cs="Arial"/>
                <w:bCs/>
              </w:rPr>
              <w:t>Depends on the resource allocation type. Also less straightforward than the other high granularity options</w:t>
            </w:r>
          </w:p>
          <w:p w14:paraId="47CD3994" w14:textId="77777777" w:rsidR="007159BE" w:rsidRDefault="007159BE">
            <w:pPr>
              <w:spacing w:after="0"/>
              <w:rPr>
                <w:rFonts w:ascii="Arial" w:eastAsia="MS Mincho" w:hAnsi="Arial" w:cs="Arial"/>
                <w:bCs/>
              </w:rPr>
            </w:pPr>
          </w:p>
          <w:p w14:paraId="2726B1F7" w14:textId="77777777" w:rsidR="007159BE" w:rsidRDefault="007D3121">
            <w:pPr>
              <w:spacing w:after="0"/>
              <w:rPr>
                <w:rFonts w:ascii="Arial" w:eastAsia="MS Mincho" w:hAnsi="Arial" w:cs="Arial"/>
                <w:bCs/>
              </w:rPr>
            </w:pPr>
            <w:r>
              <w:rPr>
                <w:rFonts w:ascii="Arial" w:eastAsia="MS Mincho" w:hAnsi="Arial" w:cs="Arial"/>
                <w:bCs/>
              </w:rPr>
              <w:t>Not applicable for non-serving frequency</w:t>
            </w:r>
          </w:p>
        </w:tc>
      </w:tr>
      <w:tr w:rsidR="007159BE" w14:paraId="725B47C9" w14:textId="77777777">
        <w:tc>
          <w:tcPr>
            <w:tcW w:w="1356" w:type="dxa"/>
            <w:tcBorders>
              <w:top w:val="single" w:sz="4" w:space="0" w:color="auto"/>
              <w:left w:val="single" w:sz="4" w:space="0" w:color="auto"/>
              <w:bottom w:val="single" w:sz="4" w:space="0" w:color="auto"/>
              <w:right w:val="single" w:sz="4" w:space="0" w:color="auto"/>
            </w:tcBorders>
          </w:tcPr>
          <w:p w14:paraId="40135519" w14:textId="77777777" w:rsidR="007159BE" w:rsidRDefault="007D3121">
            <w:pPr>
              <w:spacing w:after="0"/>
              <w:rPr>
                <w:rFonts w:ascii="Arial" w:hAnsi="Arial" w:cs="Arial"/>
                <w:bCs/>
                <w:lang w:val="en-US" w:eastAsia="zh-CN"/>
              </w:rPr>
            </w:pPr>
            <w:r>
              <w:rPr>
                <w:rFonts w:ascii="Arial" w:hAnsi="Arial" w:cs="Arial" w:hint="eastAsia"/>
                <w:bCs/>
                <w:lang w:val="en-US" w:eastAsia="zh-CN"/>
              </w:rPr>
              <w:t>ZTE</w:t>
            </w:r>
          </w:p>
        </w:tc>
        <w:tc>
          <w:tcPr>
            <w:tcW w:w="3876" w:type="dxa"/>
            <w:tcBorders>
              <w:top w:val="single" w:sz="4" w:space="0" w:color="auto"/>
              <w:left w:val="single" w:sz="4" w:space="0" w:color="auto"/>
              <w:bottom w:val="single" w:sz="4" w:space="0" w:color="auto"/>
              <w:right w:val="single" w:sz="4" w:space="0" w:color="auto"/>
            </w:tcBorders>
          </w:tcPr>
          <w:p w14:paraId="40B485D6" w14:textId="77777777" w:rsidR="007159BE" w:rsidRDefault="007D3121">
            <w:pPr>
              <w:spacing w:after="0"/>
              <w:rPr>
                <w:rFonts w:ascii="Arial" w:hAnsi="Arial" w:cs="Arial"/>
                <w:bCs/>
                <w:lang w:val="en-US" w:eastAsia="zh-CN"/>
              </w:rPr>
            </w:pPr>
            <w:r>
              <w:rPr>
                <w:rFonts w:ascii="Arial" w:hAnsi="Arial" w:cs="Arial" w:hint="eastAsia"/>
                <w:bCs/>
                <w:lang w:val="en-US" w:eastAsia="zh-CN"/>
              </w:rPr>
              <w:t xml:space="preserve">Similar to </w:t>
            </w:r>
            <w:r>
              <w:rPr>
                <w:rFonts w:ascii="Arial" w:eastAsia="MS Mincho" w:hAnsi="Arial" w:cs="Arial"/>
                <w:bCs/>
              </w:rPr>
              <w:t>option 1/2/2a</w:t>
            </w:r>
          </w:p>
        </w:tc>
        <w:tc>
          <w:tcPr>
            <w:tcW w:w="4397" w:type="dxa"/>
            <w:tcBorders>
              <w:top w:val="single" w:sz="4" w:space="0" w:color="auto"/>
              <w:left w:val="single" w:sz="4" w:space="0" w:color="auto"/>
              <w:bottom w:val="single" w:sz="4" w:space="0" w:color="auto"/>
              <w:right w:val="single" w:sz="4" w:space="0" w:color="auto"/>
            </w:tcBorders>
          </w:tcPr>
          <w:p w14:paraId="687F2FD7" w14:textId="77777777" w:rsidR="007159BE" w:rsidRDefault="007D3121">
            <w:pPr>
              <w:spacing w:after="0"/>
              <w:rPr>
                <w:rFonts w:ascii="Arial" w:eastAsia="MS Mincho" w:hAnsi="Arial" w:cs="Arial"/>
                <w:bCs/>
              </w:rPr>
            </w:pPr>
            <w:r>
              <w:rPr>
                <w:rFonts w:ascii="Arial" w:eastAsia="MS Mincho" w:hAnsi="Arial" w:cs="Arial"/>
                <w:bCs/>
              </w:rPr>
              <w:t>Not applicable for non-serving frequency</w:t>
            </w:r>
          </w:p>
        </w:tc>
      </w:tr>
      <w:tr w:rsidR="007159BE" w14:paraId="684872BE" w14:textId="77777777">
        <w:tc>
          <w:tcPr>
            <w:tcW w:w="1356" w:type="dxa"/>
            <w:tcBorders>
              <w:top w:val="single" w:sz="4" w:space="0" w:color="auto"/>
              <w:left w:val="single" w:sz="4" w:space="0" w:color="auto"/>
              <w:bottom w:val="single" w:sz="4" w:space="0" w:color="auto"/>
              <w:right w:val="single" w:sz="4" w:space="0" w:color="auto"/>
            </w:tcBorders>
          </w:tcPr>
          <w:p w14:paraId="32DDCD73" w14:textId="0F4EA7A2" w:rsidR="007159BE" w:rsidRDefault="0070720C">
            <w:pPr>
              <w:spacing w:after="0"/>
              <w:rPr>
                <w:rFonts w:ascii="Arial" w:eastAsia="MS Mincho" w:hAnsi="Arial" w:cs="Arial"/>
                <w:bCs/>
              </w:rPr>
            </w:pPr>
            <w:r>
              <w:rPr>
                <w:rFonts w:ascii="Arial" w:eastAsia="MS Mincho" w:hAnsi="Arial" w:cs="Arial"/>
                <w:bCs/>
              </w:rPr>
              <w:t>Apple</w:t>
            </w:r>
          </w:p>
        </w:tc>
        <w:tc>
          <w:tcPr>
            <w:tcW w:w="3876" w:type="dxa"/>
            <w:tcBorders>
              <w:top w:val="single" w:sz="4" w:space="0" w:color="auto"/>
              <w:left w:val="single" w:sz="4" w:space="0" w:color="auto"/>
              <w:bottom w:val="single" w:sz="4" w:space="0" w:color="auto"/>
              <w:right w:val="single" w:sz="4" w:space="0" w:color="auto"/>
            </w:tcBorders>
          </w:tcPr>
          <w:p w14:paraId="021F901E" w14:textId="44F0EE60" w:rsidR="007159BE" w:rsidRDefault="0070720C">
            <w:pPr>
              <w:spacing w:after="0"/>
              <w:rPr>
                <w:rFonts w:ascii="Arial" w:eastAsia="MS Mincho" w:hAnsi="Arial" w:cs="Arial"/>
                <w:bCs/>
              </w:rPr>
            </w:pPr>
            <w:r>
              <w:rPr>
                <w:rFonts w:ascii="Arial" w:hAnsi="Arial" w:cs="Arial" w:hint="eastAsia"/>
                <w:bCs/>
                <w:lang w:val="en-US" w:eastAsia="zh-CN"/>
              </w:rPr>
              <w:t xml:space="preserve">Similar to </w:t>
            </w:r>
            <w:r>
              <w:rPr>
                <w:rFonts w:ascii="Arial" w:eastAsia="MS Mincho" w:hAnsi="Arial" w:cs="Arial"/>
                <w:bCs/>
              </w:rPr>
              <w:t>option 1/2/2a</w:t>
            </w:r>
          </w:p>
        </w:tc>
        <w:tc>
          <w:tcPr>
            <w:tcW w:w="4397" w:type="dxa"/>
            <w:tcBorders>
              <w:top w:val="single" w:sz="4" w:space="0" w:color="auto"/>
              <w:left w:val="single" w:sz="4" w:space="0" w:color="auto"/>
              <w:bottom w:val="single" w:sz="4" w:space="0" w:color="auto"/>
              <w:right w:val="single" w:sz="4" w:space="0" w:color="auto"/>
            </w:tcBorders>
          </w:tcPr>
          <w:p w14:paraId="0FE8927D" w14:textId="759F236E" w:rsidR="007159BE" w:rsidRDefault="0070720C">
            <w:pPr>
              <w:spacing w:after="0"/>
              <w:rPr>
                <w:rFonts w:ascii="Arial" w:eastAsia="MS Mincho" w:hAnsi="Arial" w:cs="Arial"/>
                <w:bCs/>
              </w:rPr>
            </w:pPr>
            <w:r>
              <w:rPr>
                <w:rFonts w:ascii="Arial" w:eastAsia="MS Mincho" w:hAnsi="Arial" w:cs="Arial"/>
                <w:bCs/>
              </w:rPr>
              <w:t>Not applicable for non-serving frequency</w:t>
            </w:r>
          </w:p>
        </w:tc>
      </w:tr>
      <w:tr w:rsidR="00717510" w:rsidRPr="00916935" w14:paraId="1A479A95" w14:textId="77777777" w:rsidTr="00717510">
        <w:tc>
          <w:tcPr>
            <w:tcW w:w="1356" w:type="dxa"/>
            <w:tcBorders>
              <w:top w:val="single" w:sz="4" w:space="0" w:color="auto"/>
              <w:left w:val="single" w:sz="4" w:space="0" w:color="auto"/>
              <w:bottom w:val="single" w:sz="4" w:space="0" w:color="auto"/>
              <w:right w:val="single" w:sz="4" w:space="0" w:color="auto"/>
            </w:tcBorders>
          </w:tcPr>
          <w:p w14:paraId="0C394D56" w14:textId="77777777" w:rsidR="00717510" w:rsidRPr="00717510" w:rsidRDefault="00717510" w:rsidP="00B926CF">
            <w:pPr>
              <w:spacing w:after="0"/>
              <w:rPr>
                <w:rFonts w:ascii="Arial" w:eastAsia="MS Mincho" w:hAnsi="Arial" w:cs="Arial"/>
                <w:bCs/>
              </w:rPr>
            </w:pPr>
            <w:r w:rsidRPr="00717510">
              <w:rPr>
                <w:rFonts w:ascii="Arial" w:eastAsia="MS Mincho" w:hAnsi="Arial" w:cs="Arial" w:hint="eastAsia"/>
                <w:bCs/>
              </w:rPr>
              <w:t>S</w:t>
            </w:r>
            <w:r w:rsidRPr="00717510">
              <w:rPr>
                <w:rFonts w:ascii="Arial" w:eastAsia="MS Mincho" w:hAnsi="Arial" w:cs="Arial"/>
                <w:bCs/>
              </w:rPr>
              <w:t xml:space="preserve">amsung </w:t>
            </w:r>
          </w:p>
        </w:tc>
        <w:tc>
          <w:tcPr>
            <w:tcW w:w="3876" w:type="dxa"/>
            <w:tcBorders>
              <w:top w:val="single" w:sz="4" w:space="0" w:color="auto"/>
              <w:left w:val="single" w:sz="4" w:space="0" w:color="auto"/>
              <w:bottom w:val="single" w:sz="4" w:space="0" w:color="auto"/>
              <w:right w:val="single" w:sz="4" w:space="0" w:color="auto"/>
            </w:tcBorders>
          </w:tcPr>
          <w:p w14:paraId="0D58950B" w14:textId="77777777" w:rsidR="00717510" w:rsidRPr="00717510" w:rsidRDefault="00717510" w:rsidP="00B926CF">
            <w:pPr>
              <w:spacing w:after="0"/>
              <w:rPr>
                <w:rFonts w:ascii="Arial" w:hAnsi="Arial" w:cs="Arial"/>
                <w:bCs/>
                <w:lang w:val="en-US" w:eastAsia="zh-CN"/>
              </w:rPr>
            </w:pPr>
            <w:r w:rsidRPr="00717510">
              <w:rPr>
                <w:rFonts w:ascii="Arial" w:hAnsi="Arial" w:cs="Arial" w:hint="eastAsia"/>
                <w:bCs/>
                <w:lang w:val="en-US" w:eastAsia="zh-CN"/>
              </w:rPr>
              <w:t>I</w:t>
            </w:r>
            <w:r w:rsidRPr="00717510">
              <w:rPr>
                <w:rFonts w:ascii="Arial" w:hAnsi="Arial" w:cs="Arial"/>
                <w:bCs/>
                <w:lang w:val="en-US" w:eastAsia="zh-CN"/>
              </w:rPr>
              <w:t>t can provide finer granularity than option3.</w:t>
            </w:r>
          </w:p>
        </w:tc>
        <w:tc>
          <w:tcPr>
            <w:tcW w:w="4397" w:type="dxa"/>
            <w:tcBorders>
              <w:top w:val="single" w:sz="4" w:space="0" w:color="auto"/>
              <w:left w:val="single" w:sz="4" w:space="0" w:color="auto"/>
              <w:bottom w:val="single" w:sz="4" w:space="0" w:color="auto"/>
              <w:right w:val="single" w:sz="4" w:space="0" w:color="auto"/>
            </w:tcBorders>
          </w:tcPr>
          <w:p w14:paraId="1A5A6E56" w14:textId="77777777" w:rsidR="00717510" w:rsidRPr="00717510" w:rsidRDefault="00717510" w:rsidP="00B926CF">
            <w:pPr>
              <w:spacing w:after="0"/>
              <w:rPr>
                <w:rFonts w:ascii="Arial" w:eastAsia="MS Mincho" w:hAnsi="Arial" w:cs="Arial"/>
                <w:bCs/>
              </w:rPr>
            </w:pPr>
            <w:r w:rsidRPr="00717510">
              <w:rPr>
                <w:rFonts w:ascii="Arial" w:eastAsia="MS Mincho" w:hAnsi="Arial" w:cs="Arial"/>
                <w:bCs/>
              </w:rPr>
              <w:t xml:space="preserve">How to apply the non-serving frequency is unclear since the RBG configuration is unknown to UE for non-serving frequency. </w:t>
            </w:r>
          </w:p>
        </w:tc>
      </w:tr>
      <w:tr w:rsidR="00736AF6" w14:paraId="17018704" w14:textId="77777777">
        <w:tc>
          <w:tcPr>
            <w:tcW w:w="1356" w:type="dxa"/>
            <w:tcBorders>
              <w:top w:val="single" w:sz="4" w:space="0" w:color="auto"/>
              <w:left w:val="single" w:sz="4" w:space="0" w:color="auto"/>
              <w:bottom w:val="single" w:sz="4" w:space="0" w:color="auto"/>
              <w:right w:val="single" w:sz="4" w:space="0" w:color="auto"/>
            </w:tcBorders>
          </w:tcPr>
          <w:p w14:paraId="3E66CFBF" w14:textId="3A695230" w:rsidR="00736AF6" w:rsidRPr="00717510" w:rsidRDefault="00736AF6" w:rsidP="00736AF6">
            <w:pPr>
              <w:spacing w:after="0"/>
              <w:rPr>
                <w:rFonts w:ascii="Arial" w:eastAsia="MS Mincho" w:hAnsi="Arial" w:cs="Arial"/>
                <w:bCs/>
              </w:rPr>
            </w:pPr>
            <w:r>
              <w:rPr>
                <w:rFonts w:ascii="Arial" w:eastAsia="MS Mincho" w:hAnsi="Arial" w:cs="Arial"/>
                <w:bCs/>
              </w:rPr>
              <w:t>Intel</w:t>
            </w:r>
          </w:p>
        </w:tc>
        <w:tc>
          <w:tcPr>
            <w:tcW w:w="3876" w:type="dxa"/>
            <w:tcBorders>
              <w:top w:val="single" w:sz="4" w:space="0" w:color="auto"/>
              <w:left w:val="single" w:sz="4" w:space="0" w:color="auto"/>
              <w:bottom w:val="single" w:sz="4" w:space="0" w:color="auto"/>
              <w:right w:val="single" w:sz="4" w:space="0" w:color="auto"/>
            </w:tcBorders>
          </w:tcPr>
          <w:p w14:paraId="093C9B5F" w14:textId="7582DD71" w:rsidR="00736AF6" w:rsidRDefault="00736AF6" w:rsidP="00736AF6">
            <w:pPr>
              <w:spacing w:after="0"/>
              <w:rPr>
                <w:rFonts w:ascii="Arial" w:eastAsia="MS Mincho" w:hAnsi="Arial" w:cs="Arial"/>
                <w:bCs/>
              </w:rPr>
            </w:pPr>
            <w:r w:rsidRPr="00F605BA">
              <w:rPr>
                <w:rFonts w:ascii="Arial" w:eastAsia="MS Mincho" w:hAnsi="Arial" w:cs="Arial"/>
                <w:bCs/>
              </w:rPr>
              <w:t>RBG has the benefit of le</w:t>
            </w:r>
            <w:r>
              <w:rPr>
                <w:rFonts w:ascii="Arial" w:eastAsia="MS Mincho" w:hAnsi="Arial" w:cs="Arial"/>
                <w:bCs/>
              </w:rPr>
              <w:t>ast</w:t>
            </w:r>
            <w:r w:rsidRPr="00F605BA">
              <w:rPr>
                <w:rFonts w:ascii="Arial" w:eastAsia="MS Mincho" w:hAnsi="Arial" w:cs="Arial"/>
                <w:bCs/>
              </w:rPr>
              <w:t xml:space="preserve"> </w:t>
            </w:r>
            <w:proofErr w:type="spellStart"/>
            <w:r w:rsidRPr="00F605BA">
              <w:rPr>
                <w:rFonts w:ascii="Arial" w:eastAsia="MS Mincho" w:hAnsi="Arial" w:cs="Arial"/>
                <w:bCs/>
              </w:rPr>
              <w:t>signaling</w:t>
            </w:r>
            <w:proofErr w:type="spellEnd"/>
            <w:r w:rsidRPr="00F605BA">
              <w:rPr>
                <w:rFonts w:ascii="Arial" w:eastAsia="MS Mincho" w:hAnsi="Arial" w:cs="Arial"/>
                <w:bCs/>
              </w:rPr>
              <w:t xml:space="preserve"> overhead, and is also flexible in size since there are 2 configurations</w:t>
            </w:r>
            <w:r>
              <w:rPr>
                <w:rFonts w:ascii="Arial" w:eastAsia="MS Mincho" w:hAnsi="Arial" w:cs="Arial"/>
                <w:bCs/>
              </w:rPr>
              <w:t xml:space="preserve"> of RBG size.</w:t>
            </w:r>
          </w:p>
        </w:tc>
        <w:tc>
          <w:tcPr>
            <w:tcW w:w="4397" w:type="dxa"/>
            <w:tcBorders>
              <w:top w:val="single" w:sz="4" w:space="0" w:color="auto"/>
              <w:left w:val="single" w:sz="4" w:space="0" w:color="auto"/>
              <w:bottom w:val="single" w:sz="4" w:space="0" w:color="auto"/>
              <w:right w:val="single" w:sz="4" w:space="0" w:color="auto"/>
            </w:tcBorders>
          </w:tcPr>
          <w:p w14:paraId="3876285E" w14:textId="77777777" w:rsidR="00736AF6" w:rsidRDefault="00736AF6" w:rsidP="00736AF6">
            <w:pPr>
              <w:spacing w:after="0"/>
              <w:rPr>
                <w:rFonts w:ascii="Arial" w:eastAsia="MS Mincho" w:hAnsi="Arial" w:cs="Arial"/>
                <w:bCs/>
              </w:rPr>
            </w:pPr>
            <w:r>
              <w:rPr>
                <w:rFonts w:ascii="Arial" w:eastAsia="MS Mincho" w:hAnsi="Arial" w:cs="Arial"/>
                <w:bCs/>
              </w:rPr>
              <w:t>Granularity is not as fine as option 4, but there is always trade-off between granularity and signalling overhead.</w:t>
            </w:r>
          </w:p>
          <w:p w14:paraId="27F782C7" w14:textId="77777777" w:rsidR="00736AF6" w:rsidRDefault="00736AF6" w:rsidP="00736AF6">
            <w:pPr>
              <w:spacing w:after="0"/>
              <w:rPr>
                <w:rFonts w:ascii="Arial" w:eastAsia="MS Mincho" w:hAnsi="Arial" w:cs="Arial"/>
                <w:bCs/>
              </w:rPr>
            </w:pPr>
          </w:p>
          <w:p w14:paraId="5D60E3F5" w14:textId="77777777" w:rsidR="00736AF6" w:rsidRDefault="00736AF6" w:rsidP="00736AF6">
            <w:pPr>
              <w:spacing w:after="0"/>
              <w:rPr>
                <w:rFonts w:ascii="Arial" w:eastAsia="MS Mincho" w:hAnsi="Arial" w:cs="Arial"/>
                <w:bCs/>
              </w:rPr>
            </w:pPr>
            <w:r>
              <w:rPr>
                <w:rFonts w:ascii="Arial" w:eastAsia="MS Mincho" w:hAnsi="Arial" w:cs="Arial"/>
                <w:bCs/>
              </w:rPr>
              <w:t xml:space="preserve">For non-serving frequencies, some additional information can be provided or UE </w:t>
            </w:r>
            <w:r w:rsidRPr="00665D46">
              <w:rPr>
                <w:rFonts w:ascii="Arial" w:eastAsia="MS Mincho" w:hAnsi="Arial" w:cs="Arial"/>
                <w:bCs/>
              </w:rPr>
              <w:t>indicates the affected frequency resources based on fixed assumption</w:t>
            </w:r>
            <w:r>
              <w:rPr>
                <w:rFonts w:ascii="Arial" w:eastAsia="MS Mincho" w:hAnsi="Arial" w:cs="Arial"/>
                <w:bCs/>
              </w:rPr>
              <w:t xml:space="preserve"> (</w:t>
            </w:r>
            <w:r w:rsidRPr="003C363A">
              <w:rPr>
                <w:rFonts w:ascii="Arial" w:eastAsia="MS Mincho" w:hAnsi="Arial" w:cs="Arial"/>
                <w:bCs/>
              </w:rPr>
              <w:t xml:space="preserve">e.g. the BWP covers all PRBs, and </w:t>
            </w:r>
            <w:r w:rsidRPr="38BDEC1D">
              <w:rPr>
                <w:rFonts w:ascii="Arial" w:eastAsia="MS Mincho" w:hAnsi="Arial" w:cs="Arial"/>
              </w:rPr>
              <w:t xml:space="preserve">RBG </w:t>
            </w:r>
            <w:r w:rsidRPr="003C363A">
              <w:rPr>
                <w:rFonts w:ascii="Arial" w:eastAsia="MS Mincho" w:hAnsi="Arial" w:cs="Arial"/>
                <w:bCs/>
              </w:rPr>
              <w:t>configuration 2 is used for RBG size)</w:t>
            </w:r>
            <w:r>
              <w:rPr>
                <w:rFonts w:ascii="Arial" w:eastAsia="MS Mincho" w:hAnsi="Arial" w:cs="Arial"/>
                <w:bCs/>
              </w:rPr>
              <w:t>.</w:t>
            </w:r>
          </w:p>
          <w:p w14:paraId="75213BD6" w14:textId="77777777" w:rsidR="00736AF6" w:rsidRDefault="00736AF6" w:rsidP="00736AF6">
            <w:pPr>
              <w:spacing w:after="0"/>
              <w:rPr>
                <w:rFonts w:ascii="Arial" w:eastAsia="MS Mincho" w:hAnsi="Arial" w:cs="Arial"/>
                <w:bCs/>
              </w:rPr>
            </w:pPr>
          </w:p>
        </w:tc>
      </w:tr>
      <w:tr w:rsidR="00736AF6" w14:paraId="63941728" w14:textId="77777777">
        <w:tc>
          <w:tcPr>
            <w:tcW w:w="1356" w:type="dxa"/>
            <w:tcBorders>
              <w:top w:val="single" w:sz="4" w:space="0" w:color="auto"/>
              <w:left w:val="single" w:sz="4" w:space="0" w:color="auto"/>
              <w:bottom w:val="single" w:sz="4" w:space="0" w:color="auto"/>
              <w:right w:val="single" w:sz="4" w:space="0" w:color="auto"/>
            </w:tcBorders>
          </w:tcPr>
          <w:p w14:paraId="30A56B1D" w14:textId="18072ED6" w:rsidR="00736AF6" w:rsidRPr="006950DA" w:rsidRDefault="006950DA" w:rsidP="00736AF6">
            <w:pPr>
              <w:spacing w:after="0"/>
              <w:rPr>
                <w:rFonts w:ascii="Arial" w:eastAsiaTheme="minorEastAsia" w:hAnsi="Arial" w:cs="Arial"/>
                <w:bCs/>
                <w:lang w:eastAsia="zh-CN"/>
              </w:rPr>
            </w:pPr>
            <w:r>
              <w:rPr>
                <w:rFonts w:ascii="Arial" w:eastAsiaTheme="minorEastAsia" w:hAnsi="Arial" w:cs="Arial" w:hint="eastAsia"/>
                <w:bCs/>
                <w:lang w:eastAsia="zh-CN"/>
              </w:rPr>
              <w:t>v</w:t>
            </w:r>
            <w:r>
              <w:rPr>
                <w:rFonts w:ascii="Arial" w:eastAsiaTheme="minorEastAsia" w:hAnsi="Arial" w:cs="Arial"/>
                <w:bCs/>
                <w:lang w:eastAsia="zh-CN"/>
              </w:rPr>
              <w:t>ivo</w:t>
            </w:r>
          </w:p>
        </w:tc>
        <w:tc>
          <w:tcPr>
            <w:tcW w:w="3876" w:type="dxa"/>
            <w:tcBorders>
              <w:top w:val="single" w:sz="4" w:space="0" w:color="auto"/>
              <w:left w:val="single" w:sz="4" w:space="0" w:color="auto"/>
              <w:bottom w:val="single" w:sz="4" w:space="0" w:color="auto"/>
              <w:right w:val="single" w:sz="4" w:space="0" w:color="auto"/>
            </w:tcBorders>
          </w:tcPr>
          <w:p w14:paraId="550AF606" w14:textId="5E4EB412" w:rsidR="00736AF6" w:rsidRDefault="006950DA" w:rsidP="00736AF6">
            <w:pPr>
              <w:spacing w:after="0"/>
              <w:rPr>
                <w:rFonts w:ascii="Arial" w:eastAsia="MS Mincho" w:hAnsi="Arial" w:cs="Arial"/>
                <w:bCs/>
              </w:rPr>
            </w:pPr>
            <w:r>
              <w:rPr>
                <w:rFonts w:ascii="Arial" w:eastAsia="MS Mincho" w:hAnsi="Arial" w:cs="Arial"/>
                <w:bCs/>
              </w:rPr>
              <w:t>F</w:t>
            </w:r>
            <w:r w:rsidRPr="00717510">
              <w:rPr>
                <w:rFonts w:ascii="Arial" w:eastAsia="MS Mincho" w:hAnsi="Arial" w:cs="Arial"/>
                <w:bCs/>
              </w:rPr>
              <w:t>iner granularity than option3</w:t>
            </w:r>
          </w:p>
        </w:tc>
        <w:tc>
          <w:tcPr>
            <w:tcW w:w="4397" w:type="dxa"/>
            <w:tcBorders>
              <w:top w:val="single" w:sz="4" w:space="0" w:color="auto"/>
              <w:left w:val="single" w:sz="4" w:space="0" w:color="auto"/>
              <w:bottom w:val="single" w:sz="4" w:space="0" w:color="auto"/>
              <w:right w:val="single" w:sz="4" w:space="0" w:color="auto"/>
            </w:tcBorders>
          </w:tcPr>
          <w:p w14:paraId="208D30C1" w14:textId="1DFB75C2" w:rsidR="00736AF6" w:rsidRDefault="00777594" w:rsidP="00736AF6">
            <w:pPr>
              <w:spacing w:after="0"/>
              <w:rPr>
                <w:rFonts w:ascii="Arial" w:eastAsia="MS Mincho" w:hAnsi="Arial" w:cs="Arial"/>
                <w:bCs/>
              </w:rPr>
            </w:pPr>
            <w:r>
              <w:rPr>
                <w:rFonts w:ascii="Arial" w:eastAsia="MS Mincho" w:hAnsi="Arial" w:cs="Arial"/>
                <w:bCs/>
              </w:rPr>
              <w:t>Larger signalling overhead compared with Option 1/2/2a</w:t>
            </w:r>
            <w:r>
              <w:rPr>
                <w:rFonts w:ascii="Arial" w:eastAsiaTheme="minorEastAsia" w:hAnsi="Arial" w:cs="Arial" w:hint="eastAsia"/>
                <w:bCs/>
                <w:lang w:eastAsia="zh-CN"/>
              </w:rPr>
              <w:t>/</w:t>
            </w:r>
            <w:r>
              <w:rPr>
                <w:rFonts w:ascii="Arial" w:eastAsiaTheme="minorEastAsia" w:hAnsi="Arial" w:cs="Arial"/>
                <w:bCs/>
                <w:lang w:eastAsia="zh-CN"/>
              </w:rPr>
              <w:t>3.</w:t>
            </w:r>
          </w:p>
        </w:tc>
      </w:tr>
    </w:tbl>
    <w:p w14:paraId="43493877" w14:textId="77777777" w:rsidR="007159BE" w:rsidRDefault="007159BE">
      <w:pPr>
        <w:rPr>
          <w:rFonts w:ascii="Arial" w:hAnsi="Arial"/>
          <w:lang w:eastAsia="zh-CN"/>
        </w:rPr>
      </w:pPr>
    </w:p>
    <w:p w14:paraId="6B080C63" w14:textId="77777777" w:rsidR="007159BE" w:rsidRDefault="007159BE">
      <w:pPr>
        <w:rPr>
          <w:rFonts w:ascii="Arial" w:hAnsi="Arial"/>
          <w:lang w:eastAsia="zh-CN"/>
        </w:rPr>
      </w:pPr>
    </w:p>
    <w:p w14:paraId="2ED02608" w14:textId="77777777" w:rsidR="007159BE" w:rsidRDefault="007D3121">
      <w:pPr>
        <w:rPr>
          <w:rFonts w:ascii="Arial" w:hAnsi="Arial"/>
          <w:lang w:eastAsia="zh-CN"/>
        </w:rPr>
      </w:pPr>
      <w:r>
        <w:rPr>
          <w:rFonts w:ascii="Arial" w:hAnsi="Arial"/>
          <w:lang w:eastAsia="zh-CN"/>
        </w:rPr>
        <w:t>If companies have any other relevant comments, please fill them in here:</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24"/>
      </w:tblGrid>
      <w:tr w:rsidR="007159BE" w14:paraId="1CDC777D" w14:textId="77777777">
        <w:trPr>
          <w:trHeight w:val="239"/>
        </w:trPr>
        <w:tc>
          <w:tcPr>
            <w:tcW w:w="1413" w:type="dxa"/>
            <w:tcBorders>
              <w:top w:val="single" w:sz="4" w:space="0" w:color="auto"/>
              <w:left w:val="single" w:sz="4" w:space="0" w:color="auto"/>
              <w:bottom w:val="single" w:sz="4" w:space="0" w:color="auto"/>
              <w:right w:val="single" w:sz="4" w:space="0" w:color="auto"/>
            </w:tcBorders>
            <w:shd w:val="clear" w:color="auto" w:fill="D9D9D9"/>
          </w:tcPr>
          <w:p w14:paraId="024FC253" w14:textId="77777777" w:rsidR="007159BE" w:rsidRDefault="007D3121">
            <w:pPr>
              <w:spacing w:after="0"/>
              <w:rPr>
                <w:rFonts w:ascii="Arial" w:hAnsi="Arial" w:cs="Arial"/>
                <w:b/>
                <w:bCs/>
                <w:lang w:eastAsia="zh-CN"/>
              </w:rPr>
            </w:pPr>
            <w:r>
              <w:rPr>
                <w:rFonts w:ascii="Arial" w:hAnsi="Arial" w:cs="Arial"/>
                <w:b/>
                <w:bCs/>
                <w:lang w:eastAsia="zh-CN"/>
              </w:rPr>
              <w:t>Company</w:t>
            </w:r>
          </w:p>
        </w:tc>
        <w:tc>
          <w:tcPr>
            <w:tcW w:w="8224" w:type="dxa"/>
            <w:tcBorders>
              <w:top w:val="single" w:sz="4" w:space="0" w:color="auto"/>
              <w:left w:val="single" w:sz="4" w:space="0" w:color="auto"/>
              <w:bottom w:val="single" w:sz="4" w:space="0" w:color="auto"/>
              <w:right w:val="single" w:sz="4" w:space="0" w:color="auto"/>
            </w:tcBorders>
            <w:shd w:val="clear" w:color="auto" w:fill="D9D9D9"/>
          </w:tcPr>
          <w:p w14:paraId="48DE8D38" w14:textId="77777777" w:rsidR="007159BE" w:rsidRDefault="007D3121">
            <w:pPr>
              <w:spacing w:after="0"/>
              <w:rPr>
                <w:rFonts w:ascii="Arial" w:hAnsi="Arial" w:cs="Arial"/>
                <w:b/>
                <w:bCs/>
                <w:lang w:eastAsia="zh-CN"/>
              </w:rPr>
            </w:pPr>
            <w:r>
              <w:rPr>
                <w:rFonts w:ascii="Arial" w:hAnsi="Arial" w:cs="Arial"/>
                <w:b/>
                <w:bCs/>
                <w:lang w:eastAsia="zh-CN"/>
              </w:rPr>
              <w:t>Comment</w:t>
            </w:r>
          </w:p>
        </w:tc>
      </w:tr>
      <w:tr w:rsidR="007159BE" w14:paraId="5EF784C3" w14:textId="77777777">
        <w:trPr>
          <w:trHeight w:val="239"/>
        </w:trPr>
        <w:tc>
          <w:tcPr>
            <w:tcW w:w="1413" w:type="dxa"/>
            <w:tcBorders>
              <w:top w:val="single" w:sz="4" w:space="0" w:color="auto"/>
              <w:left w:val="single" w:sz="4" w:space="0" w:color="auto"/>
              <w:bottom w:val="single" w:sz="4" w:space="0" w:color="auto"/>
              <w:right w:val="single" w:sz="4" w:space="0" w:color="auto"/>
            </w:tcBorders>
          </w:tcPr>
          <w:p w14:paraId="50E0AE3B" w14:textId="77777777" w:rsidR="007159BE" w:rsidRDefault="007159BE">
            <w:pPr>
              <w:spacing w:after="0"/>
              <w:rPr>
                <w:rFonts w:ascii="Arial" w:eastAsia="MS Mincho" w:hAnsi="Arial" w:cs="Arial"/>
                <w:bCs/>
              </w:rPr>
            </w:pPr>
          </w:p>
        </w:tc>
        <w:tc>
          <w:tcPr>
            <w:tcW w:w="8224" w:type="dxa"/>
            <w:tcBorders>
              <w:top w:val="single" w:sz="4" w:space="0" w:color="auto"/>
              <w:left w:val="single" w:sz="4" w:space="0" w:color="auto"/>
              <w:bottom w:val="single" w:sz="4" w:space="0" w:color="auto"/>
              <w:right w:val="single" w:sz="4" w:space="0" w:color="auto"/>
            </w:tcBorders>
          </w:tcPr>
          <w:p w14:paraId="5688F3A2" w14:textId="77777777" w:rsidR="007159BE" w:rsidRDefault="007159BE">
            <w:pPr>
              <w:spacing w:after="0"/>
              <w:rPr>
                <w:rFonts w:ascii="Arial" w:eastAsia="MS Mincho" w:hAnsi="Arial" w:cs="Arial"/>
                <w:bCs/>
              </w:rPr>
            </w:pPr>
          </w:p>
        </w:tc>
      </w:tr>
      <w:tr w:rsidR="007159BE" w14:paraId="3C9118BB" w14:textId="77777777">
        <w:trPr>
          <w:trHeight w:val="239"/>
        </w:trPr>
        <w:tc>
          <w:tcPr>
            <w:tcW w:w="1413" w:type="dxa"/>
            <w:tcBorders>
              <w:top w:val="single" w:sz="4" w:space="0" w:color="auto"/>
              <w:left w:val="single" w:sz="4" w:space="0" w:color="auto"/>
              <w:bottom w:val="single" w:sz="4" w:space="0" w:color="auto"/>
              <w:right w:val="single" w:sz="4" w:space="0" w:color="auto"/>
            </w:tcBorders>
          </w:tcPr>
          <w:p w14:paraId="58AD10CB" w14:textId="77777777" w:rsidR="007159BE" w:rsidRDefault="007159BE">
            <w:pPr>
              <w:spacing w:after="0"/>
              <w:rPr>
                <w:rFonts w:ascii="Arial" w:eastAsia="MS Mincho" w:hAnsi="Arial" w:cs="Arial"/>
                <w:bCs/>
              </w:rPr>
            </w:pPr>
          </w:p>
        </w:tc>
        <w:tc>
          <w:tcPr>
            <w:tcW w:w="8224" w:type="dxa"/>
            <w:tcBorders>
              <w:top w:val="single" w:sz="4" w:space="0" w:color="auto"/>
              <w:left w:val="single" w:sz="4" w:space="0" w:color="auto"/>
              <w:bottom w:val="single" w:sz="4" w:space="0" w:color="auto"/>
              <w:right w:val="single" w:sz="4" w:space="0" w:color="auto"/>
            </w:tcBorders>
          </w:tcPr>
          <w:p w14:paraId="026A216E" w14:textId="77777777" w:rsidR="007159BE" w:rsidRDefault="007159BE">
            <w:pPr>
              <w:spacing w:after="0"/>
              <w:rPr>
                <w:rFonts w:ascii="Arial" w:eastAsia="MS Mincho" w:hAnsi="Arial" w:cs="Arial"/>
                <w:bCs/>
              </w:rPr>
            </w:pPr>
          </w:p>
        </w:tc>
      </w:tr>
      <w:tr w:rsidR="007159BE" w14:paraId="7016ACC1" w14:textId="77777777">
        <w:trPr>
          <w:trHeight w:val="239"/>
        </w:trPr>
        <w:tc>
          <w:tcPr>
            <w:tcW w:w="1413" w:type="dxa"/>
            <w:tcBorders>
              <w:top w:val="single" w:sz="4" w:space="0" w:color="auto"/>
              <w:left w:val="single" w:sz="4" w:space="0" w:color="auto"/>
              <w:bottom w:val="single" w:sz="4" w:space="0" w:color="auto"/>
              <w:right w:val="single" w:sz="4" w:space="0" w:color="auto"/>
            </w:tcBorders>
          </w:tcPr>
          <w:p w14:paraId="256E9860" w14:textId="77777777" w:rsidR="007159BE" w:rsidRDefault="007159BE">
            <w:pPr>
              <w:spacing w:after="0"/>
              <w:rPr>
                <w:rFonts w:ascii="Arial" w:eastAsia="MS Mincho" w:hAnsi="Arial" w:cs="Arial"/>
                <w:bCs/>
              </w:rPr>
            </w:pPr>
          </w:p>
        </w:tc>
        <w:tc>
          <w:tcPr>
            <w:tcW w:w="8224" w:type="dxa"/>
            <w:tcBorders>
              <w:top w:val="single" w:sz="4" w:space="0" w:color="auto"/>
              <w:left w:val="single" w:sz="4" w:space="0" w:color="auto"/>
              <w:bottom w:val="single" w:sz="4" w:space="0" w:color="auto"/>
              <w:right w:val="single" w:sz="4" w:space="0" w:color="auto"/>
            </w:tcBorders>
          </w:tcPr>
          <w:p w14:paraId="1ED86E92" w14:textId="77777777" w:rsidR="007159BE" w:rsidRDefault="007159BE">
            <w:pPr>
              <w:spacing w:after="0"/>
              <w:rPr>
                <w:rFonts w:ascii="Arial" w:eastAsia="MS Mincho" w:hAnsi="Arial" w:cs="Arial"/>
                <w:bCs/>
              </w:rPr>
            </w:pPr>
          </w:p>
        </w:tc>
      </w:tr>
      <w:tr w:rsidR="007159BE" w14:paraId="60DF1CB6" w14:textId="77777777">
        <w:trPr>
          <w:trHeight w:val="239"/>
        </w:trPr>
        <w:tc>
          <w:tcPr>
            <w:tcW w:w="1413" w:type="dxa"/>
            <w:tcBorders>
              <w:top w:val="single" w:sz="4" w:space="0" w:color="auto"/>
              <w:left w:val="single" w:sz="4" w:space="0" w:color="auto"/>
              <w:bottom w:val="single" w:sz="4" w:space="0" w:color="auto"/>
              <w:right w:val="single" w:sz="4" w:space="0" w:color="auto"/>
            </w:tcBorders>
          </w:tcPr>
          <w:p w14:paraId="30EE6086" w14:textId="77777777" w:rsidR="007159BE" w:rsidRDefault="007159BE">
            <w:pPr>
              <w:spacing w:after="0"/>
              <w:rPr>
                <w:rFonts w:ascii="Arial" w:eastAsia="MS Mincho" w:hAnsi="Arial" w:cs="Arial"/>
                <w:bCs/>
              </w:rPr>
            </w:pPr>
          </w:p>
        </w:tc>
        <w:tc>
          <w:tcPr>
            <w:tcW w:w="8224" w:type="dxa"/>
            <w:tcBorders>
              <w:top w:val="single" w:sz="4" w:space="0" w:color="auto"/>
              <w:left w:val="single" w:sz="4" w:space="0" w:color="auto"/>
              <w:bottom w:val="single" w:sz="4" w:space="0" w:color="auto"/>
              <w:right w:val="single" w:sz="4" w:space="0" w:color="auto"/>
            </w:tcBorders>
          </w:tcPr>
          <w:p w14:paraId="43F9CA9F" w14:textId="77777777" w:rsidR="007159BE" w:rsidRDefault="007159BE">
            <w:pPr>
              <w:spacing w:after="0"/>
              <w:rPr>
                <w:rFonts w:ascii="Arial" w:eastAsia="MS Mincho" w:hAnsi="Arial" w:cs="Arial"/>
                <w:bCs/>
              </w:rPr>
            </w:pPr>
          </w:p>
        </w:tc>
      </w:tr>
      <w:tr w:rsidR="007159BE" w14:paraId="53D1AD17" w14:textId="77777777">
        <w:trPr>
          <w:trHeight w:val="239"/>
        </w:trPr>
        <w:tc>
          <w:tcPr>
            <w:tcW w:w="1413" w:type="dxa"/>
            <w:tcBorders>
              <w:top w:val="single" w:sz="4" w:space="0" w:color="auto"/>
              <w:left w:val="single" w:sz="4" w:space="0" w:color="auto"/>
              <w:bottom w:val="single" w:sz="4" w:space="0" w:color="auto"/>
              <w:right w:val="single" w:sz="4" w:space="0" w:color="auto"/>
            </w:tcBorders>
          </w:tcPr>
          <w:p w14:paraId="6A5D61FC" w14:textId="77777777" w:rsidR="007159BE" w:rsidRDefault="007159BE">
            <w:pPr>
              <w:spacing w:after="0"/>
              <w:rPr>
                <w:rFonts w:ascii="Arial" w:eastAsia="MS Mincho" w:hAnsi="Arial" w:cs="Arial"/>
                <w:bCs/>
              </w:rPr>
            </w:pPr>
          </w:p>
        </w:tc>
        <w:tc>
          <w:tcPr>
            <w:tcW w:w="8224" w:type="dxa"/>
            <w:tcBorders>
              <w:top w:val="single" w:sz="4" w:space="0" w:color="auto"/>
              <w:left w:val="single" w:sz="4" w:space="0" w:color="auto"/>
              <w:bottom w:val="single" w:sz="4" w:space="0" w:color="auto"/>
              <w:right w:val="single" w:sz="4" w:space="0" w:color="auto"/>
            </w:tcBorders>
          </w:tcPr>
          <w:p w14:paraId="1B84E1A8" w14:textId="77777777" w:rsidR="007159BE" w:rsidRDefault="007159BE">
            <w:pPr>
              <w:spacing w:after="0"/>
              <w:rPr>
                <w:rFonts w:ascii="Arial" w:eastAsia="MS Mincho" w:hAnsi="Arial" w:cs="Arial"/>
                <w:bCs/>
              </w:rPr>
            </w:pPr>
          </w:p>
        </w:tc>
      </w:tr>
      <w:tr w:rsidR="007159BE" w14:paraId="547A0950" w14:textId="77777777">
        <w:trPr>
          <w:trHeight w:val="239"/>
        </w:trPr>
        <w:tc>
          <w:tcPr>
            <w:tcW w:w="1413" w:type="dxa"/>
            <w:tcBorders>
              <w:top w:val="single" w:sz="4" w:space="0" w:color="auto"/>
              <w:left w:val="single" w:sz="4" w:space="0" w:color="auto"/>
              <w:bottom w:val="single" w:sz="4" w:space="0" w:color="auto"/>
              <w:right w:val="single" w:sz="4" w:space="0" w:color="auto"/>
            </w:tcBorders>
          </w:tcPr>
          <w:p w14:paraId="2DEA3B00" w14:textId="77777777" w:rsidR="007159BE" w:rsidRDefault="007159BE">
            <w:pPr>
              <w:spacing w:after="0"/>
              <w:rPr>
                <w:rFonts w:ascii="Arial" w:eastAsia="MS Mincho" w:hAnsi="Arial" w:cs="Arial"/>
                <w:bCs/>
              </w:rPr>
            </w:pPr>
          </w:p>
        </w:tc>
        <w:tc>
          <w:tcPr>
            <w:tcW w:w="8224" w:type="dxa"/>
            <w:tcBorders>
              <w:top w:val="single" w:sz="4" w:space="0" w:color="auto"/>
              <w:left w:val="single" w:sz="4" w:space="0" w:color="auto"/>
              <w:bottom w:val="single" w:sz="4" w:space="0" w:color="auto"/>
              <w:right w:val="single" w:sz="4" w:space="0" w:color="auto"/>
            </w:tcBorders>
          </w:tcPr>
          <w:p w14:paraId="0DE63B35" w14:textId="77777777" w:rsidR="007159BE" w:rsidRDefault="007159BE">
            <w:pPr>
              <w:spacing w:after="0"/>
              <w:rPr>
                <w:rFonts w:ascii="Arial" w:eastAsia="MS Mincho" w:hAnsi="Arial" w:cs="Arial"/>
                <w:bCs/>
              </w:rPr>
            </w:pPr>
          </w:p>
        </w:tc>
      </w:tr>
      <w:tr w:rsidR="007159BE" w14:paraId="18AB2A12" w14:textId="77777777">
        <w:trPr>
          <w:trHeight w:val="239"/>
        </w:trPr>
        <w:tc>
          <w:tcPr>
            <w:tcW w:w="1413" w:type="dxa"/>
            <w:tcBorders>
              <w:top w:val="single" w:sz="4" w:space="0" w:color="auto"/>
              <w:left w:val="single" w:sz="4" w:space="0" w:color="auto"/>
              <w:bottom w:val="single" w:sz="4" w:space="0" w:color="auto"/>
              <w:right w:val="single" w:sz="4" w:space="0" w:color="auto"/>
            </w:tcBorders>
          </w:tcPr>
          <w:p w14:paraId="68C43094" w14:textId="77777777" w:rsidR="007159BE" w:rsidRDefault="007159BE">
            <w:pPr>
              <w:spacing w:after="0"/>
              <w:rPr>
                <w:rFonts w:ascii="Arial" w:eastAsia="MS Mincho" w:hAnsi="Arial" w:cs="Arial"/>
                <w:bCs/>
              </w:rPr>
            </w:pPr>
          </w:p>
        </w:tc>
        <w:tc>
          <w:tcPr>
            <w:tcW w:w="8224" w:type="dxa"/>
            <w:tcBorders>
              <w:top w:val="single" w:sz="4" w:space="0" w:color="auto"/>
              <w:left w:val="single" w:sz="4" w:space="0" w:color="auto"/>
              <w:bottom w:val="single" w:sz="4" w:space="0" w:color="auto"/>
              <w:right w:val="single" w:sz="4" w:space="0" w:color="auto"/>
            </w:tcBorders>
          </w:tcPr>
          <w:p w14:paraId="49889AE5" w14:textId="77777777" w:rsidR="007159BE" w:rsidRDefault="007159BE">
            <w:pPr>
              <w:spacing w:after="0"/>
              <w:rPr>
                <w:rFonts w:ascii="Arial" w:eastAsia="MS Mincho" w:hAnsi="Arial" w:cs="Arial"/>
                <w:bCs/>
              </w:rPr>
            </w:pPr>
          </w:p>
        </w:tc>
      </w:tr>
      <w:tr w:rsidR="007159BE" w14:paraId="0BA9901E" w14:textId="77777777">
        <w:trPr>
          <w:trHeight w:val="231"/>
        </w:trPr>
        <w:tc>
          <w:tcPr>
            <w:tcW w:w="1413" w:type="dxa"/>
            <w:tcBorders>
              <w:top w:val="single" w:sz="4" w:space="0" w:color="auto"/>
              <w:left w:val="single" w:sz="4" w:space="0" w:color="auto"/>
              <w:bottom w:val="single" w:sz="4" w:space="0" w:color="auto"/>
              <w:right w:val="single" w:sz="4" w:space="0" w:color="auto"/>
            </w:tcBorders>
          </w:tcPr>
          <w:p w14:paraId="7979B712" w14:textId="77777777" w:rsidR="007159BE" w:rsidRDefault="007159BE">
            <w:pPr>
              <w:spacing w:after="0"/>
              <w:rPr>
                <w:rFonts w:ascii="Arial" w:eastAsia="MS Mincho" w:hAnsi="Arial" w:cs="Arial"/>
                <w:bCs/>
              </w:rPr>
            </w:pPr>
          </w:p>
        </w:tc>
        <w:tc>
          <w:tcPr>
            <w:tcW w:w="8224" w:type="dxa"/>
            <w:tcBorders>
              <w:top w:val="single" w:sz="4" w:space="0" w:color="auto"/>
              <w:left w:val="single" w:sz="4" w:space="0" w:color="auto"/>
              <w:bottom w:val="single" w:sz="4" w:space="0" w:color="auto"/>
              <w:right w:val="single" w:sz="4" w:space="0" w:color="auto"/>
            </w:tcBorders>
          </w:tcPr>
          <w:p w14:paraId="4D713921" w14:textId="77777777" w:rsidR="007159BE" w:rsidRDefault="007159BE">
            <w:pPr>
              <w:spacing w:after="0"/>
              <w:rPr>
                <w:rFonts w:ascii="Arial" w:eastAsia="MS Mincho" w:hAnsi="Arial" w:cs="Arial"/>
                <w:bCs/>
              </w:rPr>
            </w:pPr>
          </w:p>
        </w:tc>
      </w:tr>
    </w:tbl>
    <w:p w14:paraId="030A7C4F" w14:textId="77777777" w:rsidR="007159BE" w:rsidRDefault="007159BE">
      <w:pPr>
        <w:rPr>
          <w:rFonts w:ascii="Arial" w:hAnsi="Arial"/>
          <w:lang w:eastAsia="zh-CN"/>
        </w:rPr>
      </w:pPr>
    </w:p>
    <w:p w14:paraId="444F9906" w14:textId="77777777" w:rsidR="007159BE" w:rsidRDefault="007D3121">
      <w:pPr>
        <w:pStyle w:val="1"/>
      </w:pPr>
      <w:r>
        <w:t>3</w:t>
      </w:r>
      <w:r>
        <w:tab/>
        <w:t>Conclusion</w:t>
      </w:r>
    </w:p>
    <w:p w14:paraId="3CAE491C" w14:textId="77777777" w:rsidR="007159BE" w:rsidRDefault="007D3121">
      <w:pPr>
        <w:pStyle w:val="a6"/>
        <w:rPr>
          <w:b/>
          <w:bCs/>
        </w:rPr>
      </w:pPr>
      <w:r>
        <w:t>In the previous sections we made the following observations:</w:t>
      </w:r>
      <w:r>
        <w:rPr>
          <w:b/>
          <w:bCs/>
        </w:rPr>
        <w:t xml:space="preserve"> </w:t>
      </w:r>
    </w:p>
    <w:p w14:paraId="05377E0F" w14:textId="77777777" w:rsidR="007159BE" w:rsidRDefault="007D3121">
      <w:pPr>
        <w:pStyle w:val="af9"/>
        <w:tabs>
          <w:tab w:val="right" w:leader="dot" w:pos="9629"/>
        </w:tabs>
        <w:rPr>
          <w:rFonts w:ascii="Calibri" w:hAnsi="Calibri"/>
          <w:b w:val="0"/>
          <w:sz w:val="22"/>
          <w:szCs w:val="22"/>
          <w:lang w:eastAsia="en-GB"/>
        </w:rPr>
      </w:pPr>
      <w:r>
        <w:rPr>
          <w:b w:val="0"/>
          <w:bCs/>
        </w:rPr>
        <w:fldChar w:fldCharType="begin"/>
      </w:r>
      <w:r>
        <w:rPr>
          <w:b w:val="0"/>
          <w:bCs/>
        </w:rPr>
        <w:instrText xml:space="preserve"> TOC \f O \n \h \z \t "Observation" \c </w:instrText>
      </w:r>
      <w:r>
        <w:rPr>
          <w:b w:val="0"/>
          <w:bCs/>
        </w:rPr>
        <w:fldChar w:fldCharType="separate"/>
      </w:r>
      <w:hyperlink w:anchor="_Toc509923396" w:history="1">
        <w:r>
          <w:rPr>
            <w:rStyle w:val="aff1"/>
          </w:rPr>
          <w:t>Observation 1</w:t>
        </w:r>
        <w:r>
          <w:rPr>
            <w:rFonts w:ascii="Calibri" w:hAnsi="Calibri"/>
            <w:b w:val="0"/>
            <w:sz w:val="22"/>
            <w:szCs w:val="22"/>
            <w:lang w:eastAsia="en-GB"/>
          </w:rPr>
          <w:tab/>
        </w:r>
        <w:r>
          <w:rPr>
            <w:rStyle w:val="aff1"/>
          </w:rPr>
          <w:t>An Observation with automatic numbering. Assign this type by pressing Alt-O. A list of all Observations can be found in the Conclusion section.</w:t>
        </w:r>
      </w:hyperlink>
    </w:p>
    <w:p w14:paraId="3CEBB27B" w14:textId="77777777" w:rsidR="007159BE" w:rsidRDefault="007D3121">
      <w:pPr>
        <w:pStyle w:val="a6"/>
        <w:rPr>
          <w:b/>
          <w:bCs/>
        </w:rPr>
      </w:pPr>
      <w:r>
        <w:rPr>
          <w:b/>
          <w:bCs/>
        </w:rPr>
        <w:fldChar w:fldCharType="end"/>
      </w:r>
    </w:p>
    <w:p w14:paraId="392AF8E4" w14:textId="77777777" w:rsidR="007159BE" w:rsidRDefault="007159BE">
      <w:pPr>
        <w:pStyle w:val="a6"/>
        <w:rPr>
          <w:b/>
          <w:bCs/>
        </w:rPr>
      </w:pPr>
    </w:p>
    <w:p w14:paraId="409B255C" w14:textId="77777777" w:rsidR="007159BE" w:rsidRDefault="007D3121">
      <w:pPr>
        <w:pStyle w:val="a6"/>
      </w:pPr>
      <w:r>
        <w:t>Based on the discussion in the previous sections we propose the following:</w:t>
      </w:r>
    </w:p>
    <w:p w14:paraId="1AF50ECB" w14:textId="77777777" w:rsidR="007159BE" w:rsidRDefault="007D3121">
      <w:pPr>
        <w:pStyle w:val="af9"/>
        <w:tabs>
          <w:tab w:val="right" w:leader="dot" w:pos="9629"/>
        </w:tabs>
        <w:rPr>
          <w:rFonts w:ascii="Calibri" w:hAnsi="Calibri"/>
          <w:b w:val="0"/>
          <w:sz w:val="22"/>
          <w:szCs w:val="22"/>
          <w:lang w:eastAsia="en-GB"/>
        </w:rPr>
      </w:pPr>
      <w:r>
        <w:rPr>
          <w:b w:val="0"/>
          <w:bCs/>
        </w:rPr>
        <w:fldChar w:fldCharType="begin"/>
      </w:r>
      <w:r>
        <w:rPr>
          <w:b w:val="0"/>
          <w:bCs/>
        </w:rPr>
        <w:instrText xml:space="preserve"> TOC \n \h \z \t "Proposal" \c </w:instrText>
      </w:r>
      <w:r>
        <w:rPr>
          <w:b w:val="0"/>
          <w:bCs/>
        </w:rPr>
        <w:fldChar w:fldCharType="separate"/>
      </w:r>
      <w:hyperlink w:anchor="_Toc509923397" w:history="1">
        <w:r>
          <w:rPr>
            <w:rStyle w:val="aff1"/>
          </w:rPr>
          <w:t>Proposal 1</w:t>
        </w:r>
        <w:r>
          <w:rPr>
            <w:rFonts w:ascii="Calibri" w:hAnsi="Calibri"/>
            <w:b w:val="0"/>
            <w:sz w:val="22"/>
            <w:szCs w:val="22"/>
            <w:lang w:eastAsia="en-GB"/>
          </w:rPr>
          <w:tab/>
        </w:r>
        <w:r>
          <w:rPr>
            <w:rStyle w:val="aff1"/>
          </w:rPr>
          <w:t>A Proposal with automatic numbering. Assign this type by pressing Alt-P. A list of all Proposals can be found in the Conclusion section.</w:t>
        </w:r>
      </w:hyperlink>
    </w:p>
    <w:p w14:paraId="46454974" w14:textId="77777777" w:rsidR="007159BE" w:rsidRDefault="007D3121">
      <w:pPr>
        <w:pStyle w:val="a6"/>
        <w:rPr>
          <w:b/>
          <w:bCs/>
        </w:rPr>
      </w:pPr>
      <w:r>
        <w:rPr>
          <w:b/>
          <w:bCs/>
        </w:rPr>
        <w:fldChar w:fldCharType="end"/>
      </w:r>
      <w:r>
        <w:rPr>
          <w:b/>
          <w:bCs/>
        </w:rPr>
        <w:t xml:space="preserve"> </w:t>
      </w:r>
    </w:p>
    <w:p w14:paraId="6B1FBA75" w14:textId="77777777" w:rsidR="007159BE" w:rsidRDefault="007159BE">
      <w:pPr>
        <w:rPr>
          <w:b/>
          <w:bCs/>
        </w:rPr>
      </w:pPr>
    </w:p>
    <w:p w14:paraId="3B411A1B" w14:textId="77777777" w:rsidR="007159BE" w:rsidRDefault="007159BE">
      <w:pPr>
        <w:rPr>
          <w:b/>
          <w:bCs/>
        </w:rPr>
      </w:pPr>
    </w:p>
    <w:p w14:paraId="4B936489" w14:textId="77777777" w:rsidR="007159BE" w:rsidRDefault="007159BE">
      <w:pPr>
        <w:rPr>
          <w:b/>
          <w:bCs/>
        </w:rPr>
      </w:pPr>
    </w:p>
    <w:p w14:paraId="7084B6BB" w14:textId="77777777" w:rsidR="007159BE" w:rsidRDefault="007159BE"/>
    <w:p w14:paraId="2E631168" w14:textId="77777777" w:rsidR="007159BE" w:rsidRDefault="007D3121">
      <w:pPr>
        <w:overflowPunct/>
        <w:autoSpaceDE/>
        <w:autoSpaceDN/>
        <w:adjustRightInd/>
        <w:spacing w:after="0"/>
        <w:textAlignment w:val="auto"/>
      </w:pPr>
      <w:r>
        <w:br w:type="page"/>
      </w:r>
    </w:p>
    <w:p w14:paraId="299F84CB" w14:textId="77777777" w:rsidR="007159BE" w:rsidRDefault="007159BE"/>
    <w:p w14:paraId="67B63A8F" w14:textId="77777777" w:rsidR="007159BE" w:rsidRDefault="007D3121">
      <w:pPr>
        <w:pStyle w:val="1"/>
      </w:pPr>
      <w:bookmarkStart w:id="3" w:name="_In-sequence_SDU_delivery"/>
      <w:bookmarkEnd w:id="3"/>
      <w:r>
        <w:t>4.</w:t>
      </w:r>
      <w:r>
        <w:tab/>
        <w:t>References</w:t>
      </w:r>
    </w:p>
    <w:p w14:paraId="54F15F7B" w14:textId="77777777" w:rsidR="007159BE" w:rsidRDefault="00837484">
      <w:pPr>
        <w:pStyle w:val="Reference"/>
      </w:pPr>
      <w:hyperlink r:id="rId17" w:history="1">
        <w:r w:rsidR="007D3121">
          <w:rPr>
            <w:rStyle w:val="aff1"/>
          </w:rPr>
          <w:t>R2-2207162</w:t>
        </w:r>
      </w:hyperlink>
      <w:r w:rsidR="007D3121">
        <w:tab/>
        <w:t>Consideration on the FDM enhancement</w:t>
      </w:r>
      <w:r w:rsidR="007D3121">
        <w:tab/>
        <w:t xml:space="preserve">ZTE Corporation, </w:t>
      </w:r>
      <w:proofErr w:type="spellStart"/>
      <w:r w:rsidR="007D3121">
        <w:t>Sanechips</w:t>
      </w:r>
      <w:proofErr w:type="spellEnd"/>
      <w:r w:rsidR="007D3121">
        <w:tab/>
      </w:r>
    </w:p>
    <w:p w14:paraId="4AE8E23A" w14:textId="77777777" w:rsidR="007159BE" w:rsidRDefault="00837484">
      <w:pPr>
        <w:pStyle w:val="Reference"/>
        <w:rPr>
          <w:lang w:val="en-US" w:eastAsia="en-GB"/>
        </w:rPr>
      </w:pPr>
      <w:hyperlink r:id="rId18" w:history="1">
        <w:r w:rsidR="007D3121">
          <w:rPr>
            <w:rStyle w:val="aff1"/>
          </w:rPr>
          <w:t>R2-2207469</w:t>
        </w:r>
      </w:hyperlink>
      <w:r w:rsidR="007D3121">
        <w:tab/>
        <w:t>Discussion on FDM solution enhancements for IDC</w:t>
      </w:r>
      <w:r w:rsidR="007D3121">
        <w:tab/>
        <w:t>OPPO</w:t>
      </w:r>
      <w:r w:rsidR="007D3121">
        <w:rPr>
          <w:lang w:val="en-US" w:eastAsia="en-GB"/>
        </w:rPr>
        <w:t xml:space="preserve"> </w:t>
      </w:r>
    </w:p>
    <w:p w14:paraId="633B9E2A" w14:textId="77777777" w:rsidR="007159BE" w:rsidRDefault="00837484">
      <w:pPr>
        <w:pStyle w:val="Reference"/>
      </w:pPr>
      <w:hyperlink r:id="rId19" w:history="1">
        <w:r w:rsidR="007D3121">
          <w:rPr>
            <w:rStyle w:val="aff1"/>
          </w:rPr>
          <w:t>R2-2207539</w:t>
        </w:r>
      </w:hyperlink>
      <w:r w:rsidR="007D3121">
        <w:tab/>
        <w:t>Discussion on FDM solution enhancements</w:t>
      </w:r>
      <w:r w:rsidR="007D3121">
        <w:tab/>
        <w:t>Sharp</w:t>
      </w:r>
      <w:r w:rsidR="007D3121">
        <w:tab/>
      </w:r>
    </w:p>
    <w:p w14:paraId="012F9BF6" w14:textId="77777777" w:rsidR="007159BE" w:rsidRDefault="00837484">
      <w:pPr>
        <w:pStyle w:val="Reference"/>
      </w:pPr>
      <w:hyperlink r:id="rId20" w:history="1">
        <w:r w:rsidR="007D3121">
          <w:rPr>
            <w:rStyle w:val="aff1"/>
          </w:rPr>
          <w:t>R2-2207556</w:t>
        </w:r>
      </w:hyperlink>
      <w:r w:rsidR="007D3121">
        <w:tab/>
        <w:t>Assistance information for FDM</w:t>
      </w:r>
      <w:r w:rsidR="007D3121">
        <w:tab/>
        <w:t>Nokia, Nokia Shanghai Bell</w:t>
      </w:r>
    </w:p>
    <w:p w14:paraId="1A7ED2A8" w14:textId="77777777" w:rsidR="007159BE" w:rsidRDefault="00837484">
      <w:pPr>
        <w:pStyle w:val="Reference"/>
      </w:pPr>
      <w:hyperlink r:id="rId21" w:history="1">
        <w:r w:rsidR="007D3121">
          <w:rPr>
            <w:rStyle w:val="aff1"/>
          </w:rPr>
          <w:t>R2-2207804</w:t>
        </w:r>
      </w:hyperlink>
      <w:r w:rsidR="007D3121">
        <w:tab/>
        <w:t>Discussion on the IDC FDM solutions</w:t>
      </w:r>
      <w:r w:rsidR="007D3121">
        <w:tab/>
        <w:t>Xiaomi</w:t>
      </w:r>
    </w:p>
    <w:p w14:paraId="0E6449E8" w14:textId="77777777" w:rsidR="007159BE" w:rsidRDefault="00837484">
      <w:pPr>
        <w:pStyle w:val="Reference"/>
      </w:pPr>
      <w:hyperlink r:id="rId22" w:history="1">
        <w:r w:rsidR="007D3121">
          <w:rPr>
            <w:rStyle w:val="aff1"/>
          </w:rPr>
          <w:t>R2-2207844</w:t>
        </w:r>
      </w:hyperlink>
      <w:r w:rsidR="007D3121">
        <w:tab/>
        <w:t>Discussion on FDM solution for in-device co-existence interference avoidance</w:t>
      </w:r>
      <w:r w:rsidR="007D3121">
        <w:tab/>
        <w:t>Samsung</w:t>
      </w:r>
    </w:p>
    <w:p w14:paraId="38740437" w14:textId="77777777" w:rsidR="007159BE" w:rsidRDefault="00837484">
      <w:pPr>
        <w:pStyle w:val="Reference"/>
      </w:pPr>
      <w:hyperlink r:id="rId23" w:history="1">
        <w:r w:rsidR="007D3121">
          <w:rPr>
            <w:rStyle w:val="aff1"/>
          </w:rPr>
          <w:t>R2-2207936</w:t>
        </w:r>
      </w:hyperlink>
      <w:r w:rsidR="007D3121">
        <w:tab/>
        <w:t>Discussion on FDM solution in IDC</w:t>
      </w:r>
      <w:r w:rsidR="007D3121">
        <w:tab/>
        <w:t>Apple</w:t>
      </w:r>
      <w:r w:rsidR="007D3121">
        <w:tab/>
      </w:r>
    </w:p>
    <w:p w14:paraId="55D27348" w14:textId="77777777" w:rsidR="007159BE" w:rsidRDefault="00837484">
      <w:pPr>
        <w:pStyle w:val="Reference"/>
      </w:pPr>
      <w:hyperlink r:id="rId24" w:history="1">
        <w:r w:rsidR="007D3121">
          <w:rPr>
            <w:rStyle w:val="aff1"/>
          </w:rPr>
          <w:t>R2-2207968</w:t>
        </w:r>
      </w:hyperlink>
      <w:r w:rsidR="007D3121">
        <w:tab/>
        <w:t>Enhanced FDM solution for IDC</w:t>
      </w:r>
      <w:r w:rsidR="007D3121">
        <w:tab/>
        <w:t xml:space="preserve"> Intel Corporation</w:t>
      </w:r>
    </w:p>
    <w:p w14:paraId="059D6348" w14:textId="77777777" w:rsidR="007159BE" w:rsidRDefault="00837484">
      <w:pPr>
        <w:pStyle w:val="Reference"/>
      </w:pPr>
      <w:hyperlink r:id="rId25" w:history="1">
        <w:r w:rsidR="007D3121">
          <w:rPr>
            <w:rStyle w:val="aff1"/>
          </w:rPr>
          <w:t>R2-2208116</w:t>
        </w:r>
      </w:hyperlink>
      <w:r w:rsidR="007D3121">
        <w:tab/>
        <w:t>FDM Solutions in IDC</w:t>
      </w:r>
      <w:r w:rsidR="007D3121">
        <w:tab/>
        <w:t>Qualcomm Incorporated</w:t>
      </w:r>
      <w:r w:rsidR="007D3121">
        <w:tab/>
      </w:r>
    </w:p>
    <w:p w14:paraId="01F677A2" w14:textId="77777777" w:rsidR="007159BE" w:rsidRDefault="00837484">
      <w:pPr>
        <w:pStyle w:val="Reference"/>
      </w:pPr>
      <w:hyperlink r:id="rId26" w:history="1">
        <w:r w:rsidR="007D3121">
          <w:rPr>
            <w:rStyle w:val="aff1"/>
          </w:rPr>
          <w:t>R2-2208135</w:t>
        </w:r>
      </w:hyperlink>
      <w:r w:rsidR="007D3121">
        <w:tab/>
        <w:t>FDM solution for IDC</w:t>
      </w:r>
      <w:r w:rsidR="007D3121">
        <w:tab/>
        <w:t>Ericsson</w:t>
      </w:r>
    </w:p>
    <w:p w14:paraId="67583759" w14:textId="77777777" w:rsidR="007159BE" w:rsidRDefault="00837484">
      <w:pPr>
        <w:pStyle w:val="Reference"/>
        <w:rPr>
          <w:rFonts w:eastAsia="MS Mincho"/>
          <w:szCs w:val="24"/>
          <w:lang w:eastAsia="en-GB"/>
        </w:rPr>
      </w:pPr>
      <w:hyperlink r:id="rId27" w:history="1">
        <w:r w:rsidR="007D3121">
          <w:rPr>
            <w:rStyle w:val="aff1"/>
            <w:rFonts w:eastAsia="MS Mincho"/>
            <w:szCs w:val="24"/>
            <w:lang w:eastAsia="en-GB"/>
          </w:rPr>
          <w:t>R2-2208230</w:t>
        </w:r>
      </w:hyperlink>
      <w:r w:rsidR="007D3121">
        <w:rPr>
          <w:rFonts w:eastAsia="MS Mincho"/>
          <w:szCs w:val="24"/>
          <w:lang w:eastAsia="en-GB"/>
        </w:rPr>
        <w:tab/>
        <w:t>Discussion on FDM enhancement</w:t>
      </w:r>
      <w:r w:rsidR="007D3121">
        <w:rPr>
          <w:rFonts w:eastAsia="MS Mincho"/>
          <w:szCs w:val="24"/>
          <w:lang w:eastAsia="en-GB"/>
        </w:rPr>
        <w:tab/>
        <w:t xml:space="preserve">Huawei, </w:t>
      </w:r>
      <w:proofErr w:type="spellStart"/>
      <w:r w:rsidR="007D3121">
        <w:rPr>
          <w:rFonts w:eastAsia="MS Mincho"/>
          <w:szCs w:val="24"/>
          <w:lang w:eastAsia="en-GB"/>
        </w:rPr>
        <w:t>HiSilicon</w:t>
      </w:r>
      <w:proofErr w:type="spellEnd"/>
      <w:r w:rsidR="007D3121">
        <w:rPr>
          <w:rFonts w:eastAsia="MS Mincho"/>
          <w:szCs w:val="24"/>
          <w:lang w:eastAsia="en-GB"/>
        </w:rPr>
        <w:tab/>
      </w:r>
    </w:p>
    <w:p w14:paraId="3E5045B3" w14:textId="77777777" w:rsidR="007159BE" w:rsidRDefault="00837484">
      <w:pPr>
        <w:pStyle w:val="Reference"/>
        <w:rPr>
          <w:rFonts w:eastAsia="MS Mincho"/>
          <w:szCs w:val="24"/>
          <w:lang w:eastAsia="en-GB"/>
        </w:rPr>
      </w:pPr>
      <w:hyperlink r:id="rId28" w:history="1">
        <w:r w:rsidR="007D3121">
          <w:rPr>
            <w:rStyle w:val="aff1"/>
            <w:rFonts w:eastAsia="MS Mincho"/>
            <w:szCs w:val="24"/>
            <w:lang w:eastAsia="en-GB"/>
          </w:rPr>
          <w:t>R2-2208396</w:t>
        </w:r>
      </w:hyperlink>
      <w:r w:rsidR="007D3121">
        <w:rPr>
          <w:rFonts w:eastAsia="MS Mincho"/>
          <w:szCs w:val="24"/>
          <w:lang w:eastAsia="en-GB"/>
        </w:rPr>
        <w:tab/>
        <w:t>Discussion on FDM solution for R18 IDC</w:t>
      </w:r>
      <w:r w:rsidR="007D3121">
        <w:rPr>
          <w:rFonts w:eastAsia="MS Mincho"/>
          <w:szCs w:val="24"/>
          <w:lang w:eastAsia="en-GB"/>
        </w:rPr>
        <w:tab/>
        <w:t>vivo</w:t>
      </w:r>
      <w:r w:rsidR="007D3121">
        <w:rPr>
          <w:rFonts w:eastAsia="MS Mincho"/>
          <w:szCs w:val="24"/>
          <w:lang w:eastAsia="en-GB"/>
        </w:rPr>
        <w:tab/>
      </w:r>
    </w:p>
    <w:p w14:paraId="288EB1E1" w14:textId="77777777" w:rsidR="007159BE" w:rsidRDefault="00837484">
      <w:pPr>
        <w:pStyle w:val="Reference"/>
        <w:rPr>
          <w:rFonts w:eastAsia="MS Mincho"/>
          <w:szCs w:val="24"/>
          <w:lang w:eastAsia="en-GB"/>
        </w:rPr>
      </w:pPr>
      <w:hyperlink r:id="rId29" w:history="1">
        <w:r w:rsidR="007D3121">
          <w:rPr>
            <w:rStyle w:val="aff1"/>
            <w:rFonts w:eastAsia="MS Mincho"/>
            <w:szCs w:val="24"/>
            <w:lang w:eastAsia="en-GB"/>
          </w:rPr>
          <w:t>R2-2208524</w:t>
        </w:r>
      </w:hyperlink>
      <w:r w:rsidR="007D3121">
        <w:rPr>
          <w:rFonts w:eastAsia="MS Mincho"/>
          <w:szCs w:val="24"/>
          <w:lang w:eastAsia="en-GB"/>
        </w:rPr>
        <w:tab/>
        <w:t>IDC FDM solution</w:t>
      </w:r>
      <w:r w:rsidR="007D3121">
        <w:rPr>
          <w:rFonts w:eastAsia="MS Mincho"/>
          <w:szCs w:val="24"/>
          <w:lang w:eastAsia="en-GB"/>
        </w:rPr>
        <w:tab/>
        <w:t>LG Electronics</w:t>
      </w:r>
    </w:p>
    <w:p w14:paraId="054AD404" w14:textId="77777777" w:rsidR="007159BE" w:rsidRDefault="00837484">
      <w:pPr>
        <w:pStyle w:val="Reference"/>
        <w:rPr>
          <w:rFonts w:eastAsia="MS Mincho"/>
          <w:szCs w:val="24"/>
          <w:lang w:val="en-US" w:eastAsia="en-GB"/>
        </w:rPr>
      </w:pPr>
      <w:hyperlink r:id="rId30" w:history="1">
        <w:r w:rsidR="007D3121">
          <w:rPr>
            <w:rStyle w:val="aff1"/>
          </w:rPr>
          <w:t>R2-2207161</w:t>
        </w:r>
      </w:hyperlink>
      <w:r w:rsidR="007D3121">
        <w:tab/>
        <w:t>Clarification on the IDC scope</w:t>
      </w:r>
      <w:r w:rsidR="007D3121">
        <w:tab/>
        <w:t xml:space="preserve">ZTE Corporation, </w:t>
      </w:r>
      <w:proofErr w:type="spellStart"/>
      <w:r w:rsidR="007D3121">
        <w:t>Sanechips</w:t>
      </w:r>
      <w:proofErr w:type="spellEnd"/>
    </w:p>
    <w:bookmarkStart w:id="4" w:name="_Ref113864013"/>
    <w:p w14:paraId="22B457AD" w14:textId="77777777" w:rsidR="007159BE" w:rsidRDefault="007D3121">
      <w:pPr>
        <w:pStyle w:val="Reference"/>
        <w:rPr>
          <w:rFonts w:eastAsia="MS Mincho"/>
          <w:szCs w:val="24"/>
          <w:lang w:val="en-US" w:eastAsia="en-GB"/>
        </w:rPr>
      </w:pPr>
      <w:r>
        <w:rPr>
          <w:rFonts w:eastAsia="MS Mincho"/>
          <w:szCs w:val="24"/>
          <w:lang w:eastAsia="en-GB"/>
        </w:rPr>
        <w:fldChar w:fldCharType="begin"/>
      </w:r>
      <w:r>
        <w:rPr>
          <w:rFonts w:eastAsia="MS Mincho"/>
          <w:szCs w:val="24"/>
          <w:lang w:eastAsia="en-GB"/>
        </w:rPr>
        <w:instrText xml:space="preserve"> HYPERLINK "http://www.3gpp.org/ftp//tsg_ran/WG2_RL2/TSGR2_119-e/Docs//R2-2208951.zip" </w:instrText>
      </w:r>
      <w:r>
        <w:rPr>
          <w:rFonts w:eastAsia="MS Mincho"/>
          <w:szCs w:val="24"/>
          <w:lang w:eastAsia="en-GB"/>
        </w:rPr>
        <w:fldChar w:fldCharType="separate"/>
      </w:r>
      <w:r>
        <w:rPr>
          <w:rStyle w:val="aff1"/>
          <w:rFonts w:eastAsia="MS Mincho"/>
          <w:szCs w:val="24"/>
          <w:lang w:eastAsia="en-GB"/>
        </w:rPr>
        <w:t>R2-2208951</w:t>
      </w:r>
      <w:r>
        <w:rPr>
          <w:rFonts w:eastAsia="MS Mincho"/>
          <w:szCs w:val="24"/>
          <w:lang w:eastAsia="en-GB"/>
        </w:rPr>
        <w:fldChar w:fldCharType="end"/>
      </w:r>
      <w:r>
        <w:rPr>
          <w:rFonts w:eastAsia="MS Mincho"/>
          <w:szCs w:val="24"/>
          <w:lang w:eastAsia="en-GB"/>
        </w:rPr>
        <w:tab/>
        <w:t>[AT119-</w:t>
      </w:r>
      <w:proofErr w:type="gramStart"/>
      <w:r>
        <w:rPr>
          <w:rFonts w:eastAsia="MS Mincho"/>
          <w:szCs w:val="24"/>
          <w:lang w:eastAsia="en-GB"/>
        </w:rPr>
        <w:t>e][</w:t>
      </w:r>
      <w:proofErr w:type="gramEnd"/>
      <w:r>
        <w:rPr>
          <w:rFonts w:eastAsia="MS Mincho"/>
          <w:szCs w:val="24"/>
          <w:lang w:eastAsia="en-GB"/>
        </w:rPr>
        <w:t>651][IDC] FDM solution enhancements (Huawei)</w:t>
      </w:r>
      <w:r>
        <w:rPr>
          <w:rFonts w:eastAsia="MS Mincho"/>
          <w:szCs w:val="24"/>
          <w:lang w:eastAsia="en-GB"/>
        </w:rPr>
        <w:tab/>
        <w:t xml:space="preserve">Huawei, </w:t>
      </w:r>
      <w:proofErr w:type="spellStart"/>
      <w:r>
        <w:rPr>
          <w:rFonts w:eastAsia="MS Mincho"/>
          <w:szCs w:val="24"/>
          <w:lang w:eastAsia="en-GB"/>
        </w:rPr>
        <w:t>HiSilicon</w:t>
      </w:r>
      <w:bookmarkEnd w:id="4"/>
      <w:proofErr w:type="spellEnd"/>
    </w:p>
    <w:p w14:paraId="7B94407D" w14:textId="77777777" w:rsidR="007159BE" w:rsidRDefault="007159BE">
      <w:pPr>
        <w:pStyle w:val="a6"/>
        <w:rPr>
          <w:lang w:val="en-US"/>
        </w:rPr>
      </w:pPr>
    </w:p>
    <w:sectPr w:rsidR="007159BE">
      <w:headerReference w:type="even" r:id="rId31"/>
      <w:footerReference w:type="default" r:id="rId3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18C1AE" w14:textId="77777777" w:rsidR="00837484" w:rsidRDefault="00837484">
      <w:pPr>
        <w:spacing w:after="0"/>
      </w:pPr>
      <w:r>
        <w:separator/>
      </w:r>
    </w:p>
  </w:endnote>
  <w:endnote w:type="continuationSeparator" w:id="0">
    <w:p w14:paraId="111CDF9E" w14:textId="77777777" w:rsidR="00837484" w:rsidRDefault="008374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1AFF2" w14:textId="7AEF0DD2" w:rsidR="00416BF1" w:rsidRDefault="00416BF1">
    <w:pPr>
      <w:pStyle w:val="af2"/>
      <w:tabs>
        <w:tab w:val="center" w:pos="4820"/>
        <w:tab w:val="right" w:pos="9639"/>
      </w:tabs>
      <w:jc w:val="left"/>
    </w:pPr>
    <w:r>
      <w:tab/>
    </w:r>
    <w:r>
      <w:rPr>
        <w:rStyle w:val="afe"/>
      </w:rPr>
      <w:fldChar w:fldCharType="begin"/>
    </w:r>
    <w:r>
      <w:rPr>
        <w:rStyle w:val="afe"/>
      </w:rPr>
      <w:instrText xml:space="preserve"> PAGE </w:instrText>
    </w:r>
    <w:r>
      <w:rPr>
        <w:rStyle w:val="afe"/>
      </w:rPr>
      <w:fldChar w:fldCharType="separate"/>
    </w:r>
    <w:r>
      <w:rPr>
        <w:rStyle w:val="afe"/>
        <w:noProof/>
      </w:rPr>
      <w:t>11</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Pr>
        <w:rStyle w:val="afe"/>
        <w:noProof/>
      </w:rPr>
      <w:t>11</w:t>
    </w:r>
    <w:r>
      <w:rPr>
        <w:rStyle w:val="afe"/>
      </w:rPr>
      <w:fldChar w:fldCharType="end"/>
    </w:r>
    <w:r>
      <w:rPr>
        <w:rStyle w:val="af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F93B92" w14:textId="77777777" w:rsidR="00837484" w:rsidRDefault="00837484">
      <w:pPr>
        <w:spacing w:after="0"/>
      </w:pPr>
      <w:r>
        <w:separator/>
      </w:r>
    </w:p>
  </w:footnote>
  <w:footnote w:type="continuationSeparator" w:id="0">
    <w:p w14:paraId="721ED1F5" w14:textId="77777777" w:rsidR="00837484" w:rsidRDefault="0083748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55A9D" w14:textId="77777777" w:rsidR="00416BF1" w:rsidRDefault="00416BF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5564BE3"/>
    <w:multiLevelType w:val="multilevel"/>
    <w:tmpl w:val="15564BE3"/>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45975DF"/>
    <w:multiLevelType w:val="singleLevel"/>
    <w:tmpl w:val="245975DF"/>
    <w:lvl w:ilvl="0">
      <w:start w:val="1"/>
      <w:numFmt w:val="decimal"/>
      <w:suff w:val="space"/>
      <w:lvlText w:val="(%1)"/>
      <w:lvlJc w:val="left"/>
    </w:lvl>
  </w:abstractNum>
  <w:abstractNum w:abstractNumId="5"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4F8EBAC"/>
    <w:multiLevelType w:val="singleLevel"/>
    <w:tmpl w:val="34F8EBAC"/>
    <w:lvl w:ilvl="0">
      <w:start w:val="1"/>
      <w:numFmt w:val="decimal"/>
      <w:suff w:val="space"/>
      <w:lvlText w:val="(%1)"/>
      <w:lvlJc w:val="left"/>
    </w:lvl>
  </w:abstractNum>
  <w:abstractNum w:abstractNumId="8" w15:restartNumberingAfterBreak="0">
    <w:nsid w:val="390F36C7"/>
    <w:multiLevelType w:val="multilevel"/>
    <w:tmpl w:val="390F36C7"/>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6" w15:restartNumberingAfterBreak="0">
    <w:nsid w:val="7F65190C"/>
    <w:multiLevelType w:val="multilevel"/>
    <w:tmpl w:val="7F65190C"/>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4"/>
  </w:num>
  <w:num w:numId="2">
    <w:abstractNumId w:val="6"/>
  </w:num>
  <w:num w:numId="3">
    <w:abstractNumId w:val="1"/>
  </w:num>
  <w:num w:numId="4">
    <w:abstractNumId w:val="5"/>
  </w:num>
  <w:num w:numId="5">
    <w:abstractNumId w:val="3"/>
  </w:num>
  <w:num w:numId="6">
    <w:abstractNumId w:val="13"/>
  </w:num>
  <w:num w:numId="7">
    <w:abstractNumId w:val="0"/>
  </w:num>
  <w:num w:numId="8">
    <w:abstractNumId w:val="15"/>
  </w:num>
  <w:num w:numId="9">
    <w:abstractNumId w:val="10"/>
  </w:num>
  <w:num w:numId="10">
    <w:abstractNumId w:val="9"/>
  </w:num>
  <w:num w:numId="11">
    <w:abstractNumId w:val="11"/>
  </w:num>
  <w:num w:numId="12">
    <w:abstractNumId w:val="12"/>
  </w:num>
  <w:num w:numId="13">
    <w:abstractNumId w:val="16"/>
  </w:num>
  <w:num w:numId="14">
    <w:abstractNumId w:val="7"/>
  </w:num>
  <w:num w:numId="15">
    <w:abstractNumId w:val="8"/>
  </w:num>
  <w:num w:numId="16">
    <w:abstractNumId w:val="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QzNTM2tTQyMTQGMpV0lIJTi4sz8/NACoxqAYHQVFosAAAA"/>
  </w:docVars>
  <w:rsids>
    <w:rsidRoot w:val="0097014A"/>
    <w:rsid w:val="000006E1"/>
    <w:rsid w:val="00002A37"/>
    <w:rsid w:val="00002E3F"/>
    <w:rsid w:val="0000564C"/>
    <w:rsid w:val="00006446"/>
    <w:rsid w:val="00006896"/>
    <w:rsid w:val="00007CDC"/>
    <w:rsid w:val="00011B28"/>
    <w:rsid w:val="00015D15"/>
    <w:rsid w:val="00016B26"/>
    <w:rsid w:val="00024C05"/>
    <w:rsid w:val="0002564D"/>
    <w:rsid w:val="00025940"/>
    <w:rsid w:val="00025ECA"/>
    <w:rsid w:val="00027FF7"/>
    <w:rsid w:val="000325B8"/>
    <w:rsid w:val="00034C15"/>
    <w:rsid w:val="000361E3"/>
    <w:rsid w:val="00036BA1"/>
    <w:rsid w:val="000422E2"/>
    <w:rsid w:val="00042F22"/>
    <w:rsid w:val="000444EF"/>
    <w:rsid w:val="00044B41"/>
    <w:rsid w:val="00052A07"/>
    <w:rsid w:val="000534E3"/>
    <w:rsid w:val="0005606A"/>
    <w:rsid w:val="00057117"/>
    <w:rsid w:val="00060D72"/>
    <w:rsid w:val="000616E7"/>
    <w:rsid w:val="0006314C"/>
    <w:rsid w:val="0006487E"/>
    <w:rsid w:val="00065E1A"/>
    <w:rsid w:val="00077E5F"/>
    <w:rsid w:val="0008036A"/>
    <w:rsid w:val="00081AE6"/>
    <w:rsid w:val="000855EB"/>
    <w:rsid w:val="00085B52"/>
    <w:rsid w:val="000866F2"/>
    <w:rsid w:val="0009009F"/>
    <w:rsid w:val="00091557"/>
    <w:rsid w:val="000924C1"/>
    <w:rsid w:val="000924F0"/>
    <w:rsid w:val="00092DB4"/>
    <w:rsid w:val="00093474"/>
    <w:rsid w:val="0009412F"/>
    <w:rsid w:val="0009510F"/>
    <w:rsid w:val="000A1B7B"/>
    <w:rsid w:val="000A56F2"/>
    <w:rsid w:val="000B2719"/>
    <w:rsid w:val="000B3A8F"/>
    <w:rsid w:val="000B4AB9"/>
    <w:rsid w:val="000B58C3"/>
    <w:rsid w:val="000B61E9"/>
    <w:rsid w:val="000C165A"/>
    <w:rsid w:val="000C2E19"/>
    <w:rsid w:val="000C6F28"/>
    <w:rsid w:val="000D0D07"/>
    <w:rsid w:val="000D4797"/>
    <w:rsid w:val="000D772B"/>
    <w:rsid w:val="000E0527"/>
    <w:rsid w:val="000E1E92"/>
    <w:rsid w:val="000F06D6"/>
    <w:rsid w:val="000F0EB1"/>
    <w:rsid w:val="000F1106"/>
    <w:rsid w:val="000F3BE9"/>
    <w:rsid w:val="000F3F6C"/>
    <w:rsid w:val="000F6DF3"/>
    <w:rsid w:val="001005FF"/>
    <w:rsid w:val="001062FB"/>
    <w:rsid w:val="001063E6"/>
    <w:rsid w:val="00112DD5"/>
    <w:rsid w:val="00113CF4"/>
    <w:rsid w:val="001153EA"/>
    <w:rsid w:val="00115643"/>
    <w:rsid w:val="00116765"/>
    <w:rsid w:val="00117C8D"/>
    <w:rsid w:val="001219F5"/>
    <w:rsid w:val="00121A20"/>
    <w:rsid w:val="0012377F"/>
    <w:rsid w:val="00124314"/>
    <w:rsid w:val="00126B4A"/>
    <w:rsid w:val="001320E8"/>
    <w:rsid w:val="00132FD0"/>
    <w:rsid w:val="001344C0"/>
    <w:rsid w:val="001346FA"/>
    <w:rsid w:val="00135252"/>
    <w:rsid w:val="0013741B"/>
    <w:rsid w:val="00137AB5"/>
    <w:rsid w:val="00137F0B"/>
    <w:rsid w:val="00151E23"/>
    <w:rsid w:val="001526E0"/>
    <w:rsid w:val="001551B5"/>
    <w:rsid w:val="001659C1"/>
    <w:rsid w:val="00173A8E"/>
    <w:rsid w:val="0017502C"/>
    <w:rsid w:val="0018143F"/>
    <w:rsid w:val="00181F2F"/>
    <w:rsid w:val="00181FF8"/>
    <w:rsid w:val="001873C7"/>
    <w:rsid w:val="00190AC1"/>
    <w:rsid w:val="00192A96"/>
    <w:rsid w:val="0019341A"/>
    <w:rsid w:val="00194A76"/>
    <w:rsid w:val="00197DF9"/>
    <w:rsid w:val="001A1987"/>
    <w:rsid w:val="001A2564"/>
    <w:rsid w:val="001A6173"/>
    <w:rsid w:val="001A6CBA"/>
    <w:rsid w:val="001B0D97"/>
    <w:rsid w:val="001B2043"/>
    <w:rsid w:val="001B5A5D"/>
    <w:rsid w:val="001C1CE5"/>
    <w:rsid w:val="001C3CDF"/>
    <w:rsid w:val="001C3D2A"/>
    <w:rsid w:val="001C62E3"/>
    <w:rsid w:val="001D51BA"/>
    <w:rsid w:val="001D53E7"/>
    <w:rsid w:val="001D6342"/>
    <w:rsid w:val="001D6D53"/>
    <w:rsid w:val="001E20DA"/>
    <w:rsid w:val="001E27DB"/>
    <w:rsid w:val="001E3994"/>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177AB"/>
    <w:rsid w:val="00220600"/>
    <w:rsid w:val="00220AA2"/>
    <w:rsid w:val="002224DB"/>
    <w:rsid w:val="00223FCB"/>
    <w:rsid w:val="002252C3"/>
    <w:rsid w:val="00225C54"/>
    <w:rsid w:val="00230765"/>
    <w:rsid w:val="00230D18"/>
    <w:rsid w:val="002319E4"/>
    <w:rsid w:val="00235632"/>
    <w:rsid w:val="00235872"/>
    <w:rsid w:val="00241559"/>
    <w:rsid w:val="002435B3"/>
    <w:rsid w:val="002458EB"/>
    <w:rsid w:val="002500C8"/>
    <w:rsid w:val="002560C1"/>
    <w:rsid w:val="00257543"/>
    <w:rsid w:val="002617E7"/>
    <w:rsid w:val="002623F4"/>
    <w:rsid w:val="00264228"/>
    <w:rsid w:val="00264334"/>
    <w:rsid w:val="0026473E"/>
    <w:rsid w:val="002656D5"/>
    <w:rsid w:val="00266214"/>
    <w:rsid w:val="00267C83"/>
    <w:rsid w:val="0027144F"/>
    <w:rsid w:val="00271813"/>
    <w:rsid w:val="00271F3A"/>
    <w:rsid w:val="00273278"/>
    <w:rsid w:val="002732A6"/>
    <w:rsid w:val="002737F4"/>
    <w:rsid w:val="002739C8"/>
    <w:rsid w:val="002805F5"/>
    <w:rsid w:val="00280751"/>
    <w:rsid w:val="0028280A"/>
    <w:rsid w:val="00286ACD"/>
    <w:rsid w:val="00287838"/>
    <w:rsid w:val="002907B5"/>
    <w:rsid w:val="00291843"/>
    <w:rsid w:val="00292EB7"/>
    <w:rsid w:val="00296227"/>
    <w:rsid w:val="00296F44"/>
    <w:rsid w:val="0029777D"/>
    <w:rsid w:val="002A055E"/>
    <w:rsid w:val="002A1D4E"/>
    <w:rsid w:val="002A2869"/>
    <w:rsid w:val="002B19C5"/>
    <w:rsid w:val="002B24D6"/>
    <w:rsid w:val="002C41E6"/>
    <w:rsid w:val="002C56DE"/>
    <w:rsid w:val="002D071A"/>
    <w:rsid w:val="002D34B2"/>
    <w:rsid w:val="002D48B0"/>
    <w:rsid w:val="002D5B37"/>
    <w:rsid w:val="002D7637"/>
    <w:rsid w:val="002D7C5E"/>
    <w:rsid w:val="002E0467"/>
    <w:rsid w:val="002E17F2"/>
    <w:rsid w:val="002E492F"/>
    <w:rsid w:val="002E7CAE"/>
    <w:rsid w:val="002F2771"/>
    <w:rsid w:val="002F37A9"/>
    <w:rsid w:val="00301CE6"/>
    <w:rsid w:val="0030256B"/>
    <w:rsid w:val="0030410E"/>
    <w:rsid w:val="0030501F"/>
    <w:rsid w:val="00307BA1"/>
    <w:rsid w:val="00311702"/>
    <w:rsid w:val="0031189D"/>
    <w:rsid w:val="00311E82"/>
    <w:rsid w:val="00313FD6"/>
    <w:rsid w:val="003143BD"/>
    <w:rsid w:val="00315363"/>
    <w:rsid w:val="00315B60"/>
    <w:rsid w:val="003203ED"/>
    <w:rsid w:val="00322C9F"/>
    <w:rsid w:val="003246C4"/>
    <w:rsid w:val="00324D23"/>
    <w:rsid w:val="00331751"/>
    <w:rsid w:val="00334579"/>
    <w:rsid w:val="00335858"/>
    <w:rsid w:val="00336BDA"/>
    <w:rsid w:val="00342BD7"/>
    <w:rsid w:val="0034380C"/>
    <w:rsid w:val="0034449E"/>
    <w:rsid w:val="00346DB5"/>
    <w:rsid w:val="003477B1"/>
    <w:rsid w:val="00357380"/>
    <w:rsid w:val="003602D9"/>
    <w:rsid w:val="003604CE"/>
    <w:rsid w:val="00370E47"/>
    <w:rsid w:val="00371562"/>
    <w:rsid w:val="003742AC"/>
    <w:rsid w:val="00377CE1"/>
    <w:rsid w:val="00382E6D"/>
    <w:rsid w:val="00383064"/>
    <w:rsid w:val="003852A3"/>
    <w:rsid w:val="00385BF0"/>
    <w:rsid w:val="00386C54"/>
    <w:rsid w:val="0039088F"/>
    <w:rsid w:val="00392316"/>
    <w:rsid w:val="00392C31"/>
    <w:rsid w:val="003939FF"/>
    <w:rsid w:val="00394BCD"/>
    <w:rsid w:val="003A2223"/>
    <w:rsid w:val="003A2A0F"/>
    <w:rsid w:val="003A45A1"/>
    <w:rsid w:val="003A5B0A"/>
    <w:rsid w:val="003A5FBD"/>
    <w:rsid w:val="003A6BAC"/>
    <w:rsid w:val="003A70A4"/>
    <w:rsid w:val="003A7EF3"/>
    <w:rsid w:val="003B159C"/>
    <w:rsid w:val="003B2A4F"/>
    <w:rsid w:val="003B369F"/>
    <w:rsid w:val="003B36A3"/>
    <w:rsid w:val="003B64BB"/>
    <w:rsid w:val="003B7FE5"/>
    <w:rsid w:val="003C03C8"/>
    <w:rsid w:val="003C11C8"/>
    <w:rsid w:val="003C1401"/>
    <w:rsid w:val="003C2702"/>
    <w:rsid w:val="003C73FB"/>
    <w:rsid w:val="003C7806"/>
    <w:rsid w:val="003D109F"/>
    <w:rsid w:val="003D2478"/>
    <w:rsid w:val="003D3C45"/>
    <w:rsid w:val="003D5B1F"/>
    <w:rsid w:val="003E15FA"/>
    <w:rsid w:val="003E55E4"/>
    <w:rsid w:val="003E74E3"/>
    <w:rsid w:val="003E764E"/>
    <w:rsid w:val="003F05C7"/>
    <w:rsid w:val="003F2CD4"/>
    <w:rsid w:val="003F36D8"/>
    <w:rsid w:val="003F62F2"/>
    <w:rsid w:val="003F6BBE"/>
    <w:rsid w:val="004000E8"/>
    <w:rsid w:val="00402E2B"/>
    <w:rsid w:val="0040512B"/>
    <w:rsid w:val="00405CA5"/>
    <w:rsid w:val="00406E1A"/>
    <w:rsid w:val="00407CD3"/>
    <w:rsid w:val="00410134"/>
    <w:rsid w:val="00410B72"/>
    <w:rsid w:val="00410F18"/>
    <w:rsid w:val="0041263E"/>
    <w:rsid w:val="00413545"/>
    <w:rsid w:val="00413AAC"/>
    <w:rsid w:val="00413E92"/>
    <w:rsid w:val="00416BF1"/>
    <w:rsid w:val="00421105"/>
    <w:rsid w:val="00422AA4"/>
    <w:rsid w:val="004242F4"/>
    <w:rsid w:val="00427248"/>
    <w:rsid w:val="00437447"/>
    <w:rsid w:val="00437540"/>
    <w:rsid w:val="00441A92"/>
    <w:rsid w:val="004431DC"/>
    <w:rsid w:val="00444F56"/>
    <w:rsid w:val="004453E4"/>
    <w:rsid w:val="00446488"/>
    <w:rsid w:val="004517AA"/>
    <w:rsid w:val="00452CAC"/>
    <w:rsid w:val="00457565"/>
    <w:rsid w:val="00457B71"/>
    <w:rsid w:val="004669E2"/>
    <w:rsid w:val="00470C31"/>
    <w:rsid w:val="00471DE0"/>
    <w:rsid w:val="004734D0"/>
    <w:rsid w:val="0047556B"/>
    <w:rsid w:val="00477768"/>
    <w:rsid w:val="00492BC5"/>
    <w:rsid w:val="00494CFF"/>
    <w:rsid w:val="004964F1"/>
    <w:rsid w:val="00497471"/>
    <w:rsid w:val="004A16BC"/>
    <w:rsid w:val="004A2B94"/>
    <w:rsid w:val="004B4C01"/>
    <w:rsid w:val="004B6F6A"/>
    <w:rsid w:val="004B7C0C"/>
    <w:rsid w:val="004C3898"/>
    <w:rsid w:val="004D27D3"/>
    <w:rsid w:val="004D36B1"/>
    <w:rsid w:val="004D7EBD"/>
    <w:rsid w:val="004E1152"/>
    <w:rsid w:val="004E2680"/>
    <w:rsid w:val="004E28F9"/>
    <w:rsid w:val="004E462E"/>
    <w:rsid w:val="004E50B0"/>
    <w:rsid w:val="004E56DC"/>
    <w:rsid w:val="004E76F4"/>
    <w:rsid w:val="004F0B4E"/>
    <w:rsid w:val="004F0B6C"/>
    <w:rsid w:val="004F2078"/>
    <w:rsid w:val="004F4DA3"/>
    <w:rsid w:val="004F50F9"/>
    <w:rsid w:val="004F729A"/>
    <w:rsid w:val="00506557"/>
    <w:rsid w:val="0050677A"/>
    <w:rsid w:val="00507A09"/>
    <w:rsid w:val="005108D8"/>
    <w:rsid w:val="005116F9"/>
    <w:rsid w:val="005153A7"/>
    <w:rsid w:val="005219CF"/>
    <w:rsid w:val="005303C1"/>
    <w:rsid w:val="00534B59"/>
    <w:rsid w:val="00536759"/>
    <w:rsid w:val="00537C62"/>
    <w:rsid w:val="00546970"/>
    <w:rsid w:val="00554E19"/>
    <w:rsid w:val="0056121F"/>
    <w:rsid w:val="00566B83"/>
    <w:rsid w:val="00571183"/>
    <w:rsid w:val="00572505"/>
    <w:rsid w:val="0057277A"/>
    <w:rsid w:val="00582809"/>
    <w:rsid w:val="0058798C"/>
    <w:rsid w:val="005900FA"/>
    <w:rsid w:val="005935A4"/>
    <w:rsid w:val="005943C7"/>
    <w:rsid w:val="00594774"/>
    <w:rsid w:val="005948C2"/>
    <w:rsid w:val="00595DCA"/>
    <w:rsid w:val="0059779B"/>
    <w:rsid w:val="005A209A"/>
    <w:rsid w:val="005A4D11"/>
    <w:rsid w:val="005A60EF"/>
    <w:rsid w:val="005A662D"/>
    <w:rsid w:val="005B11E0"/>
    <w:rsid w:val="005B1409"/>
    <w:rsid w:val="005B35D7"/>
    <w:rsid w:val="005B392A"/>
    <w:rsid w:val="005B3AA3"/>
    <w:rsid w:val="005B49C2"/>
    <w:rsid w:val="005B5944"/>
    <w:rsid w:val="005B6F83"/>
    <w:rsid w:val="005C711A"/>
    <w:rsid w:val="005C74FB"/>
    <w:rsid w:val="005C78F9"/>
    <w:rsid w:val="005D1602"/>
    <w:rsid w:val="005E385F"/>
    <w:rsid w:val="005E5B81"/>
    <w:rsid w:val="005F2CB1"/>
    <w:rsid w:val="005F3025"/>
    <w:rsid w:val="005F618C"/>
    <w:rsid w:val="005F70BD"/>
    <w:rsid w:val="005F729B"/>
    <w:rsid w:val="0060283C"/>
    <w:rsid w:val="00604EFF"/>
    <w:rsid w:val="00604F14"/>
    <w:rsid w:val="00611B83"/>
    <w:rsid w:val="00613257"/>
    <w:rsid w:val="0061422E"/>
    <w:rsid w:val="00620A71"/>
    <w:rsid w:val="00620D80"/>
    <w:rsid w:val="006234A6"/>
    <w:rsid w:val="00630001"/>
    <w:rsid w:val="006311B3"/>
    <w:rsid w:val="00631DF9"/>
    <w:rsid w:val="0063284C"/>
    <w:rsid w:val="00634A08"/>
    <w:rsid w:val="00636398"/>
    <w:rsid w:val="006368D3"/>
    <w:rsid w:val="006377EC"/>
    <w:rsid w:val="0064151F"/>
    <w:rsid w:val="00641533"/>
    <w:rsid w:val="0064208D"/>
    <w:rsid w:val="006433A0"/>
    <w:rsid w:val="00643475"/>
    <w:rsid w:val="0064396A"/>
    <w:rsid w:val="0064624E"/>
    <w:rsid w:val="00650AB9"/>
    <w:rsid w:val="00655733"/>
    <w:rsid w:val="00655ACD"/>
    <w:rsid w:val="00656A92"/>
    <w:rsid w:val="00656DDE"/>
    <w:rsid w:val="0066011D"/>
    <w:rsid w:val="006607C0"/>
    <w:rsid w:val="006613A6"/>
    <w:rsid w:val="006627A2"/>
    <w:rsid w:val="006634E6"/>
    <w:rsid w:val="00664EAA"/>
    <w:rsid w:val="006655EE"/>
    <w:rsid w:val="00667EE7"/>
    <w:rsid w:val="00670922"/>
    <w:rsid w:val="00670BE1"/>
    <w:rsid w:val="00671858"/>
    <w:rsid w:val="0067218F"/>
    <w:rsid w:val="006741F2"/>
    <w:rsid w:val="00674CC3"/>
    <w:rsid w:val="00675C72"/>
    <w:rsid w:val="006771F9"/>
    <w:rsid w:val="006776D7"/>
    <w:rsid w:val="00681003"/>
    <w:rsid w:val="006817C9"/>
    <w:rsid w:val="00682596"/>
    <w:rsid w:val="00683ECE"/>
    <w:rsid w:val="00684B1B"/>
    <w:rsid w:val="00686DCF"/>
    <w:rsid w:val="006934DA"/>
    <w:rsid w:val="006950DA"/>
    <w:rsid w:val="00695FC2"/>
    <w:rsid w:val="00696949"/>
    <w:rsid w:val="00697052"/>
    <w:rsid w:val="00697198"/>
    <w:rsid w:val="006A46FB"/>
    <w:rsid w:val="006A5E28"/>
    <w:rsid w:val="006A697B"/>
    <w:rsid w:val="006A7AFF"/>
    <w:rsid w:val="006B1816"/>
    <w:rsid w:val="006B2099"/>
    <w:rsid w:val="006B4797"/>
    <w:rsid w:val="006B50CF"/>
    <w:rsid w:val="006C03B8"/>
    <w:rsid w:val="006C5EC9"/>
    <w:rsid w:val="006C6059"/>
    <w:rsid w:val="006C7522"/>
    <w:rsid w:val="006D6F08"/>
    <w:rsid w:val="006E062C"/>
    <w:rsid w:val="006E1C82"/>
    <w:rsid w:val="006E28B7"/>
    <w:rsid w:val="006E2A9B"/>
    <w:rsid w:val="006E3195"/>
    <w:rsid w:val="006E3310"/>
    <w:rsid w:val="006E4E39"/>
    <w:rsid w:val="006E565E"/>
    <w:rsid w:val="006E673D"/>
    <w:rsid w:val="006E7D3B"/>
    <w:rsid w:val="006F00B6"/>
    <w:rsid w:val="006F1B70"/>
    <w:rsid w:val="006F341D"/>
    <w:rsid w:val="006F3CDE"/>
    <w:rsid w:val="006F4050"/>
    <w:rsid w:val="006F58D4"/>
    <w:rsid w:val="006F6582"/>
    <w:rsid w:val="00701722"/>
    <w:rsid w:val="0070346E"/>
    <w:rsid w:val="00704EDB"/>
    <w:rsid w:val="00706101"/>
    <w:rsid w:val="00707072"/>
    <w:rsid w:val="0070720C"/>
    <w:rsid w:val="00707D61"/>
    <w:rsid w:val="00712287"/>
    <w:rsid w:val="00712772"/>
    <w:rsid w:val="007148D3"/>
    <w:rsid w:val="00714E6B"/>
    <w:rsid w:val="007159BE"/>
    <w:rsid w:val="00715B9A"/>
    <w:rsid w:val="00717510"/>
    <w:rsid w:val="007257D0"/>
    <w:rsid w:val="00726EA6"/>
    <w:rsid w:val="00727208"/>
    <w:rsid w:val="00727680"/>
    <w:rsid w:val="0073146E"/>
    <w:rsid w:val="007345EF"/>
    <w:rsid w:val="007348B1"/>
    <w:rsid w:val="0073493F"/>
    <w:rsid w:val="007362A6"/>
    <w:rsid w:val="00736AF6"/>
    <w:rsid w:val="00736D7D"/>
    <w:rsid w:val="00740E58"/>
    <w:rsid w:val="007445A0"/>
    <w:rsid w:val="0074524B"/>
    <w:rsid w:val="00747D8B"/>
    <w:rsid w:val="00751228"/>
    <w:rsid w:val="007571E1"/>
    <w:rsid w:val="00757A16"/>
    <w:rsid w:val="007604B2"/>
    <w:rsid w:val="007619D8"/>
    <w:rsid w:val="00765281"/>
    <w:rsid w:val="00766BAD"/>
    <w:rsid w:val="007729A2"/>
    <w:rsid w:val="007755F2"/>
    <w:rsid w:val="00776971"/>
    <w:rsid w:val="00777594"/>
    <w:rsid w:val="00780A80"/>
    <w:rsid w:val="0078177E"/>
    <w:rsid w:val="0078304C"/>
    <w:rsid w:val="00783673"/>
    <w:rsid w:val="00785490"/>
    <w:rsid w:val="007925EA"/>
    <w:rsid w:val="00793CD8"/>
    <w:rsid w:val="00795C92"/>
    <w:rsid w:val="00796231"/>
    <w:rsid w:val="007A1CB3"/>
    <w:rsid w:val="007A306F"/>
    <w:rsid w:val="007A43A6"/>
    <w:rsid w:val="007A58A6"/>
    <w:rsid w:val="007A6801"/>
    <w:rsid w:val="007A7227"/>
    <w:rsid w:val="007A727C"/>
    <w:rsid w:val="007B3D2D"/>
    <w:rsid w:val="007B50AE"/>
    <w:rsid w:val="007B51DF"/>
    <w:rsid w:val="007B6219"/>
    <w:rsid w:val="007C05DD"/>
    <w:rsid w:val="007C3D18"/>
    <w:rsid w:val="007C45F4"/>
    <w:rsid w:val="007C60BF"/>
    <w:rsid w:val="007C6A07"/>
    <w:rsid w:val="007C75A1"/>
    <w:rsid w:val="007C77A5"/>
    <w:rsid w:val="007D04E5"/>
    <w:rsid w:val="007D0E0F"/>
    <w:rsid w:val="007D3121"/>
    <w:rsid w:val="007D5901"/>
    <w:rsid w:val="007D7526"/>
    <w:rsid w:val="007E20FA"/>
    <w:rsid w:val="007E4610"/>
    <w:rsid w:val="007E4715"/>
    <w:rsid w:val="007E4C1D"/>
    <w:rsid w:val="007E505B"/>
    <w:rsid w:val="007E5A73"/>
    <w:rsid w:val="007E7091"/>
    <w:rsid w:val="007F32F1"/>
    <w:rsid w:val="007F6D39"/>
    <w:rsid w:val="00802DA2"/>
    <w:rsid w:val="00803FAE"/>
    <w:rsid w:val="0080605F"/>
    <w:rsid w:val="0080738A"/>
    <w:rsid w:val="0080756C"/>
    <w:rsid w:val="00807786"/>
    <w:rsid w:val="00811FCB"/>
    <w:rsid w:val="008158D6"/>
    <w:rsid w:val="00817196"/>
    <w:rsid w:val="008214B5"/>
    <w:rsid w:val="008235DB"/>
    <w:rsid w:val="00824AB4"/>
    <w:rsid w:val="00825C42"/>
    <w:rsid w:val="00825D25"/>
    <w:rsid w:val="0082612F"/>
    <w:rsid w:val="00827D6F"/>
    <w:rsid w:val="00837484"/>
    <w:rsid w:val="008376AC"/>
    <w:rsid w:val="008444E8"/>
    <w:rsid w:val="00844E80"/>
    <w:rsid w:val="00846FE7"/>
    <w:rsid w:val="00847754"/>
    <w:rsid w:val="008529EA"/>
    <w:rsid w:val="00856911"/>
    <w:rsid w:val="0086120A"/>
    <w:rsid w:val="00861288"/>
    <w:rsid w:val="008677FD"/>
    <w:rsid w:val="008706D4"/>
    <w:rsid w:val="00870F8A"/>
    <w:rsid w:val="008719A4"/>
    <w:rsid w:val="00871D23"/>
    <w:rsid w:val="00874312"/>
    <w:rsid w:val="0087437C"/>
    <w:rsid w:val="00875CD7"/>
    <w:rsid w:val="00876B4D"/>
    <w:rsid w:val="00877F18"/>
    <w:rsid w:val="00880AE3"/>
    <w:rsid w:val="008836A3"/>
    <w:rsid w:val="0088447A"/>
    <w:rsid w:val="008941E3"/>
    <w:rsid w:val="00894A88"/>
    <w:rsid w:val="00895386"/>
    <w:rsid w:val="008A0B0E"/>
    <w:rsid w:val="008A21FF"/>
    <w:rsid w:val="008A2CE2"/>
    <w:rsid w:val="008A30AC"/>
    <w:rsid w:val="008A44B8"/>
    <w:rsid w:val="008A51A8"/>
    <w:rsid w:val="008A54C7"/>
    <w:rsid w:val="008A77D8"/>
    <w:rsid w:val="008B0483"/>
    <w:rsid w:val="008B120C"/>
    <w:rsid w:val="008B29F5"/>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4780"/>
    <w:rsid w:val="008F068D"/>
    <w:rsid w:val="008F1EAB"/>
    <w:rsid w:val="008F33DC"/>
    <w:rsid w:val="008F477F"/>
    <w:rsid w:val="008F6C80"/>
    <w:rsid w:val="00902350"/>
    <w:rsid w:val="0090336B"/>
    <w:rsid w:val="009053AA"/>
    <w:rsid w:val="00906939"/>
    <w:rsid w:val="00906D30"/>
    <w:rsid w:val="00910B7D"/>
    <w:rsid w:val="00911DFB"/>
    <w:rsid w:val="009139D9"/>
    <w:rsid w:val="00914AD8"/>
    <w:rsid w:val="009156FB"/>
    <w:rsid w:val="00916079"/>
    <w:rsid w:val="0091712E"/>
    <w:rsid w:val="00917CE9"/>
    <w:rsid w:val="00920BF2"/>
    <w:rsid w:val="00922010"/>
    <w:rsid w:val="00931BD9"/>
    <w:rsid w:val="009368F3"/>
    <w:rsid w:val="00937B32"/>
    <w:rsid w:val="00941636"/>
    <w:rsid w:val="00943742"/>
    <w:rsid w:val="00945504"/>
    <w:rsid w:val="00945C05"/>
    <w:rsid w:val="00946945"/>
    <w:rsid w:val="00947713"/>
    <w:rsid w:val="00950DE7"/>
    <w:rsid w:val="00953920"/>
    <w:rsid w:val="00953D2B"/>
    <w:rsid w:val="00953D47"/>
    <w:rsid w:val="009547DD"/>
    <w:rsid w:val="0095681E"/>
    <w:rsid w:val="009572D4"/>
    <w:rsid w:val="009607E0"/>
    <w:rsid w:val="00961921"/>
    <w:rsid w:val="0096430A"/>
    <w:rsid w:val="0096554B"/>
    <w:rsid w:val="0096584A"/>
    <w:rsid w:val="0097014A"/>
    <w:rsid w:val="00971F08"/>
    <w:rsid w:val="0097427E"/>
    <w:rsid w:val="0097603D"/>
    <w:rsid w:val="00976949"/>
    <w:rsid w:val="00980477"/>
    <w:rsid w:val="00985253"/>
    <w:rsid w:val="009853B3"/>
    <w:rsid w:val="00990630"/>
    <w:rsid w:val="00991761"/>
    <w:rsid w:val="00994DCA"/>
    <w:rsid w:val="009960EC"/>
    <w:rsid w:val="009970DD"/>
    <w:rsid w:val="009A0FBA"/>
    <w:rsid w:val="009A1601"/>
    <w:rsid w:val="009A1E77"/>
    <w:rsid w:val="009A3BB6"/>
    <w:rsid w:val="009A462D"/>
    <w:rsid w:val="009A5CBA"/>
    <w:rsid w:val="009B1F30"/>
    <w:rsid w:val="009B3AC2"/>
    <w:rsid w:val="009B4DF4"/>
    <w:rsid w:val="009B564E"/>
    <w:rsid w:val="009B7E87"/>
    <w:rsid w:val="009C0169"/>
    <w:rsid w:val="009C403E"/>
    <w:rsid w:val="009D3A6F"/>
    <w:rsid w:val="009D4FF0"/>
    <w:rsid w:val="009D703C"/>
    <w:rsid w:val="009D718F"/>
    <w:rsid w:val="009E068F"/>
    <w:rsid w:val="009E14E0"/>
    <w:rsid w:val="009E35DB"/>
    <w:rsid w:val="009E47A3"/>
    <w:rsid w:val="009E6758"/>
    <w:rsid w:val="009F08F3"/>
    <w:rsid w:val="009F344F"/>
    <w:rsid w:val="009F40EA"/>
    <w:rsid w:val="00A0013A"/>
    <w:rsid w:val="00A02B69"/>
    <w:rsid w:val="00A031D8"/>
    <w:rsid w:val="00A04522"/>
    <w:rsid w:val="00A048A8"/>
    <w:rsid w:val="00A04F49"/>
    <w:rsid w:val="00A13E54"/>
    <w:rsid w:val="00A17F63"/>
    <w:rsid w:val="00A2193B"/>
    <w:rsid w:val="00A2351A"/>
    <w:rsid w:val="00A264A9"/>
    <w:rsid w:val="00A26DCF"/>
    <w:rsid w:val="00A27785"/>
    <w:rsid w:val="00A30187"/>
    <w:rsid w:val="00A33130"/>
    <w:rsid w:val="00A3448A"/>
    <w:rsid w:val="00A36297"/>
    <w:rsid w:val="00A41E2B"/>
    <w:rsid w:val="00A43582"/>
    <w:rsid w:val="00A4465F"/>
    <w:rsid w:val="00A45B74"/>
    <w:rsid w:val="00A5009A"/>
    <w:rsid w:val="00A52E1D"/>
    <w:rsid w:val="00A61499"/>
    <w:rsid w:val="00A62A77"/>
    <w:rsid w:val="00A63483"/>
    <w:rsid w:val="00A657D7"/>
    <w:rsid w:val="00A660AC"/>
    <w:rsid w:val="00A6766D"/>
    <w:rsid w:val="00A67E6C"/>
    <w:rsid w:val="00A71B99"/>
    <w:rsid w:val="00A739D0"/>
    <w:rsid w:val="00A73F31"/>
    <w:rsid w:val="00A761D4"/>
    <w:rsid w:val="00A77872"/>
    <w:rsid w:val="00A77EC4"/>
    <w:rsid w:val="00A92879"/>
    <w:rsid w:val="00A93827"/>
    <w:rsid w:val="00A9442A"/>
    <w:rsid w:val="00AA016F"/>
    <w:rsid w:val="00AA1ED6"/>
    <w:rsid w:val="00AA231F"/>
    <w:rsid w:val="00AA51D6"/>
    <w:rsid w:val="00AB0BC8"/>
    <w:rsid w:val="00AB11CA"/>
    <w:rsid w:val="00AB14D9"/>
    <w:rsid w:val="00AB4AB8"/>
    <w:rsid w:val="00AB655E"/>
    <w:rsid w:val="00AC007F"/>
    <w:rsid w:val="00AC2ECD"/>
    <w:rsid w:val="00AC3119"/>
    <w:rsid w:val="00AC49FB"/>
    <w:rsid w:val="00AC5A10"/>
    <w:rsid w:val="00AD0AA3"/>
    <w:rsid w:val="00AD1973"/>
    <w:rsid w:val="00AD3238"/>
    <w:rsid w:val="00AD3F94"/>
    <w:rsid w:val="00AD4A5A"/>
    <w:rsid w:val="00AE27AC"/>
    <w:rsid w:val="00AE3C53"/>
    <w:rsid w:val="00AE40E0"/>
    <w:rsid w:val="00AE4DBA"/>
    <w:rsid w:val="00AE4F07"/>
    <w:rsid w:val="00AF1C5D"/>
    <w:rsid w:val="00AF41A7"/>
    <w:rsid w:val="00AF42D7"/>
    <w:rsid w:val="00B006FE"/>
    <w:rsid w:val="00B007CB"/>
    <w:rsid w:val="00B02AA9"/>
    <w:rsid w:val="00B02FA3"/>
    <w:rsid w:val="00B05084"/>
    <w:rsid w:val="00B157F9"/>
    <w:rsid w:val="00B15D57"/>
    <w:rsid w:val="00B20256"/>
    <w:rsid w:val="00B20D09"/>
    <w:rsid w:val="00B22E69"/>
    <w:rsid w:val="00B23851"/>
    <w:rsid w:val="00B2763F"/>
    <w:rsid w:val="00B27AAC"/>
    <w:rsid w:val="00B30929"/>
    <w:rsid w:val="00B340EE"/>
    <w:rsid w:val="00B372AA"/>
    <w:rsid w:val="00B40445"/>
    <w:rsid w:val="00B409E0"/>
    <w:rsid w:val="00B41888"/>
    <w:rsid w:val="00B45A52"/>
    <w:rsid w:val="00B46175"/>
    <w:rsid w:val="00B52E72"/>
    <w:rsid w:val="00B548B7"/>
    <w:rsid w:val="00B6406A"/>
    <w:rsid w:val="00B664C7"/>
    <w:rsid w:val="00B70881"/>
    <w:rsid w:val="00B739F6"/>
    <w:rsid w:val="00B773E9"/>
    <w:rsid w:val="00B808AA"/>
    <w:rsid w:val="00B81A6C"/>
    <w:rsid w:val="00B81E5C"/>
    <w:rsid w:val="00B8270D"/>
    <w:rsid w:val="00B85DE5"/>
    <w:rsid w:val="00B86B9F"/>
    <w:rsid w:val="00B90F73"/>
    <w:rsid w:val="00B926CF"/>
    <w:rsid w:val="00B93B59"/>
    <w:rsid w:val="00B9406A"/>
    <w:rsid w:val="00B950E8"/>
    <w:rsid w:val="00B95E2B"/>
    <w:rsid w:val="00B97B09"/>
    <w:rsid w:val="00BA2280"/>
    <w:rsid w:val="00BA2A08"/>
    <w:rsid w:val="00BA56D2"/>
    <w:rsid w:val="00BA76E0"/>
    <w:rsid w:val="00BB2A25"/>
    <w:rsid w:val="00BB5031"/>
    <w:rsid w:val="00BB51E9"/>
    <w:rsid w:val="00BB7153"/>
    <w:rsid w:val="00BC0FDC"/>
    <w:rsid w:val="00BC3053"/>
    <w:rsid w:val="00BC4D2E"/>
    <w:rsid w:val="00BD1FF3"/>
    <w:rsid w:val="00BD40B8"/>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6A3E"/>
    <w:rsid w:val="00C07377"/>
    <w:rsid w:val="00C10478"/>
    <w:rsid w:val="00C12107"/>
    <w:rsid w:val="00C12309"/>
    <w:rsid w:val="00C14D4B"/>
    <w:rsid w:val="00C154BB"/>
    <w:rsid w:val="00C268E6"/>
    <w:rsid w:val="00C279B5"/>
    <w:rsid w:val="00C27C45"/>
    <w:rsid w:val="00C32021"/>
    <w:rsid w:val="00C3719D"/>
    <w:rsid w:val="00C375ED"/>
    <w:rsid w:val="00C37CB2"/>
    <w:rsid w:val="00C4166B"/>
    <w:rsid w:val="00C450CF"/>
    <w:rsid w:val="00C473A5"/>
    <w:rsid w:val="00C54995"/>
    <w:rsid w:val="00C54D41"/>
    <w:rsid w:val="00C60075"/>
    <w:rsid w:val="00C60783"/>
    <w:rsid w:val="00C60958"/>
    <w:rsid w:val="00C60A9F"/>
    <w:rsid w:val="00C61FEC"/>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4D05"/>
    <w:rsid w:val="00C95B40"/>
    <w:rsid w:val="00CA1ED8"/>
    <w:rsid w:val="00CB06C7"/>
    <w:rsid w:val="00CB1F63"/>
    <w:rsid w:val="00CB7170"/>
    <w:rsid w:val="00CB7F79"/>
    <w:rsid w:val="00CC040E"/>
    <w:rsid w:val="00CC111F"/>
    <w:rsid w:val="00CC1D47"/>
    <w:rsid w:val="00CC2011"/>
    <w:rsid w:val="00CC3EA0"/>
    <w:rsid w:val="00CC7B45"/>
    <w:rsid w:val="00CD1188"/>
    <w:rsid w:val="00CD2ED1"/>
    <w:rsid w:val="00CD337B"/>
    <w:rsid w:val="00CE0424"/>
    <w:rsid w:val="00CE7561"/>
    <w:rsid w:val="00CF1354"/>
    <w:rsid w:val="00CF3B1F"/>
    <w:rsid w:val="00CF3BF6"/>
    <w:rsid w:val="00CF6107"/>
    <w:rsid w:val="00CF625B"/>
    <w:rsid w:val="00CF687E"/>
    <w:rsid w:val="00D02734"/>
    <w:rsid w:val="00D0349B"/>
    <w:rsid w:val="00D07E40"/>
    <w:rsid w:val="00D10249"/>
    <w:rsid w:val="00D115C3"/>
    <w:rsid w:val="00D11897"/>
    <w:rsid w:val="00D13135"/>
    <w:rsid w:val="00D13E4E"/>
    <w:rsid w:val="00D17F25"/>
    <w:rsid w:val="00D21D2E"/>
    <w:rsid w:val="00D22081"/>
    <w:rsid w:val="00D239A7"/>
    <w:rsid w:val="00D23F47"/>
    <w:rsid w:val="00D36E71"/>
    <w:rsid w:val="00D37D87"/>
    <w:rsid w:val="00D40B33"/>
    <w:rsid w:val="00D4318F"/>
    <w:rsid w:val="00D4373E"/>
    <w:rsid w:val="00D438BF"/>
    <w:rsid w:val="00D440F8"/>
    <w:rsid w:val="00D546FF"/>
    <w:rsid w:val="00D55AD5"/>
    <w:rsid w:val="00D576CA"/>
    <w:rsid w:val="00D61AF5"/>
    <w:rsid w:val="00D652B5"/>
    <w:rsid w:val="00D66155"/>
    <w:rsid w:val="00D708B0"/>
    <w:rsid w:val="00D7299F"/>
    <w:rsid w:val="00D77B1D"/>
    <w:rsid w:val="00D8021F"/>
    <w:rsid w:val="00D80383"/>
    <w:rsid w:val="00D823C6"/>
    <w:rsid w:val="00D8327F"/>
    <w:rsid w:val="00D86CA3"/>
    <w:rsid w:val="00D871CE"/>
    <w:rsid w:val="00D9196D"/>
    <w:rsid w:val="00D92014"/>
    <w:rsid w:val="00D92982"/>
    <w:rsid w:val="00DA00BA"/>
    <w:rsid w:val="00DA305E"/>
    <w:rsid w:val="00DA5417"/>
    <w:rsid w:val="00DA56E8"/>
    <w:rsid w:val="00DB07CB"/>
    <w:rsid w:val="00DB0A9F"/>
    <w:rsid w:val="00DB1CAA"/>
    <w:rsid w:val="00DB377D"/>
    <w:rsid w:val="00DC159E"/>
    <w:rsid w:val="00DC2D36"/>
    <w:rsid w:val="00DC53EF"/>
    <w:rsid w:val="00DD20FE"/>
    <w:rsid w:val="00DD3024"/>
    <w:rsid w:val="00DD582E"/>
    <w:rsid w:val="00DE5608"/>
    <w:rsid w:val="00DE58D0"/>
    <w:rsid w:val="00DE654F"/>
    <w:rsid w:val="00DF0B6E"/>
    <w:rsid w:val="00DF15E0"/>
    <w:rsid w:val="00DF37A0"/>
    <w:rsid w:val="00DF66E1"/>
    <w:rsid w:val="00DF7FA2"/>
    <w:rsid w:val="00E02810"/>
    <w:rsid w:val="00E110E7"/>
    <w:rsid w:val="00E11B20"/>
    <w:rsid w:val="00E17FA2"/>
    <w:rsid w:val="00E22330"/>
    <w:rsid w:val="00E26792"/>
    <w:rsid w:val="00E30B5A"/>
    <w:rsid w:val="00E3123D"/>
    <w:rsid w:val="00E31461"/>
    <w:rsid w:val="00E31D43"/>
    <w:rsid w:val="00E32608"/>
    <w:rsid w:val="00E34188"/>
    <w:rsid w:val="00E34B6E"/>
    <w:rsid w:val="00E35559"/>
    <w:rsid w:val="00E3723A"/>
    <w:rsid w:val="00E37860"/>
    <w:rsid w:val="00E446F1"/>
    <w:rsid w:val="00E46886"/>
    <w:rsid w:val="00E47AEF"/>
    <w:rsid w:val="00E47F7B"/>
    <w:rsid w:val="00E53414"/>
    <w:rsid w:val="00E53B75"/>
    <w:rsid w:val="00E54E3B"/>
    <w:rsid w:val="00E57565"/>
    <w:rsid w:val="00E63838"/>
    <w:rsid w:val="00E64434"/>
    <w:rsid w:val="00E67C51"/>
    <w:rsid w:val="00E709D8"/>
    <w:rsid w:val="00E72EFC"/>
    <w:rsid w:val="00E758EC"/>
    <w:rsid w:val="00E802A5"/>
    <w:rsid w:val="00E8193C"/>
    <w:rsid w:val="00E8234C"/>
    <w:rsid w:val="00E83AA9"/>
    <w:rsid w:val="00E85928"/>
    <w:rsid w:val="00E87822"/>
    <w:rsid w:val="00E90395"/>
    <w:rsid w:val="00E90E49"/>
    <w:rsid w:val="00E917F9"/>
    <w:rsid w:val="00E9291C"/>
    <w:rsid w:val="00E93FFE"/>
    <w:rsid w:val="00E94F8A"/>
    <w:rsid w:val="00E95205"/>
    <w:rsid w:val="00EA6C19"/>
    <w:rsid w:val="00EA7A41"/>
    <w:rsid w:val="00EB077B"/>
    <w:rsid w:val="00EB4EA2"/>
    <w:rsid w:val="00EB5DD6"/>
    <w:rsid w:val="00EB5EC9"/>
    <w:rsid w:val="00EC192B"/>
    <w:rsid w:val="00EC24D5"/>
    <w:rsid w:val="00EC27C6"/>
    <w:rsid w:val="00EC4207"/>
    <w:rsid w:val="00EC5653"/>
    <w:rsid w:val="00EC71CE"/>
    <w:rsid w:val="00ED1006"/>
    <w:rsid w:val="00EE31B6"/>
    <w:rsid w:val="00EE4134"/>
    <w:rsid w:val="00EF1616"/>
    <w:rsid w:val="00EF18FE"/>
    <w:rsid w:val="00EF5787"/>
    <w:rsid w:val="00EF60D0"/>
    <w:rsid w:val="00EF7D72"/>
    <w:rsid w:val="00F0528D"/>
    <w:rsid w:val="00F06C67"/>
    <w:rsid w:val="00F06DFD"/>
    <w:rsid w:val="00F071D1"/>
    <w:rsid w:val="00F07533"/>
    <w:rsid w:val="00F10629"/>
    <w:rsid w:val="00F133DB"/>
    <w:rsid w:val="00F15FA5"/>
    <w:rsid w:val="00F1715E"/>
    <w:rsid w:val="00F209B7"/>
    <w:rsid w:val="00F20F5C"/>
    <w:rsid w:val="00F2376F"/>
    <w:rsid w:val="00F243D8"/>
    <w:rsid w:val="00F30828"/>
    <w:rsid w:val="00F313D6"/>
    <w:rsid w:val="00F35DD8"/>
    <w:rsid w:val="00F40F0C"/>
    <w:rsid w:val="00F4766C"/>
    <w:rsid w:val="00F5060E"/>
    <w:rsid w:val="00F507D1"/>
    <w:rsid w:val="00F51476"/>
    <w:rsid w:val="00F519CE"/>
    <w:rsid w:val="00F51ADA"/>
    <w:rsid w:val="00F52353"/>
    <w:rsid w:val="00F60203"/>
    <w:rsid w:val="00F60741"/>
    <w:rsid w:val="00F607C5"/>
    <w:rsid w:val="00F60DEA"/>
    <w:rsid w:val="00F6302A"/>
    <w:rsid w:val="00F63950"/>
    <w:rsid w:val="00F64C2B"/>
    <w:rsid w:val="00F651BE"/>
    <w:rsid w:val="00F67F53"/>
    <w:rsid w:val="00F703BE"/>
    <w:rsid w:val="00F71F69"/>
    <w:rsid w:val="00F72B72"/>
    <w:rsid w:val="00F74BB9"/>
    <w:rsid w:val="00F75582"/>
    <w:rsid w:val="00F7601F"/>
    <w:rsid w:val="00F76EFA"/>
    <w:rsid w:val="00F804BE"/>
    <w:rsid w:val="00F817CE"/>
    <w:rsid w:val="00F8456C"/>
    <w:rsid w:val="00F859D8"/>
    <w:rsid w:val="00F868F5"/>
    <w:rsid w:val="00F86EDB"/>
    <w:rsid w:val="00F9056A"/>
    <w:rsid w:val="00F90F8D"/>
    <w:rsid w:val="00F91787"/>
    <w:rsid w:val="00F92782"/>
    <w:rsid w:val="00F93AA9"/>
    <w:rsid w:val="00F94259"/>
    <w:rsid w:val="00F96985"/>
    <w:rsid w:val="00F97838"/>
    <w:rsid w:val="00FA022B"/>
    <w:rsid w:val="00FA2BB3"/>
    <w:rsid w:val="00FA7683"/>
    <w:rsid w:val="00FB4C80"/>
    <w:rsid w:val="00FB6A6A"/>
    <w:rsid w:val="00FC5407"/>
    <w:rsid w:val="00FC7429"/>
    <w:rsid w:val="00FD07F6"/>
    <w:rsid w:val="00FD1EC8"/>
    <w:rsid w:val="00FD47ED"/>
    <w:rsid w:val="00FD74DB"/>
    <w:rsid w:val="00FD7660"/>
    <w:rsid w:val="00FD7D17"/>
    <w:rsid w:val="00FE0655"/>
    <w:rsid w:val="00FE2365"/>
    <w:rsid w:val="00FE311C"/>
    <w:rsid w:val="00FE37D7"/>
    <w:rsid w:val="00FE4C7B"/>
    <w:rsid w:val="00FE7336"/>
    <w:rsid w:val="00FE787C"/>
    <w:rsid w:val="00FF354B"/>
    <w:rsid w:val="00FF45A5"/>
    <w:rsid w:val="00FF5247"/>
    <w:rsid w:val="00FF5368"/>
    <w:rsid w:val="00FF5C91"/>
    <w:rsid w:val="00FF7966"/>
    <w:rsid w:val="14BB111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F1901D"/>
  <w15:docId w15:val="{DB0AF2CA-7891-4629-B941-8E3EF4D4C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qFormat="1"/>
    <w:lsdException w:name="table of figures" w:uiPriority="99"/>
    <w:lsdException w:name="footnote reference" w:qFormat="1"/>
    <w:lsdException w:name="annotation reference" w:uiPriority="99" w:qFormat="1"/>
    <w:lsdException w:name="List Bullet 4" w:qFormat="1"/>
    <w:lsdException w:name="List Number 2" w:qFormat="1"/>
    <w:lsdException w:name="List Number 3" w:qFormat="1"/>
    <w:lsdException w:name="Title" w:qFormat="1"/>
    <w:lsdException w:name="Default Paragraph Font" w:semiHidden="1" w:uiPriority="1" w:unhideWhenUsed="1"/>
    <w:lsdException w:name="List Continue" w:qFormat="1"/>
    <w:lsdException w:name="List Continue 2" w:qFormat="1"/>
    <w:lsdException w:name="Subtitle" w:qFormat="1"/>
    <w:lsdException w:name="Hyperlink" w:uiPriority="99"/>
    <w:lsdException w:name="FollowedHyperlink" w:unhideWhenUsed="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pPr>
      <w:ind w:left="1135"/>
    </w:pPr>
  </w:style>
  <w:style w:type="paragraph" w:styleId="23">
    <w:name w:val="List 2"/>
    <w:basedOn w:val="a5"/>
    <w:pPr>
      <w:ind w:left="851"/>
    </w:pPr>
    <w:rPr>
      <w:lang w:eastAsia="ja-JP"/>
    </w:rPr>
  </w:style>
  <w:style w:type="paragraph" w:styleId="a5">
    <w:name w:val="List"/>
    <w:basedOn w:val="a6"/>
    <w:pPr>
      <w:ind w:left="568" w:hanging="284"/>
    </w:pPr>
  </w:style>
  <w:style w:type="paragraph" w:styleId="a6">
    <w:name w:val="Body Text"/>
    <w:basedOn w:val="a1"/>
    <w:link w:val="a7"/>
    <w:pPr>
      <w:spacing w:after="120"/>
      <w:jc w:val="both"/>
    </w:pPr>
    <w:rPr>
      <w:rFonts w:ascii="Arial" w:hAnsi="Arial"/>
      <w:lang w:eastAsia="zh-CN"/>
    </w:rPr>
  </w:style>
  <w:style w:type="paragraph" w:styleId="TOC7">
    <w:name w:val="toc 7"/>
    <w:basedOn w:val="TOC6"/>
    <w:next w:val="a1"/>
    <w:uiPriority w:val="39"/>
    <w:pPr>
      <w:ind w:left="2268" w:hanging="2268"/>
    </w:pPr>
  </w:style>
  <w:style w:type="paragraph" w:styleId="TOC6">
    <w:name w:val="toc 6"/>
    <w:basedOn w:val="TOC5"/>
    <w:next w:val="a1"/>
    <w:uiPriority w:val="39"/>
    <w:pPr>
      <w:ind w:left="1985" w:hanging="1985"/>
    </w:pPr>
  </w:style>
  <w:style w:type="paragraph" w:styleId="TOC5">
    <w:name w:val="toc 5"/>
    <w:basedOn w:val="TOC4"/>
    <w:next w:val="a1"/>
    <w:uiPriority w:val="39"/>
    <w:pPr>
      <w:ind w:left="1701" w:hanging="1701"/>
    </w:pPr>
  </w:style>
  <w:style w:type="paragraph" w:styleId="TOC4">
    <w:name w:val="toc 4"/>
    <w:basedOn w:val="TOC3"/>
    <w:next w:val="a1"/>
    <w:uiPriority w:val="39"/>
    <w:pPr>
      <w:ind w:left="1418" w:hanging="1418"/>
    </w:pPr>
  </w:style>
  <w:style w:type="paragraph" w:styleId="TOC3">
    <w:name w:val="toc 3"/>
    <w:basedOn w:val="TOC2"/>
    <w:next w:val="a1"/>
    <w:uiPriority w:val="39"/>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pPr>
      <w:numPr>
        <w:numId w:val="2"/>
      </w:numPr>
    </w:pPr>
    <w:rPr>
      <w:lang w:eastAsia="ja-JP"/>
    </w:rPr>
  </w:style>
  <w:style w:type="paragraph" w:styleId="4">
    <w:name w:val="List Bullet 4"/>
    <w:basedOn w:val="30"/>
    <w:qFormat/>
    <w:pPr>
      <w:numPr>
        <w:numId w:val="3"/>
      </w:numPr>
    </w:pPr>
  </w:style>
  <w:style w:type="paragraph" w:styleId="30">
    <w:name w:val="List Bullet 3"/>
    <w:basedOn w:val="2"/>
    <w:pPr>
      <w:numPr>
        <w:numId w:val="4"/>
      </w:numPr>
    </w:pPr>
  </w:style>
  <w:style w:type="paragraph" w:styleId="2">
    <w:name w:val="List Bullet 2"/>
    <w:basedOn w:val="a0"/>
    <w:pPr>
      <w:numPr>
        <w:numId w:val="5"/>
      </w:numPr>
    </w:pPr>
  </w:style>
  <w:style w:type="paragraph" w:styleId="a0">
    <w:name w:val="List Bullet"/>
    <w:basedOn w:val="a5"/>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pPr>
      <w:numPr>
        <w:numId w:val="8"/>
      </w:numPr>
    </w:pPr>
  </w:style>
  <w:style w:type="paragraph" w:styleId="TOC8">
    <w:name w:val="toc 8"/>
    <w:basedOn w:val="TOC1"/>
    <w:next w:val="a1"/>
    <w:uiPriority w:val="39"/>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pPr>
      <w:jc w:val="center"/>
    </w:pPr>
    <w:rPr>
      <w:i/>
    </w:rPr>
  </w:style>
  <w:style w:type="paragraph" w:styleId="af3">
    <w:name w:val="header"/>
    <w:link w:val="af5"/>
    <w:qFormat/>
    <w:pPr>
      <w:widowControl w:val="0"/>
      <w:overflowPunct w:val="0"/>
      <w:autoSpaceDE w:val="0"/>
      <w:autoSpaceDN w:val="0"/>
      <w:adjustRightInd w:val="0"/>
      <w:textAlignment w:val="baseline"/>
    </w:pPr>
    <w:rPr>
      <w:rFonts w:ascii="Arial" w:hAnsi="Arial"/>
      <w:b/>
      <w:sz w:val="18"/>
      <w:lang w:val="en-GB" w:eastAsia="ja-JP"/>
    </w:rPr>
  </w:style>
  <w:style w:type="paragraph" w:styleId="af6">
    <w:name w:val="index heading"/>
    <w:basedOn w:val="a1"/>
    <w:next w:val="a1"/>
    <w:pPr>
      <w:pBdr>
        <w:top w:val="single" w:sz="12" w:space="0" w:color="auto"/>
      </w:pBdr>
      <w:spacing w:before="360" w:after="240"/>
    </w:pPr>
    <w:rPr>
      <w:b/>
      <w:i/>
      <w:sz w:val="26"/>
      <w:lang w:eastAsia="en-GB"/>
    </w:rPr>
  </w:style>
  <w:style w:type="paragraph" w:styleId="af7">
    <w:name w:val="footnote text"/>
    <w:basedOn w:val="a1"/>
    <w:link w:val="af8"/>
    <w:pPr>
      <w:keepLines/>
      <w:spacing w:after="0"/>
      <w:ind w:left="454" w:hanging="454"/>
    </w:pPr>
    <w:rPr>
      <w:sz w:val="16"/>
    </w:rPr>
  </w:style>
  <w:style w:type="paragraph" w:styleId="52">
    <w:name w:val="List 5"/>
    <w:basedOn w:val="42"/>
    <w:pPr>
      <w:ind w:left="1702"/>
    </w:pPr>
  </w:style>
  <w:style w:type="paragraph" w:styleId="42">
    <w:name w:val="List 4"/>
    <w:basedOn w:val="33"/>
    <w:pPr>
      <w:ind w:left="1418"/>
    </w:pPr>
  </w:style>
  <w:style w:type="paragraph" w:styleId="af9">
    <w:name w:val="table of figures"/>
    <w:basedOn w:val="a6"/>
    <w:next w:val="a1"/>
    <w:uiPriority w:val="99"/>
    <w:pPr>
      <w:ind w:left="1701" w:hanging="1701"/>
      <w:jc w:val="left"/>
    </w:pPr>
    <w:rPr>
      <w:b/>
    </w:rPr>
  </w:style>
  <w:style w:type="paragraph" w:styleId="TOC9">
    <w:name w:val="toc 9"/>
    <w:basedOn w:val="TOC8"/>
    <w:next w:val="a1"/>
    <w:uiPriority w:val="39"/>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pPr>
      <w:keepLines/>
      <w:spacing w:after="0"/>
    </w:pPr>
  </w:style>
  <w:style w:type="paragraph" w:styleId="25">
    <w:name w:val="index 2"/>
    <w:basedOn w:val="11"/>
    <w:next w:val="a1"/>
    <w:pPr>
      <w:ind w:left="284"/>
    </w:pPr>
  </w:style>
  <w:style w:type="paragraph" w:styleId="afa">
    <w:name w:val="annotation subject"/>
    <w:basedOn w:val="ab"/>
    <w:next w:val="ab"/>
    <w:link w:val="afb"/>
    <w:rPr>
      <w:b/>
      <w:bCs/>
    </w:rPr>
  </w:style>
  <w:style w:type="table" w:styleId="afc">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2"/>
  </w:style>
  <w:style w:type="character" w:styleId="aff">
    <w:name w:val="FollowedHyperlink"/>
    <w:unhideWhenUsed/>
    <w:rPr>
      <w:color w:val="800080"/>
      <w:u w:val="single"/>
    </w:rPr>
  </w:style>
  <w:style w:type="character" w:styleId="aff0">
    <w:name w:val="Emphasis"/>
    <w:qFormat/>
    <w:rPr>
      <w:i/>
      <w:iCs/>
    </w:rPr>
  </w:style>
  <w:style w:type="character" w:styleId="aff1">
    <w:name w:val="Hyperlink"/>
    <w:uiPriority w:val="99"/>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2">
    <w:name w:val="annotation reference"/>
    <w:uiPriority w:val="99"/>
    <w:qFormat/>
    <w:rPr>
      <w:sz w:val="16"/>
      <w:szCs w:val="16"/>
    </w:rPr>
  </w:style>
  <w:style w:type="character" w:styleId="aff3">
    <w:name w:val="footnote reference"/>
    <w:qFormat/>
    <w:rPr>
      <w:b/>
      <w:position w:val="6"/>
      <w:sz w:val="16"/>
    </w:rPr>
  </w:style>
  <w:style w:type="paragraph" w:customStyle="1" w:styleId="Figure">
    <w:name w:val="Figure"/>
    <w:basedOn w:val="a1"/>
    <w:next w:val="a8"/>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uiPriority w:val="99"/>
    <w:qFormat/>
    <w:pPr>
      <w:numPr>
        <w:numId w:val="9"/>
      </w:numPr>
    </w:pPr>
  </w:style>
  <w:style w:type="character" w:customStyle="1" w:styleId="10">
    <w:name w:val="标题 1 字符"/>
    <w:link w:val="1"/>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pPr>
      <w:numPr>
        <w:numId w:val="10"/>
      </w:numPr>
      <w:tabs>
        <w:tab w:val="clear" w:pos="1304"/>
        <w:tab w:val="left" w:pos="1701"/>
      </w:tabs>
      <w:ind w:left="1701" w:hanging="1701"/>
    </w:pPr>
    <w:rPr>
      <w:b/>
      <w:bCs/>
    </w:rPr>
  </w:style>
  <w:style w:type="character" w:customStyle="1" w:styleId="a7">
    <w:name w:val="正文文本 字符"/>
    <w:link w:val="a6"/>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pPr>
      <w:spacing w:after="0"/>
    </w:pPr>
  </w:style>
  <w:style w:type="paragraph" w:customStyle="1" w:styleId="TAL">
    <w:name w:val="TAL"/>
    <w:basedOn w:val="a1"/>
    <w:link w:val="TALCar"/>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b">
    <w:name w:val="批注主题 字符"/>
    <w:link w:val="afa"/>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rPr>
      <w:rFonts w:ascii="Arial" w:hAnsi="Arial"/>
      <w:b/>
      <w:i/>
      <w:sz w:val="18"/>
      <w:lang w:eastAsia="ja-JP"/>
    </w:rPr>
  </w:style>
  <w:style w:type="character" w:customStyle="1" w:styleId="af8">
    <w:name w:val="脚注文本 字符"/>
    <w:link w:val="af7"/>
    <w:rPr>
      <w:rFonts w:ascii="Times New Roman" w:hAnsi="Times New Roman"/>
      <w:sz w:val="16"/>
      <w:lang w:eastAsia="ja-JP"/>
    </w:rPr>
  </w:style>
  <w:style w:type="paragraph" w:customStyle="1" w:styleId="Guidance">
    <w:name w:val="Guidance"/>
    <w:basedOn w:val="a1"/>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rPr>
      <w:rFonts w:ascii="Arial" w:hAnsi="Arial"/>
      <w:lang w:eastAsia="ja-JP"/>
    </w:rPr>
  </w:style>
  <w:style w:type="character" w:customStyle="1" w:styleId="70">
    <w:name w:val="标题 7 字符"/>
    <w:link w:val="7"/>
    <w:rPr>
      <w:rFonts w:ascii="Arial" w:hAnsi="Arial"/>
      <w:lang w:eastAsia="ja-JP"/>
    </w:rPr>
  </w:style>
  <w:style w:type="character" w:customStyle="1" w:styleId="80">
    <w:name w:val="标题 8 字符"/>
    <w:link w:val="8"/>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4">
    <w:name w:val="List Paragraph"/>
    <w:basedOn w:val="a1"/>
    <w:link w:val="aff5"/>
    <w:uiPriority w:val="34"/>
    <w:qFormat/>
    <w:pPr>
      <w:spacing w:after="0"/>
      <w:ind w:left="720"/>
    </w:pPr>
    <w:rPr>
      <w:rFonts w:ascii="Calibri" w:eastAsia="Calibri" w:hAnsi="Calibri"/>
      <w:sz w:val="22"/>
      <w:szCs w:val="22"/>
      <w:lang w:val="zh-CN" w:eastAsia="en-US"/>
    </w:rPr>
  </w:style>
  <w:style w:type="character" w:customStyle="1" w:styleId="aff5">
    <w:name w:val="列表段落 字符"/>
    <w:link w:val="aff4"/>
    <w:uiPriority w:val="34"/>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a1"/>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table" w:customStyle="1" w:styleId="4-11">
    <w:name w:val="网格表 4 - 着色 11"/>
    <w:basedOn w:val="a3"/>
    <w:uiPriority w:val="49"/>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rPr>
      <w:rFonts w:ascii="Arial" w:hAnsi="Arial"/>
      <w:sz w:val="18"/>
      <w:lang w:val="zh-CN" w:eastAsia="zh-CN"/>
    </w:rPr>
  </w:style>
  <w:style w:type="character" w:customStyle="1" w:styleId="Mention1">
    <w:name w:val="Mention1"/>
    <w:basedOn w:val="a2"/>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www.3gpp.org/ftp//tsg_ran/WG2_RL2/TSGR2_119-e/Docs//R2-2207469.zip" TargetMode="External"/><Relationship Id="rId26" Type="http://schemas.openxmlformats.org/officeDocument/2006/relationships/hyperlink" Target="http://www.3gpp.org/ftp//tsg_ran/WG2_RL2/TSGR2_119-e/Docs//R2-2208135.zip" TargetMode="External"/><Relationship Id="rId3" Type="http://schemas.openxmlformats.org/officeDocument/2006/relationships/customXml" Target="../customXml/item3.xml"/><Relationship Id="rId21" Type="http://schemas.openxmlformats.org/officeDocument/2006/relationships/hyperlink" Target="http://www.3gpp.org/ftp//tsg_ran/WG2_RL2/TSGR2_119-e/Docs//R2-2207804.zip" TargetMode="Externa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3gpp.org/ftp//tsg_ran/WG2_RL2/TSGR2_119-e/Docs//R2-2207162.zip" TargetMode="External"/><Relationship Id="rId25" Type="http://schemas.openxmlformats.org/officeDocument/2006/relationships/hyperlink" Target="http://www.3gpp.org/ftp//tsg_ran/WG2_RL2/TSGR2_119-e/Docs//R2-2208116.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tsg_ran/WG2_RL2/TSGR2_119-e/Docs//R2-2208951.zip" TargetMode="External"/><Relationship Id="rId20" Type="http://schemas.openxmlformats.org/officeDocument/2006/relationships/hyperlink" Target="http://www.3gpp.org/ftp//tsg_ran/WG2_RL2/TSGR2_119-e/Docs//R2-2207556.zip" TargetMode="External"/><Relationship Id="rId29" Type="http://schemas.openxmlformats.org/officeDocument/2006/relationships/hyperlink" Target="http://www.3gpp.org/ftp//tsg_ran/WG2_RL2/TSGR2_119-e/Docs//R2-220852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3gpp.org/ftp//tsg_ran/WG2_RL2/TSGR2_119-e/Docs//R2-2207968.zip"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wuyumin@xiaomi.com" TargetMode="External"/><Relationship Id="rId23" Type="http://schemas.openxmlformats.org/officeDocument/2006/relationships/hyperlink" Target="http://www.3gpp.org/ftp//tsg_ran/WG2_RL2/TSGR2_119-e/Docs//R2-2207936.zip" TargetMode="External"/><Relationship Id="rId28" Type="http://schemas.openxmlformats.org/officeDocument/2006/relationships/hyperlink" Target="http://www.3gpp.org/ftp//tsg_ran/WG2_RL2/TSGR2_119-e/Docs//R2-2208396.zip" TargetMode="External"/><Relationship Id="rId10" Type="http://schemas.openxmlformats.org/officeDocument/2006/relationships/settings" Target="settings.xml"/><Relationship Id="rId19" Type="http://schemas.openxmlformats.org/officeDocument/2006/relationships/hyperlink" Target="http://www.3gpp.org/ftp//tsg_ran/WG2_RL2/TSGR2_119-e/Docs//R2-2207539.zip"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jarkko.t.koskela@outlook.com" TargetMode="External"/><Relationship Id="rId22" Type="http://schemas.openxmlformats.org/officeDocument/2006/relationships/hyperlink" Target="http://www.3gpp.org/ftp//tsg_ran/WG2_RL2/TSGR2_119-e/Docs//R2-2207844.zip" TargetMode="External"/><Relationship Id="rId27" Type="http://schemas.openxmlformats.org/officeDocument/2006/relationships/hyperlink" Target="http://www.3gpp.org/ftp//tsg_ran/WG2_RL2/TSGR2_119-e/Docs//R2-2208230.zip" TargetMode="External"/><Relationship Id="rId30" Type="http://schemas.openxmlformats.org/officeDocument/2006/relationships/hyperlink" Target="http://www.3gpp.org/ftp//tsg_ran/WG2_RL2/TSGR2_119-e/Docs//R2-2207161.zip" TargetMode="Externa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5AIRPNAIUNRU-859666464-12479</_dlc_DocId>
    <_dlc_DocIdUrl xmlns="71c5aaf6-e6ce-465b-b873-5148d2a4c105">
      <Url>https://nokia.sharepoint.com/sites/c5g/e2earch/_layouts/15/DocIdRedir.aspx?ID=5AIRPNAIUNRU-859666464-12479</Url>
      <Description>5AIRPNAIUNRU-859666464-12479</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44FE1-5642-4A91-B04D-7F6A762D5C8C}">
  <ds:schemaRefs>
    <ds:schemaRef ds:uri="http://schemas.microsoft.com/sharepoint/events"/>
  </ds:schemaRefs>
</ds:datastoreItem>
</file>

<file path=customXml/itemProps2.xml><?xml version="1.0" encoding="utf-8"?>
<ds:datastoreItem xmlns:ds="http://schemas.openxmlformats.org/officeDocument/2006/customXml" ds:itemID="{DF89B6F0-7C4A-4C2C-9AE4-22AD7B08B5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DECB51BC-FE32-41F4-8593-FC2672753206}">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7.xml><?xml version="1.0" encoding="utf-8"?>
<ds:datastoreItem xmlns:ds="http://schemas.openxmlformats.org/officeDocument/2006/customXml" ds:itemID="{B0B04671-FFD2-4F9E-97D6-2C46B7736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Template.dotx</Template>
  <TotalTime>1</TotalTime>
  <Pages>12</Pages>
  <Words>4675</Words>
  <Characters>26648</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vivo</cp:lastModifiedBy>
  <cp:revision>3</cp:revision>
  <cp:lastPrinted>2008-01-31T07:09:00Z</cp:lastPrinted>
  <dcterms:created xsi:type="dcterms:W3CDTF">2022-10-31T05:12:00Z</dcterms:created>
  <dcterms:modified xsi:type="dcterms:W3CDTF">2022-10-31T05:13:00Z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0x01010054371E7EC0F13943B87F9D9F2BE005B3</vt:lpwstr>
  </property>
  <property fmtid="{D5CDD505-2E9C-101B-9397-08002B2CF9AE}" pid="4" name="MediaServiceImageTags">
    <vt:lpwstr/>
  </property>
  <property fmtid="{D5CDD505-2E9C-101B-9397-08002B2CF9AE}" pid="5" name="_dlc_DocIdItemGuid">
    <vt:lpwstr>e2332f4a-ced0-4e19-8072-26a7ed631f4b</vt:lpwstr>
  </property>
  <property fmtid="{D5CDD505-2E9C-101B-9397-08002B2CF9AE}" pid="6" name="KSOProductBuildVer">
    <vt:lpwstr>2052-11.8.2.10393</vt:lpwstr>
  </property>
</Properties>
</file>