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C0E" w14:textId="77777777" w:rsidR="007159BE" w:rsidRDefault="007D3121">
      <w:pPr>
        <w:pStyle w:val="3GPPHeader"/>
        <w:spacing w:after="60"/>
        <w:rPr>
          <w:sz w:val="32"/>
          <w:szCs w:val="32"/>
          <w:highlight w:val="yellow"/>
        </w:rPr>
      </w:pPr>
      <w:r>
        <w:t>3GPP TSG-RAN WG2 #120</w:t>
      </w:r>
      <w:r>
        <w:tab/>
      </w:r>
      <w:r>
        <w:rPr>
          <w:sz w:val="32"/>
          <w:szCs w:val="32"/>
        </w:rPr>
        <w:t>Tdoc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r>
        <w:rPr>
          <w:sz w:val="22"/>
          <w:szCs w:val="22"/>
          <w:highlight w:val="yellow"/>
        </w:rPr>
        <w:t>x.x.x.x</w:t>
      </w:r>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[Post119-e][650][IDC]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[Post119-e][650][IDC] Comparison of FDM solutions (Ericsson)</w:t>
      </w:r>
    </w:p>
    <w:p w14:paraId="52085DB8" w14:textId="77777777" w:rsidR="007159BE" w:rsidRDefault="007D3121">
      <w:pPr>
        <w:pStyle w:val="EmailDiscussion2"/>
      </w:pPr>
      <w:r>
        <w:t xml:space="preserve">      </w:t>
      </w:r>
      <w:r>
        <w:tab/>
        <w:t>Scope: Analyse the details of FDM candidate solutions raised in R2-2208951, and compare solutions ,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Submisssion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tdocs for long email discussions shall be submitted to RAN2 120-e (Nov meeting). Please request tdoc numbers as for any other input tdoc to next meeting, i.e.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non-3GPP  should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freq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freq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FFS, on signalling details;</w:t>
      </w:r>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non-3GPP  should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non-3GPP  should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freq granularity) for adjacent can be reused for IMD, we will not invent new solution on freq granularity for IMD. FFS on signalling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Jarkko Koskela</w:t>
            </w:r>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EA6C19">
            <w:pPr>
              <w:pStyle w:val="TAC"/>
              <w:spacing w:before="20" w:after="20"/>
              <w:ind w:left="57" w:right="57"/>
              <w:rPr>
                <w:rFonts w:ascii="Times New Roman" w:hAnsi="Times New Roman"/>
                <w:sz w:val="20"/>
                <w:lang w:val="en-GB"/>
              </w:rPr>
            </w:pPr>
            <w:hyperlink r:id="rId14" w:history="1">
              <w:r w:rsidR="007D3121">
                <w:rPr>
                  <w:rStyle w:val="Hyperlink"/>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EA6C19">
            <w:pPr>
              <w:pStyle w:val="TAC"/>
              <w:spacing w:before="20" w:after="20"/>
              <w:ind w:left="57" w:right="57"/>
              <w:rPr>
                <w:rFonts w:ascii="Times New Roman" w:hAnsi="Times New Roman"/>
                <w:sz w:val="20"/>
                <w:lang w:val="en-GB"/>
              </w:rPr>
            </w:pPr>
            <w:hyperlink r:id="rId15" w:history="1">
              <w:r w:rsidR="007D3121">
                <w:rPr>
                  <w:rStyle w:val="Hyperlink"/>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r>
              <w:rPr>
                <w:rFonts w:ascii="Times New Roman" w:hAnsi="Times New Roman"/>
                <w:sz w:val="20"/>
                <w:lang w:val="en-GB"/>
              </w:rPr>
              <w:t>Xinlei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Sherif ElAzzouni</w:t>
            </w:r>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Wenting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736AF6"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4B9147F9"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1F82F2E7" w14:textId="77777777" w:rsidR="00736AF6" w:rsidRDefault="00736AF6" w:rsidP="00736AF6">
            <w:pPr>
              <w:pStyle w:val="TAC"/>
              <w:spacing w:before="20" w:after="20"/>
              <w:ind w:left="57" w:right="57"/>
              <w:rPr>
                <w:rFonts w:ascii="Times New Roman" w:hAnsi="Times New Roman"/>
                <w:sz w:val="20"/>
                <w:lang w:val="en-GB"/>
              </w:rPr>
            </w:pP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36AF6" w:rsidRDefault="00736AF6" w:rsidP="00736AF6">
            <w:pPr>
              <w:pStyle w:val="TAC"/>
              <w:spacing w:before="20" w:after="20"/>
              <w:ind w:left="57" w:right="57"/>
              <w:rPr>
                <w:rFonts w:ascii="Times New Roman" w:hAnsi="Times New Roman"/>
                <w:sz w:val="20"/>
                <w:lang w:val="en-GB"/>
              </w:rPr>
            </w:pPr>
          </w:p>
        </w:tc>
      </w:tr>
      <w:tr w:rsidR="00736AF6"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36AF6" w:rsidRDefault="00736AF6" w:rsidP="00736AF6">
            <w:pPr>
              <w:pStyle w:val="TAC"/>
              <w:spacing w:before="20" w:after="20"/>
              <w:ind w:left="57" w:right="57"/>
              <w:rPr>
                <w:rFonts w:ascii="Times New Roman" w:hAnsi="Times New Roman"/>
                <w:sz w:val="20"/>
                <w:lang w:val="en-GB"/>
              </w:rPr>
            </w:pPr>
          </w:p>
        </w:tc>
      </w:tr>
      <w:tr w:rsidR="00736AF6"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36AF6" w:rsidRDefault="00736AF6" w:rsidP="00736AF6">
            <w:pPr>
              <w:pStyle w:val="TAC"/>
              <w:spacing w:before="20" w:after="20"/>
              <w:ind w:left="57" w:right="57"/>
              <w:rPr>
                <w:rFonts w:ascii="Times New Roman" w:hAnsi="Times New Roman"/>
                <w:sz w:val="20"/>
                <w:lang w:val="en-GB"/>
              </w:rPr>
            </w:pPr>
          </w:p>
        </w:tc>
      </w:tr>
      <w:tr w:rsidR="00736AF6"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36AF6" w:rsidRDefault="00736AF6" w:rsidP="00736AF6">
            <w:pPr>
              <w:pStyle w:val="TAC"/>
              <w:spacing w:before="20" w:after="20"/>
              <w:ind w:left="57" w:right="57"/>
              <w:rPr>
                <w:rFonts w:ascii="Times New Roman" w:hAnsi="Times New Roman"/>
                <w:sz w:val="20"/>
                <w:lang w:val="en-GB"/>
              </w:rPr>
            </w:pPr>
          </w:p>
        </w:tc>
      </w:tr>
      <w:tr w:rsidR="00736AF6"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36AF6" w:rsidRDefault="00736AF6" w:rsidP="00736AF6">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 xml:space="preserve">OtherConfig-v1610 ::=                   </w:t>
            </w:r>
            <w:r>
              <w:rPr>
                <w:color w:val="993366"/>
              </w:rPr>
              <w:t>SEQUENCE</w:t>
            </w:r>
            <w:r>
              <w:t xml:space="preserve"> {</w:t>
            </w:r>
          </w:p>
          <w:p w14:paraId="0C337BFC" w14:textId="77777777" w:rsidR="007159BE" w:rsidRDefault="007D312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 xml:space="preserve">IDC-AssistanceConfig-r16 ::=    </w:t>
            </w:r>
            <w:r>
              <w:rPr>
                <w:color w:val="993366"/>
              </w:rPr>
              <w:t>SEQUENCE</w:t>
            </w:r>
            <w:r>
              <w:t xml:space="preserve"> {</w:t>
            </w:r>
          </w:p>
          <w:p w14:paraId="00F1AC29" w14:textId="77777777" w:rsidR="007159BE" w:rsidRDefault="007D312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lastRenderedPageBreak/>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548A24ED" w14:textId="77777777" w:rsidR="007159BE" w:rsidRDefault="007D3121">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6507B9EC" w14:textId="77777777" w:rsidR="007159BE" w:rsidRDefault="007D3121">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4748AB1" w14:textId="77777777" w:rsidR="007159BE" w:rsidRDefault="007D3121">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35F9A116" w14:textId="77777777" w:rsidR="007159BE" w:rsidRDefault="007D3121">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non serving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non serving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Default="007159BE">
      <w:pPr>
        <w:rPr>
          <w:rFonts w:ascii="Arial" w:hAnsi="Arial"/>
          <w:lang w:val="sv-SE" w:eastAsia="zh-CN"/>
        </w:rPr>
      </w:pPr>
    </w:p>
    <w:p w14:paraId="79CF817E" w14:textId="77777777" w:rsidR="007159BE" w:rsidRDefault="007D3121">
      <w:pPr>
        <w:pStyle w:val="Heading1"/>
        <w:rPr>
          <w:lang w:val="sv-SE" w:eastAsia="zh-CN"/>
        </w:rPr>
      </w:pPr>
      <w:r>
        <w:rPr>
          <w:lang w:val="sv-SE" w:eastAsia="zh-CN"/>
        </w:rPr>
        <w:lastRenderedPageBreak/>
        <w:t>4</w:t>
      </w:r>
      <w:r>
        <w:rPr>
          <w:lang w:val="sv-SE"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(i.e.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wrt to BWP reporting). Obviously, most of the time the gNB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serving frequency, with BWP/PRB based reporting, the network can avoid unnecessary handover, e.g.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380666">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380666">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380666">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PSCell change, SCell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can provide gNB more flexibility and less latency if gNB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3EA8D414"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6DDCE831" w14:textId="77777777" w:rsidR="00736AF6" w:rsidRDefault="00736AF6" w:rsidP="00736AF6">
            <w:pPr>
              <w:spacing w:after="0"/>
              <w:rPr>
                <w:rFonts w:ascii="Arial" w:eastAsia="MS Mincho" w:hAnsi="Arial" w:cs="Arial"/>
                <w:bCs/>
              </w:rPr>
            </w:pP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719FC2E0"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9040523" w14:textId="77777777" w:rsidR="00736AF6" w:rsidRDefault="00736AF6" w:rsidP="00736AF6">
            <w:pPr>
              <w:spacing w:after="0"/>
              <w:rPr>
                <w:rFonts w:ascii="Arial" w:eastAsia="MS Mincho" w:hAnsi="Arial" w:cs="Arial"/>
                <w:bCs/>
              </w:rPr>
            </w:pPr>
          </w:p>
        </w:tc>
      </w:tr>
      <w:tr w:rsidR="00736AF6"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36AF6" w:rsidRDefault="00736AF6" w:rsidP="00736AF6">
            <w:pPr>
              <w:spacing w:after="0"/>
              <w:rPr>
                <w:rFonts w:ascii="Arial" w:eastAsia="MS Mincho" w:hAnsi="Arial" w:cs="Arial"/>
                <w:bCs/>
              </w:rPr>
            </w:pPr>
          </w:p>
        </w:tc>
      </w:tr>
    </w:tbl>
    <w:p w14:paraId="38388937" w14:textId="77777777" w:rsidR="007159BE" w:rsidRDefault="007159BE">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lastRenderedPageBreak/>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We do not currently see strong motivation to have different solutions. In fact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The finer granularity, more overhead to report, to avoid frequent IDC indication reporting, we could only consider the enhancement of finer granularity for serving frequencies, and keep legacy for non-serving frequencies. T</w:t>
            </w:r>
            <w:r>
              <w:rPr>
                <w:rFonts w:ascii="Arial" w:eastAsia="MS Mincho" w:hAnsi="Arial" w:cs="Arial" w:hint="eastAsia"/>
                <w:bCs/>
              </w:rPr>
              <w:t>hus</w:t>
            </w:r>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5831A6">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high level solution for serving and non-serving frequencies. 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BD825CE"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E2F25DB" w14:textId="77777777" w:rsidR="00736AF6" w:rsidRDefault="00736AF6" w:rsidP="00736AF6">
            <w:pPr>
              <w:spacing w:after="0"/>
              <w:rPr>
                <w:rFonts w:ascii="Arial" w:eastAsia="MS Mincho" w:hAnsi="Arial" w:cs="Arial"/>
                <w:bCs/>
              </w:rPr>
            </w:pP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36AF6" w:rsidRDefault="00736AF6" w:rsidP="00736AF6">
            <w:pPr>
              <w:spacing w:after="0"/>
              <w:rPr>
                <w:rFonts w:ascii="Arial" w:eastAsia="MS Mincho" w:hAnsi="Arial" w:cs="Arial"/>
                <w:bCs/>
              </w:rPr>
            </w:pP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77777777" w:rsidR="007159BE" w:rsidRDefault="007159B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Option 5 is “Measurement object ID” and is described in [5]. The proponent of this solution clarified that this solution is for LTE frequencies only. In the LTE IDC solution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InDeviceCoexIndication-r11-IEs ::=</w:t>
      </w:r>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t>AffectedCarrierFreqList-r11</w:t>
      </w:r>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t>TDM-AssistanceInfo-r11</w:t>
      </w:r>
      <w:r>
        <w:tab/>
      </w:r>
      <w:r>
        <w:tab/>
      </w:r>
      <w:r>
        <w:tab/>
      </w:r>
      <w:r>
        <w:tab/>
      </w:r>
      <w:r>
        <w:tab/>
      </w:r>
      <w:r>
        <w:tab/>
        <w:t>OPTIONAL,</w:t>
      </w:r>
    </w:p>
    <w:p w14:paraId="33879B0D" w14:textId="77777777" w:rsidR="007159BE" w:rsidRDefault="007D3121">
      <w:pPr>
        <w:pStyle w:val="PL"/>
        <w:tabs>
          <w:tab w:val="clear" w:pos="9582"/>
        </w:tabs>
        <w:ind w:left="284" w:right="141"/>
      </w:pPr>
      <w:r>
        <w:tab/>
        <w:t>lateNonCriticalExtension</w:t>
      </w:r>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t>nonCriticalExtension</w:t>
      </w:r>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lastRenderedPageBreak/>
        <w:t>AffectedCarrierFreqList-r11 ::=</w:t>
      </w:r>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AffectedCarrierFreq-r11 ::=</w:t>
      </w:r>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t>MeasObjectId,</w:t>
      </w:r>
    </w:p>
    <w:p w14:paraId="1E96A03E" w14:textId="77777777" w:rsidR="007159BE" w:rsidRDefault="007D3121">
      <w:pPr>
        <w:pStyle w:val="PL"/>
        <w:tabs>
          <w:tab w:val="clear" w:pos="9582"/>
        </w:tabs>
        <w:ind w:left="284" w:right="141"/>
      </w:pPr>
      <w:r>
        <w:tab/>
        <w:t>interferenceDirection-r11</w:t>
      </w:r>
      <w:r>
        <w:tab/>
        <w:t>ENUMERATED {eutra,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The rapporteur’s understanding of the proposed Option 5 is not that it is an alternative to Option 1/2/2a/3/4/6, but rather a proposal to stick to the current way of indicating problematic frequencies in LTE, i.e.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In our understanding WI is focusing on indicating problems on NR frequencies. We should not affect existing signaling.</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Agree with rapporteur point of view to not change LTE, also, this is covered by the agreement “We will not consider the enhancements on E-UTRA freq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E0A9281"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bl>
    <w:p w14:paraId="49A05360" w14:textId="77777777" w:rsidR="007159BE" w:rsidRDefault="007159BE">
      <w:pPr>
        <w:rPr>
          <w:rFonts w:ascii="Arial" w:hAnsi="Arial"/>
          <w:lang w:eastAsia="zh-CN"/>
        </w:rPr>
      </w:pPr>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It is possible to indicate “frequency range” of affected part of requency.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Granularity of the solutions seems limited but definitely better than existing signaling.</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 xml:space="preserve">For Option 1, the field (i.e. </w:t>
            </w:r>
            <w:r>
              <w:rPr>
                <w:i/>
                <w:lang w:eastAsia="zh-CN"/>
              </w:rPr>
              <w:t>candidateServingFreqListNR</w:t>
            </w:r>
            <w:r>
              <w:rPr>
                <w:rFonts w:ascii="Arial" w:eastAsia="MS Mincho" w:hAnsi="Arial" w:cs="Arial"/>
                <w:bCs/>
              </w:rPr>
              <w:t xml:space="preserve">) for the IDC configuration provided by the gNB can be reused, as </w:t>
            </w:r>
            <w:r>
              <w:rPr>
                <w:i/>
                <w:lang w:eastAsia="zh-CN"/>
              </w:rPr>
              <w:t>candidateServingFreqListNR</w:t>
            </w:r>
            <w:r>
              <w:rPr>
                <w:lang w:eastAsia="zh-CN"/>
              </w:rPr>
              <w:t xml:space="preserve"> is to indicate “</w:t>
            </w:r>
            <w:r>
              <w:rPr>
                <w:rFonts w:eastAsia="Yu Mincho"/>
                <w:lang w:eastAsia="zh-CN"/>
              </w:rPr>
              <w:t>the center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ARFCN-ValueNR</w:t>
            </w:r>
            <w:r>
              <w:rPr>
                <w:rFonts w:ascii="Arial" w:eastAsia="MS Mincho" w:hAnsi="Arial" w:cs="Arial"/>
                <w:bCs/>
              </w:rPr>
              <w:t xml:space="preserve"> is expected to be used for the gNB configuration and the UE reporting signaling.</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These solutions could apply to both serving and non-serving frequency;</w:t>
            </w:r>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Much more signalling overhead if the affected frequencies are discrete; Even for a single range of frequency, it brings more overhead compared with BWP ID;</w:t>
            </w:r>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 not clear how to signal the start frequency, end frequency, and also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lastRenderedPageBreak/>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High granularity indication that allows the gNB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gNB and cause the gNB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More signaling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t xml:space="preserve">If </w:t>
            </w:r>
            <w:r w:rsidRPr="00F431DE">
              <w:rPr>
                <w:rFonts w:ascii="Arial" w:eastAsia="MS Mincho" w:hAnsi="Arial" w:cs="Arial"/>
                <w:bCs/>
                <w:i/>
                <w:iCs/>
              </w:rPr>
              <w:t>ARFCN-ValueNR</w:t>
            </w:r>
            <w:r w:rsidRPr="00F431DE">
              <w:rPr>
                <w:rFonts w:ascii="Arial" w:eastAsia="MS Mincho" w:hAnsi="Arial" w:cs="Arial"/>
                <w:bCs/>
              </w:rPr>
              <w:t xml:space="preserve"> is used to indicate the starting/center frequency and can be </w:t>
            </w:r>
            <w:r>
              <w:rPr>
                <w:rFonts w:ascii="Arial" w:eastAsia="MS Mincho" w:hAnsi="Arial" w:cs="Arial"/>
                <w:bCs/>
              </w:rPr>
              <w:t xml:space="preserve">different from those configured in gNB (as in </w:t>
            </w:r>
            <w:r w:rsidRPr="00F431DE">
              <w:rPr>
                <w:rFonts w:ascii="Arial" w:eastAsia="MS Mincho" w:hAnsi="Arial" w:cs="Arial"/>
                <w:bCs/>
                <w:i/>
                <w:iCs/>
              </w:rPr>
              <w:t>candidateServingFreqListNR</w:t>
            </w:r>
            <w:r>
              <w:rPr>
                <w:rFonts w:ascii="Arial" w:eastAsia="MS Mincho" w:hAnsi="Arial" w:cs="Arial"/>
                <w:bCs/>
              </w:rPr>
              <w:t>), then exactly same solution can be use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t xml:space="preserve">There might be larger signalling overhead if </w:t>
            </w:r>
            <w:r w:rsidRPr="00F431DE">
              <w:rPr>
                <w:rFonts w:ascii="Arial" w:eastAsia="MS Mincho" w:hAnsi="Arial" w:cs="Arial"/>
                <w:bCs/>
                <w:i/>
                <w:iCs/>
              </w:rPr>
              <w:t>ARFCN-ValueNR</w:t>
            </w:r>
            <w:r w:rsidRPr="00F431DE">
              <w:rPr>
                <w:rFonts w:ascii="Arial" w:eastAsia="MS Mincho" w:hAnsi="Arial" w:cs="Arial"/>
                <w:bCs/>
              </w:rPr>
              <w:t xml:space="preserve"> is used to indicate the starting/center frequency and can be </w:t>
            </w:r>
            <w:r>
              <w:rPr>
                <w:rFonts w:ascii="Arial" w:eastAsia="MS Mincho" w:hAnsi="Arial" w:cs="Arial"/>
                <w:bCs/>
              </w:rPr>
              <w:t xml:space="preserve">different from those configured in gNB (as in </w:t>
            </w:r>
            <w:r w:rsidRPr="00F431DE">
              <w:rPr>
                <w:rFonts w:ascii="Arial" w:eastAsia="MS Mincho" w:hAnsi="Arial" w:cs="Arial"/>
                <w:bCs/>
                <w:i/>
                <w:iCs/>
              </w:rPr>
              <w:t>candidateServingFreqListNR</w:t>
            </w:r>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ARFCN-ValueN</w:t>
            </w:r>
            <w:r>
              <w:rPr>
                <w:rFonts w:ascii="Arial" w:eastAsia="MS Mincho" w:hAnsi="Arial" w:cs="Arial"/>
                <w:bCs/>
                <w:i/>
                <w:iCs/>
              </w:rPr>
              <w:t xml:space="preserve">R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should be relatively close in terms of </w:t>
            </w:r>
            <w:r w:rsidRPr="00741D8F">
              <w:rPr>
                <w:rFonts w:ascii="Arial" w:eastAsia="MS Mincho" w:hAnsi="Arial" w:cs="Arial"/>
                <w:bCs/>
                <w:i/>
                <w:iCs/>
              </w:rPr>
              <w:t>ARFCN-ValueNR</w:t>
            </w:r>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77777777" w:rsidR="00736AF6" w:rsidRDefault="00736AF6" w:rsidP="00736AF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CC0A899" w14:textId="77777777" w:rsidR="00736AF6" w:rsidRDefault="00736AF6" w:rsidP="00736AF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3610EB72" w14:textId="77777777" w:rsidR="00736AF6" w:rsidRDefault="00736AF6" w:rsidP="00736AF6">
            <w:pPr>
              <w:spacing w:after="0"/>
              <w:rPr>
                <w:rFonts w:ascii="Arial" w:eastAsia="MS Mincho" w:hAnsi="Arial" w:cs="Arial"/>
                <w:bCs/>
              </w:rPr>
            </w:pPr>
          </w:p>
        </w:tc>
      </w:tr>
    </w:tbl>
    <w:p w14:paraId="2A9FB7A7" w14:textId="77777777" w:rsidR="007159BE" w:rsidRDefault="007159BE">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non serving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Maybe smaller signaling from UE to NW (but more signaling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BWPs why would we consider such a solution if UE could indicate actual impacted parts of frequency directly without needing NW to add some </w:t>
            </w:r>
            <w:r>
              <w:rPr>
                <w:rFonts w:ascii="Arial" w:eastAsia="MS Mincho" w:hAnsi="Arial" w:cs="Arial"/>
                <w:bCs/>
              </w:rPr>
              <w:lastRenderedPageBreak/>
              <w:t>additional information which parts of frequency it is interested in? Likely only reason would be possibly reduced signaling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If we only consider enhancement for serving frequency, it doesn’t need more signalling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Reporting BWP ID is simple with low signaling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1" w:name="_Hlk117623188"/>
            <w:r>
              <w:rPr>
                <w:rFonts w:ascii="Arial" w:eastAsia="MS Mincho" w:hAnsi="Arial" w:cs="Arial"/>
                <w:bCs/>
              </w:rPr>
              <w:t xml:space="preserve">The key problem is limited information / granularity. </w:t>
            </w:r>
            <w:bookmarkEnd w:id="1"/>
            <w:r>
              <w:rPr>
                <w:rFonts w:ascii="Arial" w:eastAsia="MS Mincho" w:hAnsi="Arial" w:cs="Arial"/>
                <w:bCs/>
              </w:rPr>
              <w:t>T</w:t>
            </w:r>
            <w:r w:rsidRPr="00741D8F">
              <w:rPr>
                <w:rFonts w:ascii="Arial" w:eastAsia="MS Mincho" w:hAnsi="Arial" w:cs="Arial"/>
                <w:bCs/>
              </w:rPr>
              <w:t xml:space="preserve">here can be a maximum of 4 BWPs configured per serving cell and 4 BWPs cannot provide much information regarding IDC interference. Since IDC interference is </w:t>
            </w:r>
            <w:r w:rsidRPr="00741D8F">
              <w:rPr>
                <w:rFonts w:ascii="Arial" w:eastAsia="MS Mincho" w:hAnsi="Arial" w:cs="Arial"/>
                <w:bCs/>
              </w:rPr>
              <w:lastRenderedPageBreak/>
              <w:t>related to various factors e.g. channel conditions in both RAT as well as UE implementation, gNB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77777777" w:rsidR="00736AF6" w:rsidRDefault="00736AF6" w:rsidP="00736AF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FB19B3F" w14:textId="77777777" w:rsidR="00736AF6" w:rsidRDefault="00736AF6" w:rsidP="00736AF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B9D9D52" w14:textId="77777777" w:rsidR="00736AF6" w:rsidRDefault="00736AF6" w:rsidP="00736AF6">
            <w:pPr>
              <w:spacing w:after="0"/>
              <w:rPr>
                <w:rFonts w:ascii="Arial" w:eastAsia="MS Mincho" w:hAnsi="Arial" w:cs="Arial"/>
                <w:bCs/>
              </w:rPr>
            </w:pPr>
          </w:p>
        </w:tc>
      </w:tr>
    </w:tbl>
    <w:p w14:paraId="100A6CAB" w14:textId="77777777" w:rsidR="007159BE" w:rsidRDefault="007159BE">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Larger signaling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Since gNB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77777777" w:rsidR="00736AF6" w:rsidRDefault="00736AF6" w:rsidP="00736AF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50E3206" w14:textId="77777777" w:rsidR="00736AF6" w:rsidRDefault="00736AF6" w:rsidP="00736AF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CA1F136" w14:textId="77777777" w:rsidR="00736AF6" w:rsidRDefault="00736AF6" w:rsidP="00736AF6">
            <w:pPr>
              <w:spacing w:after="0"/>
              <w:rPr>
                <w:rFonts w:ascii="Arial" w:eastAsia="MS Mincho" w:hAnsi="Arial" w:cs="Arial"/>
                <w:bCs/>
              </w:rPr>
            </w:pPr>
          </w:p>
        </w:tc>
      </w:tr>
    </w:tbl>
    <w:p w14:paraId="37DDB174" w14:textId="77777777" w:rsidR="007159BE" w:rsidRDefault="007159BE">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Likely bit more signaling needed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lastRenderedPageBreak/>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lastRenderedPageBreak/>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Depends on the resource allocation type. Also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5831A6">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5831A6">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5831A6">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signaling overhead, and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t xml:space="preserve">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77777777" w:rsidR="00736AF6" w:rsidRDefault="00736AF6" w:rsidP="00736AF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50AF606" w14:textId="77777777" w:rsidR="00736AF6" w:rsidRDefault="00736AF6" w:rsidP="00736AF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8D30C1" w14:textId="77777777" w:rsidR="00736AF6" w:rsidRDefault="00736AF6" w:rsidP="00736AF6">
            <w:pPr>
              <w:spacing w:after="0"/>
              <w:rPr>
                <w:rFonts w:ascii="Arial" w:eastAsia="MS Mincho" w:hAnsi="Arial" w:cs="Arial"/>
                <w:bCs/>
              </w:rPr>
            </w:pPr>
          </w:p>
        </w:tc>
      </w:tr>
    </w:tbl>
    <w:p w14:paraId="43493877" w14:textId="77777777" w:rsidR="007159BE" w:rsidRDefault="007159BE">
      <w:pPr>
        <w:rPr>
          <w:rFonts w:ascii="Arial" w:hAnsi="Arial"/>
          <w:lang w:eastAsia="zh-CN"/>
        </w:rPr>
      </w:pPr>
    </w:p>
    <w:p w14:paraId="6B080C63" w14:textId="77777777" w:rsidR="007159BE" w:rsidRDefault="007159BE">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t>3</w:t>
      </w:r>
      <w:r>
        <w:tab/>
        <w:t>Conclusion</w:t>
      </w:r>
    </w:p>
    <w:p w14:paraId="3CAE491C" w14:textId="77777777" w:rsidR="007159BE" w:rsidRDefault="007D3121">
      <w:pPr>
        <w:pStyle w:val="BodyText"/>
        <w:rPr>
          <w:b/>
          <w:bCs/>
        </w:rPr>
      </w:pPr>
      <w:r>
        <w:t>In the previous sections we made the following observations:</w:t>
      </w:r>
      <w:r>
        <w:rPr>
          <w:b/>
          <w:bCs/>
        </w:rPr>
        <w:t xml:space="preserve"> </w:t>
      </w:r>
    </w:p>
    <w:p w14:paraId="05377E0F"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Hyperlink"/>
          </w:rPr>
          <w:t>Observation 1</w:t>
        </w:r>
        <w:r>
          <w:rPr>
            <w:rFonts w:ascii="Calibri" w:hAnsi="Calibri"/>
            <w:b w:val="0"/>
            <w:sz w:val="22"/>
            <w:szCs w:val="22"/>
            <w:lang w:eastAsia="en-GB"/>
          </w:rPr>
          <w:tab/>
        </w:r>
        <w:r>
          <w:rPr>
            <w:rStyle w:val="Hyperlink"/>
          </w:rPr>
          <w:t>An Observation with automatic numbering. Assign this type by pressing Alt-O. A list of all Observations can be found in the Conclusion section.</w:t>
        </w:r>
      </w:hyperlink>
    </w:p>
    <w:p w14:paraId="3CEBB27B" w14:textId="77777777" w:rsidR="007159BE" w:rsidRDefault="007D3121">
      <w:pPr>
        <w:pStyle w:val="BodyText"/>
        <w:rPr>
          <w:b/>
          <w:bCs/>
        </w:rPr>
      </w:pPr>
      <w:r>
        <w:rPr>
          <w:b/>
          <w:bCs/>
        </w:rPr>
        <w:fldChar w:fldCharType="end"/>
      </w:r>
    </w:p>
    <w:p w14:paraId="392AF8E4" w14:textId="77777777" w:rsidR="007159BE" w:rsidRDefault="007159BE">
      <w:pPr>
        <w:pStyle w:val="BodyText"/>
        <w:rPr>
          <w:b/>
          <w:bCs/>
        </w:rPr>
      </w:pPr>
    </w:p>
    <w:p w14:paraId="409B255C" w14:textId="77777777" w:rsidR="007159BE" w:rsidRDefault="007D3121">
      <w:pPr>
        <w:pStyle w:val="BodyText"/>
      </w:pPr>
      <w:r>
        <w:t>Based on the discussion in the previous sections we propose the following:</w:t>
      </w:r>
    </w:p>
    <w:p w14:paraId="1AF50ECB"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46454974" w14:textId="77777777"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2" w:name="_In-sequence_SDU_delivery"/>
      <w:bookmarkEnd w:id="2"/>
      <w:r>
        <w:t>4.</w:t>
      </w:r>
      <w:r>
        <w:tab/>
        <w:t>References</w:t>
      </w:r>
    </w:p>
    <w:p w14:paraId="54F15F7B" w14:textId="77777777" w:rsidR="007159BE" w:rsidRDefault="00EA6C19">
      <w:pPr>
        <w:pStyle w:val="Reference"/>
      </w:pPr>
      <w:hyperlink r:id="rId17" w:history="1">
        <w:r w:rsidR="007D3121">
          <w:rPr>
            <w:rStyle w:val="Hyperlink"/>
          </w:rPr>
          <w:t>R2-2207162</w:t>
        </w:r>
      </w:hyperlink>
      <w:r w:rsidR="007D3121">
        <w:tab/>
        <w:t>Consideration on the FDM enhancement</w:t>
      </w:r>
      <w:r w:rsidR="007D3121">
        <w:tab/>
        <w:t>ZTE Corporation, Sanechips</w:t>
      </w:r>
      <w:r w:rsidR="007D3121">
        <w:tab/>
      </w:r>
    </w:p>
    <w:p w14:paraId="4AE8E23A" w14:textId="77777777" w:rsidR="007159BE" w:rsidRDefault="00EA6C19">
      <w:pPr>
        <w:pStyle w:val="Reference"/>
        <w:rPr>
          <w:lang w:val="en-US" w:eastAsia="en-GB"/>
        </w:rPr>
      </w:pPr>
      <w:hyperlink r:id="rId18"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EA6C19">
      <w:pPr>
        <w:pStyle w:val="Reference"/>
      </w:pPr>
      <w:hyperlink r:id="rId19"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EA6C19">
      <w:pPr>
        <w:pStyle w:val="Reference"/>
      </w:pPr>
      <w:hyperlink r:id="rId20" w:history="1">
        <w:r w:rsidR="007D3121">
          <w:rPr>
            <w:rStyle w:val="Hyperlink"/>
          </w:rPr>
          <w:t>R2-2207556</w:t>
        </w:r>
      </w:hyperlink>
      <w:r w:rsidR="007D3121">
        <w:tab/>
        <w:t>Assistance information for FDM</w:t>
      </w:r>
      <w:r w:rsidR="007D3121">
        <w:tab/>
        <w:t>Nokia, Nokia Shanghai Bell</w:t>
      </w:r>
    </w:p>
    <w:p w14:paraId="1A7ED2A8" w14:textId="77777777" w:rsidR="007159BE" w:rsidRDefault="00EA6C19">
      <w:pPr>
        <w:pStyle w:val="Reference"/>
      </w:pPr>
      <w:hyperlink r:id="rId21" w:history="1">
        <w:r w:rsidR="007D3121">
          <w:rPr>
            <w:rStyle w:val="Hyperlink"/>
          </w:rPr>
          <w:t>R2-2207804</w:t>
        </w:r>
      </w:hyperlink>
      <w:r w:rsidR="007D3121">
        <w:tab/>
        <w:t>Discussion on the IDC FDM solutions</w:t>
      </w:r>
      <w:r w:rsidR="007D3121">
        <w:tab/>
        <w:t>Xiaomi</w:t>
      </w:r>
    </w:p>
    <w:p w14:paraId="0E6449E8" w14:textId="77777777" w:rsidR="007159BE" w:rsidRDefault="00EA6C19">
      <w:pPr>
        <w:pStyle w:val="Reference"/>
      </w:pPr>
      <w:hyperlink r:id="rId22"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EA6C19">
      <w:pPr>
        <w:pStyle w:val="Reference"/>
      </w:pPr>
      <w:hyperlink r:id="rId23"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EA6C19">
      <w:pPr>
        <w:pStyle w:val="Reference"/>
      </w:pPr>
      <w:hyperlink r:id="rId24"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EA6C19">
      <w:pPr>
        <w:pStyle w:val="Reference"/>
      </w:pPr>
      <w:hyperlink r:id="rId25"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EA6C19">
      <w:pPr>
        <w:pStyle w:val="Reference"/>
      </w:pPr>
      <w:hyperlink r:id="rId26" w:history="1">
        <w:r w:rsidR="007D3121">
          <w:rPr>
            <w:rStyle w:val="Hyperlink"/>
          </w:rPr>
          <w:t>R2-2208135</w:t>
        </w:r>
      </w:hyperlink>
      <w:r w:rsidR="007D3121">
        <w:tab/>
        <w:t>FDM solution for IDC</w:t>
      </w:r>
      <w:r w:rsidR="007D3121">
        <w:tab/>
        <w:t>Ericsson</w:t>
      </w:r>
    </w:p>
    <w:p w14:paraId="67583759" w14:textId="77777777" w:rsidR="007159BE" w:rsidRDefault="00EA6C19">
      <w:pPr>
        <w:pStyle w:val="Reference"/>
        <w:rPr>
          <w:rFonts w:eastAsia="MS Mincho"/>
          <w:szCs w:val="24"/>
          <w:lang w:eastAsia="en-GB"/>
        </w:rPr>
      </w:pPr>
      <w:hyperlink r:id="rId27"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Huawei, HiSilicon</w:t>
      </w:r>
      <w:r w:rsidR="007D3121">
        <w:rPr>
          <w:rFonts w:eastAsia="MS Mincho"/>
          <w:szCs w:val="24"/>
          <w:lang w:eastAsia="en-GB"/>
        </w:rPr>
        <w:tab/>
      </w:r>
    </w:p>
    <w:p w14:paraId="3E5045B3" w14:textId="77777777" w:rsidR="007159BE" w:rsidRDefault="00EA6C19">
      <w:pPr>
        <w:pStyle w:val="Reference"/>
        <w:rPr>
          <w:rFonts w:eastAsia="MS Mincho"/>
          <w:szCs w:val="24"/>
          <w:lang w:eastAsia="en-GB"/>
        </w:rPr>
      </w:pPr>
      <w:hyperlink r:id="rId28"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EA6C19">
      <w:pPr>
        <w:pStyle w:val="Reference"/>
        <w:rPr>
          <w:rFonts w:eastAsia="MS Mincho"/>
          <w:szCs w:val="24"/>
          <w:lang w:eastAsia="en-GB"/>
        </w:rPr>
      </w:pPr>
      <w:hyperlink r:id="rId29"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EA6C19">
      <w:pPr>
        <w:pStyle w:val="Reference"/>
        <w:rPr>
          <w:rFonts w:eastAsia="MS Mincho"/>
          <w:szCs w:val="24"/>
          <w:lang w:val="en-US" w:eastAsia="en-GB"/>
        </w:rPr>
      </w:pPr>
      <w:hyperlink r:id="rId30" w:history="1">
        <w:r w:rsidR="007D3121">
          <w:rPr>
            <w:rStyle w:val="Hyperlink"/>
          </w:rPr>
          <w:t>R2-2207161</w:t>
        </w:r>
      </w:hyperlink>
      <w:r w:rsidR="007D3121">
        <w:tab/>
        <w:t>Clarification on the IDC scope</w:t>
      </w:r>
      <w:r w:rsidR="007D3121">
        <w:tab/>
        <w:t>ZTE Corporation, Sanechips</w:t>
      </w:r>
    </w:p>
    <w:bookmarkStart w:id="3"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[AT119-e][651][IDC] FDM solution enhancements (Huawei)</w:t>
      </w:r>
      <w:r>
        <w:rPr>
          <w:rFonts w:eastAsia="MS Mincho"/>
          <w:szCs w:val="24"/>
          <w:lang w:eastAsia="en-GB"/>
        </w:rPr>
        <w:tab/>
        <w:t>Huawei, HiSilicon</w:t>
      </w:r>
      <w:bookmarkEnd w:id="3"/>
    </w:p>
    <w:p w14:paraId="7B94407D" w14:textId="77777777" w:rsidR="007159BE" w:rsidRDefault="007159BE">
      <w:pPr>
        <w:pStyle w:val="BodyText"/>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6AD" w14:textId="77777777" w:rsidR="00EA6C19" w:rsidRDefault="00EA6C19">
      <w:pPr>
        <w:spacing w:after="0"/>
      </w:pPr>
      <w:r>
        <w:separator/>
      </w:r>
    </w:p>
  </w:endnote>
  <w:endnote w:type="continuationSeparator" w:id="0">
    <w:p w14:paraId="69CBAF07" w14:textId="77777777" w:rsidR="00EA6C19" w:rsidRDefault="00EA6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FF2" w14:textId="7AEF0DD2" w:rsidR="007159BE" w:rsidRDefault="007D31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1751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7510">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4348" w14:textId="77777777" w:rsidR="00EA6C19" w:rsidRDefault="00EA6C19">
      <w:pPr>
        <w:spacing w:after="0"/>
      </w:pPr>
      <w:r>
        <w:separator/>
      </w:r>
    </w:p>
  </w:footnote>
  <w:footnote w:type="continuationSeparator" w:id="0">
    <w:p w14:paraId="0ADEFB6B" w14:textId="77777777" w:rsidR="00EA6C19" w:rsidRDefault="00EA6C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A9D" w14:textId="77777777" w:rsidR="007159BE" w:rsidRDefault="007D31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5975DF"/>
    <w:multiLevelType w:val="singleLevel"/>
    <w:tmpl w:val="245975DF"/>
    <w:lvl w:ilvl="0">
      <w:start w:val="1"/>
      <w:numFmt w:val="decimal"/>
      <w:suff w:val="space"/>
      <w:lvlText w:val="(%1)"/>
      <w:lvlJc w:val="left"/>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4F8EBAC"/>
    <w:multiLevelType w:val="singleLevel"/>
    <w:tmpl w:val="34F8EBAC"/>
    <w:lvl w:ilvl="0">
      <w:start w:val="1"/>
      <w:numFmt w:val="decimal"/>
      <w:suff w:val="space"/>
      <w:lvlText w:val="(%1)"/>
      <w:lvlJc w:val="left"/>
    </w:lvl>
  </w:abstractNum>
  <w:abstractNum w:abstractNumId="8"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
  </w:num>
  <w:num w:numId="4">
    <w:abstractNumId w:val="5"/>
  </w:num>
  <w:num w:numId="5">
    <w:abstractNumId w:val="3"/>
  </w:num>
  <w:num w:numId="6">
    <w:abstractNumId w:val="13"/>
  </w:num>
  <w:num w:numId="7">
    <w:abstractNumId w:val="0"/>
  </w:num>
  <w:num w:numId="8">
    <w:abstractNumId w:val="15"/>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5A5D"/>
    <w:rsid w:val="001C1CE5"/>
    <w:rsid w:val="001C3D2A"/>
    <w:rsid w:val="001C62E3"/>
    <w:rsid w:val="001D51BA"/>
    <w:rsid w:val="001D53E7"/>
    <w:rsid w:val="001D6342"/>
    <w:rsid w:val="001D6D53"/>
    <w:rsid w:val="001E27DB"/>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380C"/>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7277A"/>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20C"/>
    <w:rsid w:val="00707D61"/>
    <w:rsid w:val="00712287"/>
    <w:rsid w:val="00712772"/>
    <w:rsid w:val="007148D3"/>
    <w:rsid w:val="00714E6B"/>
    <w:rsid w:val="007159BE"/>
    <w:rsid w:val="00715B9A"/>
    <w:rsid w:val="00717510"/>
    <w:rsid w:val="007257D0"/>
    <w:rsid w:val="00726EA6"/>
    <w:rsid w:val="00727208"/>
    <w:rsid w:val="00727680"/>
    <w:rsid w:val="0073146E"/>
    <w:rsid w:val="007345EF"/>
    <w:rsid w:val="007348B1"/>
    <w:rsid w:val="0073493F"/>
    <w:rsid w:val="007362A6"/>
    <w:rsid w:val="00736AF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77FD"/>
    <w:rsid w:val="008706D4"/>
    <w:rsid w:val="00870F8A"/>
    <w:rsid w:val="008719A4"/>
    <w:rsid w:val="00871D23"/>
    <w:rsid w:val="00874312"/>
    <w:rsid w:val="0087437C"/>
    <w:rsid w:val="00875CD7"/>
    <w:rsid w:val="00876B4D"/>
    <w:rsid w:val="00877F18"/>
    <w:rsid w:val="00880AE3"/>
    <w:rsid w:val="008836A3"/>
    <w:rsid w:val="0088447A"/>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8F6C80"/>
    <w:rsid w:val="00902350"/>
    <w:rsid w:val="0090336B"/>
    <w:rsid w:val="009053AA"/>
    <w:rsid w:val="00906939"/>
    <w:rsid w:val="00906D30"/>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CBA"/>
    <w:rsid w:val="009B1F30"/>
    <w:rsid w:val="009B3AC2"/>
    <w:rsid w:val="009B4DF4"/>
    <w:rsid w:val="009B564E"/>
    <w:rsid w:val="009B7E87"/>
    <w:rsid w:val="009C0169"/>
    <w:rsid w:val="009C403E"/>
    <w:rsid w:val="009D3A6F"/>
    <w:rsid w:val="009D4FF0"/>
    <w:rsid w:val="009D703C"/>
    <w:rsid w:val="009D718F"/>
    <w:rsid w:val="009E068F"/>
    <w:rsid w:val="009E14E0"/>
    <w:rsid w:val="009E35DB"/>
    <w:rsid w:val="009E47A3"/>
    <w:rsid w:val="009E6758"/>
    <w:rsid w:val="009F08F3"/>
    <w:rsid w:val="009F344F"/>
    <w:rsid w:val="009F40EA"/>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72AA"/>
    <w:rsid w:val="00B40445"/>
    <w:rsid w:val="00B409E0"/>
    <w:rsid w:val="00B41888"/>
    <w:rsid w:val="00B45A52"/>
    <w:rsid w:val="00B46175"/>
    <w:rsid w:val="00B52E72"/>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2081"/>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6C19"/>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901D"/>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98F3AE1-07DC-4A46-B54F-DBCC6D763F77}">
  <ds:schemaRefs>
    <ds:schemaRef ds:uri="http://schemas.openxmlformats.org/officeDocument/2006/bibliography"/>
  </ds:schemaRefs>
</ds:datastoreItem>
</file>

<file path=customXml/itemProps3.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63</TotalTime>
  <Pages>12</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Zhang, Yujian</cp:lastModifiedBy>
  <cp:revision>22</cp:revision>
  <cp:lastPrinted>2008-01-31T07:09:00Z</cp:lastPrinted>
  <dcterms:created xsi:type="dcterms:W3CDTF">2022-10-26T16:50:00Z</dcterms:created>
  <dcterms:modified xsi:type="dcterms:W3CDTF">2022-10-28T15:14:00Z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