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ＭＳ 明朝" w:hAnsi="Arial" w:cs="Arial"/>
          <w:b/>
          <w:bCs/>
          <w:sz w:val="24"/>
          <w:lang w:eastAsia="ja-JP"/>
        </w:rPr>
      </w:pPr>
    </w:p>
    <w:p w14:paraId="435F2558" w14:textId="52A55879"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proofErr w:type="gramStart"/>
      <w:r>
        <w:rPr>
          <w:lang w:val="fr-FR"/>
        </w:rPr>
        <w:t>903][</w:t>
      </w:r>
      <w:proofErr w:type="gramEnd"/>
      <w:r>
        <w:rPr>
          <w:lang w:val="fr-FR"/>
        </w:rPr>
        <w:t xml:space="preserve">NR17] NR UE </w:t>
      </w:r>
      <w:proofErr w:type="spellStart"/>
      <w:r>
        <w:rPr>
          <w:lang w:val="fr-FR"/>
        </w:rPr>
        <w:t>capabilties</w:t>
      </w:r>
      <w:proofErr w:type="spellEnd"/>
      <w:r>
        <w:rPr>
          <w:lang w:val="fr-FR"/>
        </w:rPr>
        <w:t xml:space="preserve"> (Intel)</w:t>
      </w:r>
    </w:p>
    <w:p w14:paraId="718F7A46" w14:textId="77777777" w:rsidR="005608C7" w:rsidRDefault="005608C7" w:rsidP="005608C7">
      <w:pPr>
        <w:pStyle w:val="EmailDiscussion2"/>
        <w:rPr>
          <w:lang w:val="fr-FR"/>
        </w:rPr>
      </w:pPr>
      <w:r>
        <w:rPr>
          <w:lang w:val="fr-FR"/>
        </w:rPr>
        <w:t xml:space="preserve">      </w:t>
      </w:r>
      <w:proofErr w:type="gramStart"/>
      <w:r>
        <w:rPr>
          <w:lang w:val="fr-FR"/>
        </w:rPr>
        <w:t>Scope:</w:t>
      </w:r>
      <w:proofErr w:type="gramEnd"/>
      <w:r>
        <w:rPr>
          <w:lang w:val="fr-FR"/>
        </w:rPr>
        <w:t xml:space="preserv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2852D3C1" w14:textId="77777777" w:rsidR="005608C7" w:rsidRDefault="005608C7" w:rsidP="005608C7">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0C926490" w14:textId="77777777" w:rsidR="005608C7" w:rsidRDefault="005608C7" w:rsidP="005608C7">
      <w:pPr>
        <w:pStyle w:val="EmailDiscussion2"/>
        <w:rPr>
          <w:lang w:val="fr-FR"/>
        </w:rPr>
      </w:pPr>
      <w:r>
        <w:rPr>
          <w:lang w:val="fr-FR"/>
        </w:rPr>
        <w:t xml:space="preserve">      Deadlines : LS out can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6988593C" w14:textId="026327E7" w:rsidR="003F6588" w:rsidRDefault="00493CEA" w:rsidP="00583CC0">
      <w:pPr>
        <w:pStyle w:val="Heading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8"/>
        <w:gridCol w:w="1127"/>
        <w:gridCol w:w="1230"/>
        <w:gridCol w:w="3637"/>
        <w:gridCol w:w="2687"/>
      </w:tblGrid>
      <w:tr w:rsidR="00D0310E" w14:paraId="52C950C1" w14:textId="77777777" w:rsidTr="000E1D54">
        <w:trPr>
          <w:trHeight w:val="770"/>
        </w:trPr>
        <w:tc>
          <w:tcPr>
            <w:tcW w:w="1238"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27"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30" w:type="dxa"/>
          </w:tcPr>
          <w:p w14:paraId="1FD8350F" w14:textId="722FB69F" w:rsidR="00D0310E" w:rsidRDefault="00D0310E" w:rsidP="00F80488">
            <w:pPr>
              <w:jc w:val="center"/>
              <w:rPr>
                <w:lang w:val="en-US"/>
              </w:rPr>
            </w:pPr>
            <w:r>
              <w:rPr>
                <w:lang w:val="en-US"/>
              </w:rPr>
              <w:t>RIL number</w:t>
            </w:r>
          </w:p>
        </w:tc>
        <w:tc>
          <w:tcPr>
            <w:tcW w:w="3637"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687"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0E1D54">
        <w:trPr>
          <w:trHeight w:val="729"/>
        </w:trPr>
        <w:tc>
          <w:tcPr>
            <w:tcW w:w="1238" w:type="dxa"/>
            <w:tcMar>
              <w:top w:w="0" w:type="dxa"/>
              <w:left w:w="108" w:type="dxa"/>
              <w:bottom w:w="0" w:type="dxa"/>
              <w:right w:w="108" w:type="dxa"/>
            </w:tcMar>
          </w:tcPr>
          <w:p w14:paraId="7E5C908F" w14:textId="75D06BCB" w:rsidR="00D0310E" w:rsidRDefault="001E071C">
            <w:pPr>
              <w:rPr>
                <w:lang w:val="en-US"/>
              </w:rPr>
            </w:pPr>
            <w:r>
              <w:rPr>
                <w:lang w:val="en-US"/>
              </w:rPr>
              <w:t xml:space="preserve">Huawei, </w:t>
            </w:r>
            <w:proofErr w:type="spellStart"/>
            <w:r>
              <w:rPr>
                <w:lang w:val="en-US"/>
              </w:rPr>
              <w:t>HiSilicon</w:t>
            </w:r>
            <w:proofErr w:type="spellEnd"/>
          </w:p>
        </w:tc>
        <w:tc>
          <w:tcPr>
            <w:tcW w:w="1127" w:type="dxa"/>
          </w:tcPr>
          <w:p w14:paraId="02D60C2E" w14:textId="42E033F7"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3F64AB49" w14:textId="115A41E9"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637"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DengXian" w:hAnsi="Times New Roman" w:hint="eastAsia"/>
                <w:szCs w:val="20"/>
                <w:lang w:eastAsia="zh-CN"/>
              </w:rPr>
              <w:t>T</w:t>
            </w:r>
            <w:r w:rsidRPr="001E071C">
              <w:rPr>
                <w:rFonts w:ascii="Times New Roman" w:eastAsia="DengXian" w:hAnsi="Times New Roman"/>
                <w:szCs w:val="20"/>
                <w:lang w:eastAsia="zh-CN"/>
              </w:rPr>
              <w:t xml:space="preserve">here is no capability signalling to “indicate” support </w:t>
            </w:r>
            <w:r>
              <w:rPr>
                <w:rFonts w:ascii="Times New Roman" w:eastAsia="DengXian" w:hAnsi="Times New Roman"/>
                <w:szCs w:val="20"/>
                <w:lang w:eastAsia="zh-CN"/>
              </w:rPr>
              <w:t xml:space="preserve">on the </w:t>
            </w:r>
            <w:proofErr w:type="spellStart"/>
            <w:r>
              <w:rPr>
                <w:rFonts w:ascii="Times New Roman" w:eastAsia="DengXian" w:hAnsi="Times New Roman"/>
                <w:szCs w:val="20"/>
                <w:lang w:eastAsia="zh-CN"/>
              </w:rPr>
              <w:t>nonCodebook</w:t>
            </w:r>
            <w:proofErr w:type="spellEnd"/>
            <w:r w:rsidRPr="001E071C">
              <w:rPr>
                <w:rFonts w:ascii="Times New Roman" w:eastAsia="DengXian" w:hAnsi="Times New Roman"/>
                <w:szCs w:val="20"/>
                <w:lang w:eastAsia="zh-CN"/>
              </w:rPr>
              <w:t xml:space="preserve"> usage of SRS resource sets. We suggest to change to “</w:t>
            </w:r>
            <w:r w:rsidRPr="001E071C">
              <w:rPr>
                <w:rFonts w:ascii="Times New Roman" w:eastAsia="游明朝" w:hAnsi="Times New Roman"/>
                <w:bCs/>
                <w:iCs/>
                <w:szCs w:val="20"/>
              </w:rPr>
              <w:t xml:space="preserve">The UE indicating this feature shall also </w:t>
            </w:r>
            <w:r w:rsidRPr="001E071C">
              <w:rPr>
                <w:rFonts w:ascii="Times New Roman" w:eastAsia="游明朝" w:hAnsi="Times New Roman"/>
                <w:bCs/>
                <w:iCs/>
                <w:strike/>
                <w:color w:val="FF0000"/>
                <w:szCs w:val="20"/>
              </w:rPr>
              <w:t xml:space="preserve">indicate </w:t>
            </w:r>
            <w:r w:rsidRPr="001E071C">
              <w:rPr>
                <w:rFonts w:ascii="Times New Roman" w:eastAsia="游明朝" w:hAnsi="Times New Roman"/>
                <w:bCs/>
                <w:iCs/>
                <w:szCs w:val="20"/>
              </w:rPr>
              <w:t xml:space="preserve">support </w:t>
            </w:r>
            <w:r w:rsidRPr="001E071C">
              <w:rPr>
                <w:rFonts w:ascii="Times New Roman" w:eastAsia="游明朝" w:hAnsi="Times New Roman"/>
                <w:bCs/>
                <w:iCs/>
                <w:strike/>
                <w:color w:val="FF0000"/>
                <w:szCs w:val="20"/>
              </w:rPr>
              <w:t>of</w:t>
            </w:r>
            <w:r w:rsidRPr="001E071C">
              <w:rPr>
                <w:rFonts w:ascii="Times New Roman" w:eastAsia="游明朝" w:hAnsi="Times New Roman"/>
                <w:bCs/>
                <w:iCs/>
                <w:strike/>
                <w:szCs w:val="20"/>
              </w:rPr>
              <w:t xml:space="preserve"> </w:t>
            </w:r>
            <w:r w:rsidRPr="001E071C">
              <w:rPr>
                <w:rFonts w:ascii="Times New Roman" w:eastAsia="游明朝" w:hAnsi="Times New Roman"/>
                <w:bCs/>
                <w:iCs/>
                <w:szCs w:val="20"/>
              </w:rPr>
              <w:t>two SRS resource sets with usage set to '</w:t>
            </w:r>
            <w:proofErr w:type="spellStart"/>
            <w:r w:rsidRPr="001E071C">
              <w:rPr>
                <w:rFonts w:ascii="Times New Roman" w:eastAsia="游明朝" w:hAnsi="Times New Roman"/>
                <w:bCs/>
                <w:iCs/>
                <w:szCs w:val="20"/>
              </w:rPr>
              <w:t>nonCodebook</w:t>
            </w:r>
            <w:proofErr w:type="spellEnd"/>
            <w:proofErr w:type="gramStart"/>
            <w:r w:rsidRPr="001E071C">
              <w:rPr>
                <w:rFonts w:ascii="Times New Roman" w:eastAsia="游明朝" w:hAnsi="Times New Roman"/>
                <w:bCs/>
                <w:iCs/>
                <w:szCs w:val="20"/>
              </w:rPr>
              <w:t>’ ,</w:t>
            </w:r>
            <w:proofErr w:type="gramEnd"/>
            <w:r w:rsidRPr="001E071C">
              <w:rPr>
                <w:rFonts w:ascii="Times New Roman" w:eastAsia="游明朝" w:hAnsi="Times New Roman"/>
                <w:bCs/>
                <w:iCs/>
                <w:szCs w:val="20"/>
              </w:rPr>
              <w:t xml:space="preserve"> which is aligned with the description for </w:t>
            </w:r>
            <w:r w:rsidRPr="001E071C">
              <w:rPr>
                <w:rFonts w:ascii="Times New Roman" w:eastAsia="游明朝" w:hAnsi="Times New Roman"/>
                <w:bCs/>
                <w:i/>
                <w:iCs/>
                <w:szCs w:val="20"/>
              </w:rPr>
              <w:t>mTRP-PUSCH-RepetitionTypeB-r17</w:t>
            </w:r>
            <w:r w:rsidRPr="001E071C">
              <w:rPr>
                <w:rFonts w:ascii="Times New Roman" w:eastAsia="游明朝" w:hAnsi="Times New Roman"/>
                <w:bCs/>
                <w:iCs/>
                <w:szCs w:val="20"/>
              </w:rPr>
              <w:t>.</w:t>
            </w:r>
          </w:p>
        </w:tc>
        <w:tc>
          <w:tcPr>
            <w:tcW w:w="2687" w:type="dxa"/>
            <w:tcMar>
              <w:top w:w="0" w:type="dxa"/>
              <w:left w:w="108" w:type="dxa"/>
              <w:bottom w:w="0" w:type="dxa"/>
              <w:right w:w="108" w:type="dxa"/>
            </w:tcMar>
          </w:tcPr>
          <w:p w14:paraId="330EA3E0" w14:textId="7DAA5711" w:rsidR="00D0310E" w:rsidRDefault="00B14A63">
            <w:pPr>
              <w:rPr>
                <w:lang w:val="en-US"/>
              </w:rPr>
            </w:pPr>
            <w:r>
              <w:rPr>
                <w:lang w:val="en-US"/>
              </w:rPr>
              <w:t>Change as proposed</w:t>
            </w:r>
          </w:p>
        </w:tc>
      </w:tr>
      <w:tr w:rsidR="00D0310E" w14:paraId="17D9A9FF" w14:textId="77777777" w:rsidTr="000E1D54">
        <w:trPr>
          <w:trHeight w:val="770"/>
        </w:trPr>
        <w:tc>
          <w:tcPr>
            <w:tcW w:w="1238" w:type="dxa"/>
            <w:tcMar>
              <w:top w:w="0" w:type="dxa"/>
              <w:left w:w="108" w:type="dxa"/>
              <w:bottom w:w="0" w:type="dxa"/>
              <w:right w:w="108" w:type="dxa"/>
            </w:tcMar>
          </w:tcPr>
          <w:p w14:paraId="5CB2FE0F" w14:textId="6D94214C" w:rsidR="00D0310E" w:rsidRDefault="001E071C">
            <w:pPr>
              <w:rPr>
                <w:lang w:val="en-US"/>
              </w:rPr>
            </w:pPr>
            <w:r>
              <w:rPr>
                <w:lang w:val="en-US"/>
              </w:rPr>
              <w:t xml:space="preserve">Huawei, </w:t>
            </w:r>
            <w:proofErr w:type="spellStart"/>
            <w:r>
              <w:rPr>
                <w:lang w:val="en-US"/>
              </w:rPr>
              <w:t>HiSilicon</w:t>
            </w:r>
            <w:proofErr w:type="spellEnd"/>
          </w:p>
        </w:tc>
        <w:tc>
          <w:tcPr>
            <w:tcW w:w="1127" w:type="dxa"/>
          </w:tcPr>
          <w:p w14:paraId="7D0C2302" w14:textId="72918ACD" w:rsidR="00D0310E" w:rsidRPr="001E071C" w:rsidRDefault="001E071C" w:rsidP="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588C154F" w14:textId="586A8CC5"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637"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DengXian" w:hAnsi="Times New Roman"/>
                <w:szCs w:val="20"/>
                <w:lang w:eastAsia="zh-CN"/>
              </w:rPr>
            </w:pPr>
            <w:r w:rsidRPr="001E071C">
              <w:rPr>
                <w:rFonts w:ascii="Times New Roman" w:eastAsia="DengXian"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DengXian" w:hAnsi="Times New Roman"/>
                <w:szCs w:val="20"/>
                <w:lang w:eastAsia="zh-CN"/>
              </w:rPr>
              <w:t>Thus, we propose to postpone the LS until the conclusion was made in Redcap WI in the next meeting.</w:t>
            </w:r>
          </w:p>
        </w:tc>
        <w:tc>
          <w:tcPr>
            <w:tcW w:w="2687" w:type="dxa"/>
            <w:tcMar>
              <w:top w:w="0" w:type="dxa"/>
              <w:left w:w="108" w:type="dxa"/>
              <w:bottom w:w="0" w:type="dxa"/>
              <w:right w:w="108" w:type="dxa"/>
            </w:tcMar>
          </w:tcPr>
          <w:p w14:paraId="4F7198F0" w14:textId="77777777" w:rsidR="00D0310E" w:rsidRDefault="00B14A63">
            <w:pPr>
              <w:rPr>
                <w:lang w:val="en-US"/>
              </w:rPr>
            </w:pPr>
            <w:r>
              <w:rPr>
                <w:lang w:val="en-US"/>
              </w:rPr>
              <w:t>OK to postpone the update till the WI specific session discussion,</w:t>
            </w:r>
          </w:p>
          <w:p w14:paraId="619113B2" w14:textId="77777777" w:rsidR="009B0686" w:rsidRDefault="009B0686">
            <w:pPr>
              <w:rPr>
                <w:lang w:val="en-US"/>
              </w:rPr>
            </w:pPr>
          </w:p>
          <w:p w14:paraId="5103BF95" w14:textId="3020BBA9" w:rsidR="009B0686" w:rsidRDefault="009B0686">
            <w:pPr>
              <w:rPr>
                <w:lang w:val="en-US"/>
              </w:rPr>
            </w:pPr>
            <w:r>
              <w:rPr>
                <w:lang w:val="en-US"/>
              </w:rPr>
              <w:t xml:space="preserve">Change the status to </w:t>
            </w:r>
            <w:proofErr w:type="spellStart"/>
            <w:r>
              <w:rPr>
                <w:lang w:val="en-US"/>
              </w:rPr>
              <w:t>PropPostpone</w:t>
            </w:r>
            <w:r w:rsidR="00463B82">
              <w:rPr>
                <w:lang w:val="en-US"/>
              </w:rPr>
              <w:t>d</w:t>
            </w:r>
            <w:proofErr w:type="spellEnd"/>
          </w:p>
        </w:tc>
      </w:tr>
      <w:tr w:rsidR="00D0310E" w14:paraId="1870BC57" w14:textId="77777777" w:rsidTr="000E1D54">
        <w:trPr>
          <w:trHeight w:val="729"/>
        </w:trPr>
        <w:tc>
          <w:tcPr>
            <w:tcW w:w="1238" w:type="dxa"/>
            <w:tcMar>
              <w:top w:w="0" w:type="dxa"/>
              <w:left w:w="108" w:type="dxa"/>
              <w:bottom w:w="0" w:type="dxa"/>
              <w:right w:w="108" w:type="dxa"/>
            </w:tcMar>
          </w:tcPr>
          <w:p w14:paraId="145B6093" w14:textId="24AE1C6F" w:rsidR="00D0310E" w:rsidRPr="00463FCB" w:rsidRDefault="00463FCB">
            <w:pPr>
              <w:rPr>
                <w:rFonts w:eastAsia="ＭＳ 明朝"/>
                <w:lang w:val="en-US" w:eastAsia="ja-JP"/>
              </w:rPr>
            </w:pPr>
            <w:r>
              <w:rPr>
                <w:rFonts w:eastAsia="ＭＳ 明朝" w:hint="eastAsia"/>
                <w:lang w:val="en-US" w:eastAsia="ja-JP"/>
              </w:rPr>
              <w:t>Q</w:t>
            </w:r>
            <w:r>
              <w:rPr>
                <w:rFonts w:eastAsia="ＭＳ 明朝"/>
                <w:lang w:val="en-US" w:eastAsia="ja-JP"/>
              </w:rPr>
              <w:t>ualcomm Incorporated</w:t>
            </w:r>
          </w:p>
        </w:tc>
        <w:tc>
          <w:tcPr>
            <w:tcW w:w="1127" w:type="dxa"/>
          </w:tcPr>
          <w:p w14:paraId="212B9569" w14:textId="69EC805B" w:rsidR="00D0310E" w:rsidRPr="00463FCB" w:rsidRDefault="00463FCB">
            <w:pPr>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S38.</w:t>
            </w:r>
            <w:r w:rsidR="00F8437A">
              <w:rPr>
                <w:rFonts w:eastAsia="ＭＳ 明朝"/>
                <w:sz w:val="22"/>
                <w:szCs w:val="22"/>
                <w:lang w:val="en-US" w:eastAsia="ja-JP"/>
              </w:rPr>
              <w:t>306</w:t>
            </w:r>
          </w:p>
        </w:tc>
        <w:tc>
          <w:tcPr>
            <w:tcW w:w="1230" w:type="dxa"/>
          </w:tcPr>
          <w:p w14:paraId="48300EFF" w14:textId="77777777" w:rsidR="00D0310E" w:rsidRDefault="00463FCB">
            <w:pPr>
              <w:rPr>
                <w:rFonts w:eastAsia="ＭＳ 明朝"/>
                <w:sz w:val="22"/>
                <w:szCs w:val="22"/>
                <w:lang w:val="en-US" w:eastAsia="ja-JP"/>
              </w:rPr>
            </w:pPr>
            <w:r>
              <w:rPr>
                <w:rFonts w:eastAsia="ＭＳ 明朝" w:hint="eastAsia"/>
                <w:sz w:val="22"/>
                <w:szCs w:val="22"/>
                <w:lang w:val="en-US" w:eastAsia="ja-JP"/>
              </w:rPr>
              <w:t>H</w:t>
            </w:r>
            <w:r w:rsidR="004A7256">
              <w:rPr>
                <w:rFonts w:eastAsia="ＭＳ 明朝"/>
                <w:sz w:val="22"/>
                <w:szCs w:val="22"/>
                <w:lang w:val="en-US" w:eastAsia="ja-JP"/>
              </w:rPr>
              <w:t>0029</w:t>
            </w:r>
          </w:p>
          <w:p w14:paraId="178F75F4" w14:textId="70918145" w:rsidR="004A7256" w:rsidRPr="00463FCB" w:rsidRDefault="004A7256">
            <w:pPr>
              <w:rPr>
                <w:rFonts w:eastAsia="ＭＳ 明朝"/>
                <w:sz w:val="22"/>
                <w:szCs w:val="22"/>
                <w:lang w:val="en-US" w:eastAsia="ja-JP"/>
              </w:rPr>
            </w:pPr>
            <w:r>
              <w:rPr>
                <w:rFonts w:eastAsia="ＭＳ 明朝" w:hint="eastAsia"/>
                <w:sz w:val="22"/>
                <w:szCs w:val="22"/>
                <w:lang w:val="en-US" w:eastAsia="ja-JP"/>
              </w:rPr>
              <w:t>H</w:t>
            </w:r>
            <w:r>
              <w:rPr>
                <w:rFonts w:eastAsia="ＭＳ 明朝"/>
                <w:sz w:val="22"/>
                <w:szCs w:val="22"/>
                <w:lang w:val="en-US" w:eastAsia="ja-JP"/>
              </w:rPr>
              <w:t>0035</w:t>
            </w:r>
          </w:p>
        </w:tc>
        <w:tc>
          <w:tcPr>
            <w:tcW w:w="3637" w:type="dxa"/>
            <w:tcMar>
              <w:top w:w="0" w:type="dxa"/>
              <w:left w:w="108" w:type="dxa"/>
              <w:bottom w:w="0" w:type="dxa"/>
              <w:right w:w="108" w:type="dxa"/>
            </w:tcMar>
          </w:tcPr>
          <w:p w14:paraId="14412FE2" w14:textId="77777777" w:rsidR="00D0310E" w:rsidRPr="00D67A82" w:rsidRDefault="006D2D37">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e notice that 32-4a</w:t>
            </w:r>
            <w:r w:rsidR="00E232A8" w:rsidRPr="00D67A82">
              <w:rPr>
                <w:rFonts w:eastAsia="ＭＳ 明朝"/>
                <w:szCs w:val="20"/>
                <w:lang w:val="en-US" w:eastAsia="ja-JP"/>
              </w:rPr>
              <w:t xml:space="preserve"> </w:t>
            </w:r>
            <w:r w:rsidR="0000556A" w:rsidRPr="00D67A82">
              <w:rPr>
                <w:rFonts w:eastAsia="ＭＳ 明朝"/>
                <w:szCs w:val="20"/>
                <w:lang w:val="en-US" w:eastAsia="ja-JP"/>
              </w:rPr>
              <w:t>is requested to be “per band” capability and 32-4 to be “per FS” capability.</w:t>
            </w:r>
          </w:p>
          <w:p w14:paraId="1841ECAE" w14:textId="30B1EB08" w:rsidR="0000556A" w:rsidRPr="00D67A82" w:rsidRDefault="0000556A">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 xml:space="preserve">e are fine with the resolution </w:t>
            </w:r>
            <w:r w:rsidR="00AE7BBE" w:rsidRPr="00D67A82">
              <w:rPr>
                <w:rFonts w:eastAsia="ＭＳ 明朝"/>
                <w:szCs w:val="20"/>
                <w:lang w:val="en-US" w:eastAsia="ja-JP"/>
              </w:rPr>
              <w:t>for</w:t>
            </w:r>
            <w:r w:rsidRPr="00D67A82">
              <w:rPr>
                <w:rFonts w:eastAsia="ＭＳ 明朝"/>
                <w:szCs w:val="20"/>
                <w:lang w:val="en-US" w:eastAsia="ja-JP"/>
              </w:rPr>
              <w:t xml:space="preserve"> </w:t>
            </w:r>
            <w:r w:rsidR="00AE7BBE" w:rsidRPr="00D67A82">
              <w:rPr>
                <w:rFonts w:eastAsia="ＭＳ 明朝"/>
                <w:szCs w:val="20"/>
                <w:lang w:val="en-US" w:eastAsia="ja-JP"/>
              </w:rPr>
              <w:t xml:space="preserve">H0029 on 32-4a. But for H0035 on 32-4, </w:t>
            </w:r>
            <w:r w:rsidR="009C1D90" w:rsidRPr="00D67A82">
              <w:rPr>
                <w:rFonts w:eastAsia="ＭＳ 明朝"/>
                <w:szCs w:val="20"/>
                <w:lang w:val="en-US" w:eastAsia="ja-JP"/>
              </w:rPr>
              <w:t xml:space="preserve">“Per FS” means some baseband processing aspect is involved, </w:t>
            </w:r>
            <w:proofErr w:type="gramStart"/>
            <w:r w:rsidR="003F3DFF" w:rsidRPr="00D67A82">
              <w:rPr>
                <w:rFonts w:eastAsia="ＭＳ 明朝"/>
                <w:szCs w:val="20"/>
                <w:lang w:val="en-US" w:eastAsia="ja-JP"/>
              </w:rPr>
              <w:t>i.e.</w:t>
            </w:r>
            <w:proofErr w:type="gramEnd"/>
            <w:r w:rsidR="003F3DFF" w:rsidRPr="00D67A82">
              <w:rPr>
                <w:rFonts w:eastAsia="ＭＳ 明朝"/>
                <w:szCs w:val="20"/>
                <w:lang w:val="en-US" w:eastAsia="ja-JP"/>
              </w:rPr>
              <w:t xml:space="preserve"> essentially the UE capability may be affected by </w:t>
            </w:r>
            <w:r w:rsidR="0034693B" w:rsidRPr="00D67A82">
              <w:rPr>
                <w:rFonts w:eastAsia="ＭＳ 明朝"/>
                <w:szCs w:val="20"/>
                <w:lang w:val="en-US" w:eastAsia="ja-JP"/>
              </w:rPr>
              <w:t xml:space="preserve">processing of </w:t>
            </w:r>
            <w:r w:rsidR="003F3DFF" w:rsidRPr="00D67A82">
              <w:rPr>
                <w:rFonts w:eastAsia="ＭＳ 明朝"/>
                <w:szCs w:val="20"/>
                <w:lang w:val="en-US" w:eastAsia="ja-JP"/>
              </w:rPr>
              <w:t xml:space="preserve">other features </w:t>
            </w:r>
            <w:r w:rsidR="0034693B" w:rsidRPr="00D67A82">
              <w:rPr>
                <w:rFonts w:eastAsia="ＭＳ 明朝"/>
                <w:szCs w:val="20"/>
                <w:lang w:val="en-US" w:eastAsia="ja-JP"/>
              </w:rPr>
              <w:t>in the same band.</w:t>
            </w:r>
          </w:p>
          <w:p w14:paraId="362B8F2D" w14:textId="77777777" w:rsidR="000E1D54" w:rsidRDefault="00D67A82">
            <w:pPr>
              <w:rPr>
                <w:ins w:id="0" w:author="Masato Kitazoe" w:date="2022-04-15T16:05:00Z"/>
                <w:rFonts w:eastAsia="ＭＳ 明朝"/>
                <w:szCs w:val="20"/>
                <w:lang w:val="en-US" w:eastAsia="ja-JP"/>
              </w:rPr>
            </w:pPr>
            <w:r w:rsidRPr="00D67A82">
              <w:rPr>
                <w:rFonts w:eastAsia="ＭＳ 明朝"/>
                <w:szCs w:val="20"/>
                <w:lang w:val="en-US" w:eastAsia="ja-JP"/>
              </w:rPr>
              <w:t xml:space="preserve">For FG32-4, we could communicate RAN2’s “intention” to use the </w:t>
            </w:r>
            <w:proofErr w:type="spellStart"/>
            <w:r w:rsidRPr="00D67A82">
              <w:rPr>
                <w:rFonts w:eastAsia="ＭＳ 明朝"/>
                <w:szCs w:val="20"/>
                <w:lang w:val="en-US" w:eastAsia="ja-JP"/>
              </w:rPr>
              <w:t>signalling</w:t>
            </w:r>
            <w:proofErr w:type="spellEnd"/>
            <w:r w:rsidRPr="00D67A82">
              <w:rPr>
                <w:rFonts w:eastAsia="ＭＳ 明朝"/>
                <w:szCs w:val="20"/>
                <w:lang w:val="en-US" w:eastAsia="ja-JP"/>
              </w:rPr>
              <w:t xml:space="preserve"> </w:t>
            </w:r>
            <w:r w:rsidRPr="00D67A82">
              <w:rPr>
                <w:rFonts w:eastAsia="ＭＳ 明朝"/>
                <w:szCs w:val="20"/>
                <w:lang w:val="en-US" w:eastAsia="ja-JP"/>
              </w:rPr>
              <w:lastRenderedPageBreak/>
              <w:t>structure as proposed and ask if it is in line with RAN1’s intention to use “per FS” granularity.</w:t>
            </w:r>
          </w:p>
          <w:p w14:paraId="3C5D388A" w14:textId="77777777" w:rsidR="00C454B5" w:rsidRDefault="00C454B5">
            <w:pPr>
              <w:rPr>
                <w:ins w:id="1" w:author="Masato Kitazoe" w:date="2022-04-15T16:05:00Z"/>
                <w:rFonts w:eastAsia="ＭＳ 明朝"/>
                <w:szCs w:val="20"/>
                <w:lang w:val="en-US" w:eastAsia="ja-JP"/>
              </w:rPr>
            </w:pPr>
          </w:p>
          <w:p w14:paraId="7FD0D9FF" w14:textId="77777777" w:rsidR="00C454B5" w:rsidRDefault="00C454B5">
            <w:pPr>
              <w:rPr>
                <w:ins w:id="2" w:author="Masato Kitazoe" w:date="2022-04-15T16:06:00Z"/>
                <w:rFonts w:eastAsia="ＭＳ 明朝"/>
                <w:szCs w:val="20"/>
                <w:lang w:val="en-US" w:eastAsia="ja-JP"/>
              </w:rPr>
            </w:pPr>
            <w:ins w:id="3" w:author="Masato Kitazoe" w:date="2022-04-15T16:06:00Z">
              <w:r>
                <w:rPr>
                  <w:rFonts w:eastAsia="ＭＳ 明朝" w:hint="eastAsia"/>
                  <w:szCs w:val="20"/>
                  <w:lang w:val="en-US" w:eastAsia="ja-JP"/>
                </w:rPr>
                <w:t>[</w:t>
              </w:r>
              <w:r>
                <w:rPr>
                  <w:rFonts w:eastAsia="ＭＳ 明朝"/>
                  <w:szCs w:val="20"/>
                  <w:lang w:val="en-US" w:eastAsia="ja-JP"/>
                </w:rPr>
                <w:t>April 15]</w:t>
              </w:r>
            </w:ins>
          </w:p>
          <w:p w14:paraId="2A0291BD" w14:textId="77777777" w:rsidR="00C454B5" w:rsidRDefault="00C454B5">
            <w:pPr>
              <w:rPr>
                <w:ins w:id="4" w:author="Masato Kitazoe" w:date="2022-04-15T16:07:00Z"/>
                <w:rFonts w:eastAsia="ＭＳ 明朝"/>
                <w:szCs w:val="20"/>
                <w:lang w:val="en-US" w:eastAsia="ja-JP"/>
              </w:rPr>
            </w:pPr>
            <w:ins w:id="5" w:author="Masato Kitazoe" w:date="2022-04-15T16:06:00Z">
              <w:r>
                <w:rPr>
                  <w:rFonts w:eastAsia="ＭＳ 明朝"/>
                  <w:szCs w:val="20"/>
                  <w:lang w:val="en-US" w:eastAsia="ja-JP"/>
                </w:rPr>
                <w:t xml:space="preserve">Would like </w:t>
              </w:r>
            </w:ins>
            <w:ins w:id="6" w:author="Masato Kitazoe" w:date="2022-04-15T16:07:00Z">
              <w:r>
                <w:rPr>
                  <w:rFonts w:eastAsia="ＭＳ 明朝"/>
                  <w:szCs w:val="20"/>
                  <w:lang w:val="en-US" w:eastAsia="ja-JP"/>
                </w:rPr>
                <w:t xml:space="preserve">to thank the </w:t>
              </w:r>
              <w:proofErr w:type="spellStart"/>
              <w:r>
                <w:rPr>
                  <w:rFonts w:eastAsia="ＭＳ 明朝"/>
                  <w:szCs w:val="20"/>
                  <w:lang w:val="en-US" w:eastAsia="ja-JP"/>
                </w:rPr>
                <w:t>rapportetur</w:t>
              </w:r>
              <w:proofErr w:type="spellEnd"/>
              <w:r>
                <w:rPr>
                  <w:rFonts w:eastAsia="ＭＳ 明朝"/>
                  <w:szCs w:val="20"/>
                  <w:lang w:val="en-US" w:eastAsia="ja-JP"/>
                </w:rPr>
                <w:t xml:space="preserve"> for the feedback. </w:t>
              </w:r>
            </w:ins>
            <w:ins w:id="7" w:author="Masato Kitazoe" w:date="2022-04-15T16:06:00Z">
              <w:r>
                <w:rPr>
                  <w:rFonts w:eastAsia="ＭＳ 明朝" w:hint="eastAsia"/>
                  <w:szCs w:val="20"/>
                  <w:lang w:val="en-US" w:eastAsia="ja-JP"/>
                </w:rPr>
                <w:t>A</w:t>
              </w:r>
              <w:r>
                <w:rPr>
                  <w:rFonts w:eastAsia="ＭＳ 明朝"/>
                  <w:szCs w:val="20"/>
                  <w:lang w:val="en-US" w:eastAsia="ja-JP"/>
                </w:rPr>
                <w:t>fter further checking internally, we are fine with the current implementation of FG32-4.</w:t>
              </w:r>
            </w:ins>
          </w:p>
          <w:p w14:paraId="379C00DE" w14:textId="5D127896" w:rsidR="00C454B5" w:rsidRPr="00E31017" w:rsidRDefault="00C454B5">
            <w:pPr>
              <w:rPr>
                <w:rFonts w:eastAsia="ＭＳ 明朝" w:hint="eastAsia"/>
                <w:szCs w:val="20"/>
                <w:lang w:val="en-US" w:eastAsia="ja-JP"/>
              </w:rPr>
            </w:pPr>
            <w:ins w:id="8" w:author="Masato Kitazoe" w:date="2022-04-15T16:07:00Z">
              <w:r>
                <w:rPr>
                  <w:rFonts w:eastAsia="ＭＳ 明朝" w:hint="eastAsia"/>
                  <w:szCs w:val="20"/>
                  <w:lang w:val="en-US" w:eastAsia="ja-JP"/>
                </w:rPr>
                <w:t>W</w:t>
              </w:r>
              <w:r>
                <w:rPr>
                  <w:rFonts w:eastAsia="ＭＳ 明朝"/>
                  <w:szCs w:val="20"/>
                  <w:lang w:val="en-US" w:eastAsia="ja-JP"/>
                </w:rPr>
                <w:t xml:space="preserve">e should encourage our RAN1 colleagues to clarify </w:t>
              </w:r>
            </w:ins>
            <w:ins w:id="9" w:author="Masato Kitazoe" w:date="2022-04-15T16:08:00Z">
              <w:r>
                <w:rPr>
                  <w:rFonts w:eastAsia="ＭＳ 明朝"/>
                  <w:szCs w:val="20"/>
                  <w:lang w:val="en-US" w:eastAsia="ja-JP"/>
                </w:rPr>
                <w:t>those features in the feature list</w:t>
              </w:r>
            </w:ins>
            <w:ins w:id="10" w:author="Masato Kitazoe" w:date="2022-04-15T16:07:00Z">
              <w:r>
                <w:rPr>
                  <w:rFonts w:eastAsia="ＭＳ 明朝"/>
                  <w:szCs w:val="20"/>
                  <w:lang w:val="en-US" w:eastAsia="ja-JP"/>
                </w:rPr>
                <w:t>. But we are fine not to check with RAN1 from RAN2 side.</w:t>
              </w:r>
            </w:ins>
          </w:p>
        </w:tc>
        <w:tc>
          <w:tcPr>
            <w:tcW w:w="2687" w:type="dxa"/>
            <w:tcMar>
              <w:top w:w="0" w:type="dxa"/>
              <w:left w:w="108" w:type="dxa"/>
              <w:bottom w:w="0" w:type="dxa"/>
              <w:right w:w="108" w:type="dxa"/>
            </w:tcMar>
          </w:tcPr>
          <w:p w14:paraId="46000FA8" w14:textId="0732FAB6" w:rsidR="00D0310E" w:rsidRDefault="00E32B38">
            <w:pPr>
              <w:rPr>
                <w:lang w:val="en-US" w:eastAsia="ja-JP"/>
              </w:rPr>
            </w:pPr>
            <w:r>
              <w:rPr>
                <w:rFonts w:eastAsia="ＭＳ 明朝"/>
                <w:lang w:val="en-US" w:eastAsia="ja-JP"/>
              </w:rPr>
              <w:lastRenderedPageBreak/>
              <w:t xml:space="preserve">For 32-4, our understanding is that this is specifically discussed in RAN1 basically to allow the UE </w:t>
            </w:r>
            <w:r>
              <w:rPr>
                <w:lang w:val="en-US" w:eastAsia="ja-JP"/>
              </w:rPr>
              <w:t xml:space="preserve">to report that it supports partial sensing in any of the bands but not in more than one band at any one time.  </w:t>
            </w:r>
            <w:r w:rsidR="00DE5447">
              <w:rPr>
                <w:lang w:val="en-US" w:eastAsia="ja-JP"/>
              </w:rPr>
              <w:t>One argument provided in RAN1 to go with per FS is as follow:</w:t>
            </w:r>
          </w:p>
          <w:p w14:paraId="0BCBB133" w14:textId="77777777" w:rsidR="00DE5447" w:rsidRDefault="00DE5447" w:rsidP="00DE5447">
            <w:pPr>
              <w:rPr>
                <w:rFonts w:ascii="Calibri" w:hAnsi="Calibri"/>
                <w:szCs w:val="22"/>
                <w:lang w:val="en-US"/>
              </w:rPr>
            </w:pPr>
            <w:r>
              <w:rPr>
                <w:lang w:val="en-US"/>
              </w:rPr>
              <w:t>“</w:t>
            </w:r>
          </w:p>
          <w:p w14:paraId="2059A049" w14:textId="77777777" w:rsidR="00DE5447" w:rsidRDefault="00DE5447" w:rsidP="00DE5447">
            <w:pPr>
              <w:rPr>
                <w:lang w:val="en-US" w:eastAsia="ja-JP"/>
              </w:rPr>
            </w:pPr>
            <w:r>
              <w:rPr>
                <w:lang w:val="en-US" w:eastAsia="ja-JP"/>
              </w:rPr>
              <w:lastRenderedPageBreak/>
              <w:t xml:space="preserve">Let’s take the following scenario as an example. A commercial device, </w:t>
            </w:r>
            <w:proofErr w:type="gramStart"/>
            <w:r>
              <w:rPr>
                <w:lang w:val="en-US" w:eastAsia="ja-JP"/>
              </w:rPr>
              <w:t>e.g.</w:t>
            </w:r>
            <w:proofErr w:type="gramEnd"/>
            <w:r>
              <w:rPr>
                <w:lang w:val="en-US" w:eastAsia="ja-JP"/>
              </w:rPr>
              <w:t xml:space="preserve"> a wearable, could support </w:t>
            </w:r>
            <w:proofErr w:type="spellStart"/>
            <w:r>
              <w:rPr>
                <w:lang w:val="en-US" w:eastAsia="ja-JP"/>
              </w:rPr>
              <w:t>sidelink</w:t>
            </w:r>
            <w:proofErr w:type="spellEnd"/>
            <w:r>
              <w:rPr>
                <w:lang w:val="en-US" w:eastAsia="ja-JP"/>
              </w:rPr>
              <w:t xml:space="preserve"> in Bands A, B, and C. The most likely deployment for this device is that it would only have </w:t>
            </w:r>
            <w:proofErr w:type="spellStart"/>
            <w:r>
              <w:rPr>
                <w:lang w:val="en-US" w:eastAsia="ja-JP"/>
              </w:rPr>
              <w:t>sidelink</w:t>
            </w:r>
            <w:proofErr w:type="spellEnd"/>
            <w:r>
              <w:rPr>
                <w:lang w:val="en-US" w:eastAsia="ja-JP"/>
              </w:rPr>
              <w:t xml:space="preserve"> operating on one band only. When provisioning the baseband hardware to support partial sensing, the device could increase implementation complexity and support partial sensing in all three bands simultaneously for the rare case when all three are enabled simultaneously. Alternatively, the device could be implemented with the ability to perform partial sensing in any single band of the three, addressing its most likely deployment scenario. Per band reporting forces the device to go the first route (increasing complexity), to not implement partial sensing (reducing performance), or to only support a single </w:t>
            </w:r>
            <w:proofErr w:type="spellStart"/>
            <w:r>
              <w:rPr>
                <w:lang w:val="en-US" w:eastAsia="ja-JP"/>
              </w:rPr>
              <w:t>sidelink</w:t>
            </w:r>
            <w:proofErr w:type="spellEnd"/>
            <w:r>
              <w:rPr>
                <w:lang w:val="en-US" w:eastAsia="ja-JP"/>
              </w:rPr>
              <w:t xml:space="preserve"> band instead of three (underreporting and reducing deployment flexibility). Per FS reporting, on the other hand, allows the device to report that it supports partial sensing in any of the bands but not in more than one, providing performance gains and lower implementation complexity for the device’s typical deployment scenario, while maintaining deployment flexibly (band choice). Generating inter-UE coordination is similar too.</w:t>
            </w:r>
          </w:p>
          <w:p w14:paraId="13E3DE54" w14:textId="77777777" w:rsidR="00DE5447" w:rsidRDefault="00DE5447">
            <w:pPr>
              <w:rPr>
                <w:lang w:val="en-US"/>
              </w:rPr>
            </w:pPr>
            <w:r>
              <w:rPr>
                <w:lang w:val="en-US"/>
              </w:rPr>
              <w:t>”</w:t>
            </w:r>
          </w:p>
          <w:p w14:paraId="4423473D" w14:textId="5C1CD25D" w:rsidR="00DE5447" w:rsidRPr="00DE5447" w:rsidRDefault="00DE5447">
            <w:pPr>
              <w:rPr>
                <w:lang w:val="en-US" w:eastAsia="zh-CN"/>
              </w:rPr>
            </w:pPr>
            <w:r>
              <w:rPr>
                <w:lang w:val="en-US"/>
              </w:rPr>
              <w:t>But we are fine if companies still want to check with RAN1,</w:t>
            </w:r>
          </w:p>
        </w:tc>
      </w:tr>
      <w:tr w:rsidR="00D0310E" w14:paraId="53899F39" w14:textId="77777777" w:rsidTr="000E1D54">
        <w:trPr>
          <w:trHeight w:val="770"/>
        </w:trPr>
        <w:tc>
          <w:tcPr>
            <w:tcW w:w="1238" w:type="dxa"/>
            <w:tcMar>
              <w:top w:w="0" w:type="dxa"/>
              <w:left w:w="108" w:type="dxa"/>
              <w:bottom w:w="0" w:type="dxa"/>
              <w:right w:w="108" w:type="dxa"/>
            </w:tcMar>
          </w:tcPr>
          <w:p w14:paraId="754B7659" w14:textId="50E8CBAE" w:rsidR="00D0310E" w:rsidRPr="00D67A82" w:rsidRDefault="001D54A6">
            <w:pPr>
              <w:rPr>
                <w:rFonts w:eastAsia="ＭＳ 明朝"/>
                <w:szCs w:val="20"/>
                <w:lang w:val="en-US" w:eastAsia="ja-JP"/>
              </w:rPr>
            </w:pPr>
            <w:r w:rsidRPr="00D67A82">
              <w:rPr>
                <w:rFonts w:eastAsia="ＭＳ 明朝" w:hint="eastAsia"/>
                <w:szCs w:val="20"/>
                <w:lang w:val="en-US" w:eastAsia="ja-JP"/>
              </w:rPr>
              <w:lastRenderedPageBreak/>
              <w:t>Q</w:t>
            </w:r>
            <w:r w:rsidRPr="00D67A82">
              <w:rPr>
                <w:rFonts w:eastAsia="ＭＳ 明朝"/>
                <w:szCs w:val="20"/>
                <w:lang w:val="en-US" w:eastAsia="ja-JP"/>
              </w:rPr>
              <w:t>ualcomm Incorporated</w:t>
            </w:r>
          </w:p>
        </w:tc>
        <w:tc>
          <w:tcPr>
            <w:tcW w:w="1127" w:type="dxa"/>
          </w:tcPr>
          <w:p w14:paraId="4C51768A" w14:textId="5C9D154E" w:rsidR="00D0310E" w:rsidRPr="00D67A82" w:rsidRDefault="001D54A6">
            <w:pPr>
              <w:rPr>
                <w:rFonts w:eastAsia="ＭＳ 明朝"/>
                <w:szCs w:val="20"/>
                <w:lang w:val="en-US" w:eastAsia="ja-JP"/>
              </w:rPr>
            </w:pPr>
            <w:r w:rsidRPr="00D67A82">
              <w:rPr>
                <w:rFonts w:eastAsia="ＭＳ 明朝" w:hint="eastAsia"/>
                <w:szCs w:val="20"/>
                <w:lang w:val="en-US" w:eastAsia="ja-JP"/>
              </w:rPr>
              <w:t>T</w:t>
            </w:r>
            <w:r w:rsidRPr="00D67A82">
              <w:rPr>
                <w:rFonts w:eastAsia="ＭＳ 明朝"/>
                <w:szCs w:val="20"/>
                <w:lang w:val="en-US" w:eastAsia="ja-JP"/>
              </w:rPr>
              <w:t>S38.306</w:t>
            </w:r>
          </w:p>
        </w:tc>
        <w:tc>
          <w:tcPr>
            <w:tcW w:w="1230" w:type="dxa"/>
          </w:tcPr>
          <w:p w14:paraId="41FA658D" w14:textId="77777777" w:rsidR="00D0310E" w:rsidRPr="00D67A82" w:rsidRDefault="00D67A82">
            <w:pPr>
              <w:rPr>
                <w:szCs w:val="20"/>
              </w:rPr>
            </w:pPr>
            <w:r w:rsidRPr="00D67A82">
              <w:rPr>
                <w:rFonts w:hint="eastAsia"/>
                <w:szCs w:val="20"/>
              </w:rPr>
              <w:t>H0014</w:t>
            </w:r>
          </w:p>
          <w:p w14:paraId="38EA5865" w14:textId="18486FD8" w:rsidR="00D67A82" w:rsidRPr="00D67A82" w:rsidRDefault="00D67A82">
            <w:pPr>
              <w:rPr>
                <w:rFonts w:eastAsia="ＭＳ 明朝"/>
                <w:szCs w:val="20"/>
                <w:lang w:val="en-US" w:eastAsia="ja-JP"/>
              </w:rPr>
            </w:pPr>
            <w:r w:rsidRPr="00D67A82">
              <w:rPr>
                <w:rFonts w:eastAsia="ＭＳ 明朝" w:hint="eastAsia"/>
                <w:szCs w:val="20"/>
                <w:lang w:eastAsia="ja-JP"/>
              </w:rPr>
              <w:t>O</w:t>
            </w:r>
            <w:r w:rsidRPr="00D67A82">
              <w:rPr>
                <w:rFonts w:eastAsia="ＭＳ 明朝"/>
                <w:szCs w:val="20"/>
                <w:lang w:eastAsia="ja-JP"/>
              </w:rPr>
              <w:t>P008</w:t>
            </w:r>
          </w:p>
        </w:tc>
        <w:tc>
          <w:tcPr>
            <w:tcW w:w="3637" w:type="dxa"/>
            <w:tcMar>
              <w:top w:w="0" w:type="dxa"/>
              <w:left w:w="108" w:type="dxa"/>
              <w:bottom w:w="0" w:type="dxa"/>
              <w:right w:w="108" w:type="dxa"/>
            </w:tcMar>
          </w:tcPr>
          <w:p w14:paraId="3F7EB9FE" w14:textId="77777777" w:rsidR="00D0310E" w:rsidRDefault="00D67A82">
            <w:pPr>
              <w:rPr>
                <w:szCs w:val="20"/>
              </w:rPr>
            </w:pPr>
            <w:r w:rsidRPr="00D67A82">
              <w:rPr>
                <w:rFonts w:eastAsia="ＭＳ 明朝" w:hint="eastAsia"/>
                <w:szCs w:val="20"/>
                <w:lang w:val="en-US" w:eastAsia="ja-JP"/>
              </w:rPr>
              <w:t>W</w:t>
            </w:r>
            <w:r w:rsidRPr="00D67A82">
              <w:rPr>
                <w:rFonts w:eastAsia="ＭＳ 明朝"/>
                <w:szCs w:val="20"/>
                <w:lang w:val="en-US" w:eastAsia="ja-JP"/>
              </w:rPr>
              <w:t xml:space="preserve">e agree with OPPO </w:t>
            </w:r>
            <w:r>
              <w:rPr>
                <w:rFonts w:eastAsia="ＭＳ 明朝"/>
                <w:szCs w:val="20"/>
                <w:lang w:val="en-US" w:eastAsia="ja-JP"/>
              </w:rPr>
              <w:t xml:space="preserve">that </w:t>
            </w:r>
            <w:r w:rsidRPr="00D67A82">
              <w:rPr>
                <w:rFonts w:eastAsia="ＭＳ 明朝"/>
                <w:szCs w:val="20"/>
                <w:lang w:val="en-US" w:eastAsia="ja-JP"/>
              </w:rPr>
              <w:t xml:space="preserve">it is preferable to use the language as agreed by RAN plenary in </w:t>
            </w:r>
            <w:r w:rsidRPr="00D67A82">
              <w:rPr>
                <w:rFonts w:hint="eastAsia"/>
                <w:szCs w:val="20"/>
              </w:rPr>
              <w:t>RP-220951</w:t>
            </w:r>
            <w:r w:rsidRPr="00D67A82">
              <w:rPr>
                <w:szCs w:val="20"/>
              </w:rPr>
              <w:t>.</w:t>
            </w:r>
          </w:p>
          <w:p w14:paraId="2C45FCDC" w14:textId="64DF541D" w:rsidR="00122A67" w:rsidRPr="00122A67" w:rsidRDefault="00122A67">
            <w:pPr>
              <w:rPr>
                <w:rFonts w:eastAsia="ＭＳ 明朝"/>
                <w:szCs w:val="20"/>
                <w:lang w:val="en-US" w:eastAsia="ja-JP"/>
              </w:rPr>
            </w:pPr>
            <w:r>
              <w:rPr>
                <w:rFonts w:eastAsia="ＭＳ 明朝" w:hint="eastAsia"/>
                <w:szCs w:val="20"/>
                <w:lang w:eastAsia="ja-JP"/>
              </w:rPr>
              <w:t>P</w:t>
            </w:r>
            <w:r>
              <w:rPr>
                <w:rFonts w:eastAsia="ＭＳ 明朝"/>
                <w:szCs w:val="20"/>
                <w:lang w:eastAsia="ja-JP"/>
              </w:rPr>
              <w:t>SD limitations are indeed</w:t>
            </w:r>
            <w:r w:rsidR="001A272D">
              <w:rPr>
                <w:rFonts w:eastAsia="ＭＳ 明朝"/>
                <w:szCs w:val="20"/>
                <w:lang w:eastAsia="ja-JP"/>
              </w:rPr>
              <w:t xml:space="preserve"> </w:t>
            </w:r>
            <w:r w:rsidR="004278D5">
              <w:rPr>
                <w:rFonts w:eastAsia="ＭＳ 明朝"/>
                <w:szCs w:val="20"/>
                <w:lang w:eastAsia="ja-JP"/>
              </w:rPr>
              <w:t>subject to regional regulations.</w:t>
            </w:r>
          </w:p>
        </w:tc>
        <w:tc>
          <w:tcPr>
            <w:tcW w:w="2687" w:type="dxa"/>
            <w:tcMar>
              <w:top w:w="0" w:type="dxa"/>
              <w:left w:w="108" w:type="dxa"/>
              <w:bottom w:w="0" w:type="dxa"/>
              <w:right w:w="108" w:type="dxa"/>
            </w:tcMar>
          </w:tcPr>
          <w:p w14:paraId="28A81711" w14:textId="4EAC19F8" w:rsidR="00D0310E" w:rsidRDefault="00AA5163">
            <w:pPr>
              <w:rPr>
                <w:lang w:val="en-US"/>
              </w:rPr>
            </w:pPr>
            <w:r>
              <w:rPr>
                <w:lang w:val="en-US"/>
              </w:rPr>
              <w:t>Change as proposed</w:t>
            </w:r>
          </w:p>
        </w:tc>
      </w:tr>
      <w:tr w:rsidR="00D0310E" w14:paraId="63E4887C" w14:textId="77777777" w:rsidTr="000E1D54">
        <w:trPr>
          <w:trHeight w:val="770"/>
        </w:trPr>
        <w:tc>
          <w:tcPr>
            <w:tcW w:w="1238" w:type="dxa"/>
            <w:tcMar>
              <w:top w:w="0" w:type="dxa"/>
              <w:left w:w="108" w:type="dxa"/>
              <w:bottom w:w="0" w:type="dxa"/>
              <w:right w:w="108" w:type="dxa"/>
            </w:tcMar>
          </w:tcPr>
          <w:p w14:paraId="706C8053" w14:textId="27C63AD7" w:rsidR="00D0310E" w:rsidRDefault="00D0310E">
            <w:pPr>
              <w:rPr>
                <w:lang w:val="en-US"/>
              </w:rPr>
            </w:pPr>
          </w:p>
        </w:tc>
        <w:tc>
          <w:tcPr>
            <w:tcW w:w="1127" w:type="dxa"/>
          </w:tcPr>
          <w:p w14:paraId="17F80840" w14:textId="77777777" w:rsidR="00D0310E" w:rsidRDefault="00D0310E">
            <w:pPr>
              <w:rPr>
                <w:b/>
                <w:bCs/>
                <w:lang w:val="en-US"/>
              </w:rPr>
            </w:pPr>
          </w:p>
        </w:tc>
        <w:tc>
          <w:tcPr>
            <w:tcW w:w="1230" w:type="dxa"/>
          </w:tcPr>
          <w:p w14:paraId="5E39E852" w14:textId="452E3019" w:rsidR="00D0310E" w:rsidRDefault="00D0310E">
            <w:pPr>
              <w:rPr>
                <w:b/>
                <w:bCs/>
                <w:lang w:val="en-US"/>
              </w:rPr>
            </w:pPr>
          </w:p>
        </w:tc>
        <w:tc>
          <w:tcPr>
            <w:tcW w:w="3637" w:type="dxa"/>
            <w:tcMar>
              <w:top w:w="0" w:type="dxa"/>
              <w:left w:w="108" w:type="dxa"/>
              <w:bottom w:w="0" w:type="dxa"/>
              <w:right w:w="108" w:type="dxa"/>
            </w:tcMar>
          </w:tcPr>
          <w:p w14:paraId="50E605DE" w14:textId="778FAF02" w:rsidR="00D0310E" w:rsidRDefault="00D0310E">
            <w:pPr>
              <w:rPr>
                <w:b/>
                <w:bCs/>
                <w:lang w:val="en-US"/>
              </w:rPr>
            </w:pPr>
          </w:p>
        </w:tc>
        <w:tc>
          <w:tcPr>
            <w:tcW w:w="2687"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0E1D54">
        <w:trPr>
          <w:trHeight w:val="770"/>
        </w:trPr>
        <w:tc>
          <w:tcPr>
            <w:tcW w:w="1238" w:type="dxa"/>
            <w:tcMar>
              <w:top w:w="0" w:type="dxa"/>
              <w:left w:w="108" w:type="dxa"/>
              <w:bottom w:w="0" w:type="dxa"/>
              <w:right w:w="108" w:type="dxa"/>
            </w:tcMar>
          </w:tcPr>
          <w:p w14:paraId="445933DD" w14:textId="27C34A17" w:rsidR="00D0310E" w:rsidRDefault="00D0310E">
            <w:pPr>
              <w:rPr>
                <w:lang w:val="en-US"/>
              </w:rPr>
            </w:pPr>
          </w:p>
        </w:tc>
        <w:tc>
          <w:tcPr>
            <w:tcW w:w="1127" w:type="dxa"/>
          </w:tcPr>
          <w:p w14:paraId="7542F90C" w14:textId="77777777" w:rsidR="00D0310E" w:rsidRDefault="00D0310E">
            <w:pPr>
              <w:rPr>
                <w:rFonts w:ascii="Calibri" w:hAnsi="Calibri" w:cs="Calibri"/>
                <w:b/>
                <w:bCs/>
                <w:highlight w:val="yellow"/>
                <w:lang w:val="en-US"/>
              </w:rPr>
            </w:pPr>
          </w:p>
        </w:tc>
        <w:tc>
          <w:tcPr>
            <w:tcW w:w="1230" w:type="dxa"/>
          </w:tcPr>
          <w:p w14:paraId="051D2B48" w14:textId="61D2F662" w:rsidR="00D0310E" w:rsidRDefault="00D0310E">
            <w:pPr>
              <w:rPr>
                <w:rFonts w:ascii="Calibri" w:hAnsi="Calibri" w:cs="Calibri"/>
                <w:b/>
                <w:bCs/>
                <w:highlight w:val="yellow"/>
                <w:lang w:val="en-US"/>
              </w:rPr>
            </w:pPr>
          </w:p>
        </w:tc>
        <w:tc>
          <w:tcPr>
            <w:tcW w:w="3637"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687"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F514" w14:textId="77777777" w:rsidR="008B149C" w:rsidRDefault="008B149C"/>
  </w:endnote>
  <w:endnote w:type="continuationSeparator" w:id="0">
    <w:p w14:paraId="535131CF" w14:textId="77777777" w:rsidR="008B149C" w:rsidRDefault="008B149C"/>
  </w:endnote>
  <w:endnote w:type="continuationNotice" w:id="1">
    <w:p w14:paraId="6AAE0EA7" w14:textId="77777777" w:rsidR="008B149C" w:rsidRDefault="008B1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84DA" w14:textId="77777777" w:rsidR="008B149C" w:rsidRDefault="008B149C"/>
  </w:footnote>
  <w:footnote w:type="continuationSeparator" w:id="0">
    <w:p w14:paraId="61A42C69" w14:textId="77777777" w:rsidR="008B149C" w:rsidRDefault="008B149C"/>
  </w:footnote>
  <w:footnote w:type="continuationNotice" w:id="1">
    <w:p w14:paraId="697EEF64" w14:textId="77777777" w:rsidR="008B149C" w:rsidRDefault="008B14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ato Kitazoe">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56A"/>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1D54"/>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A67"/>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72D"/>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4A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3B"/>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4F9"/>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3DFF"/>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8D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B82"/>
    <w:rsid w:val="00463C15"/>
    <w:rsid w:val="00463E78"/>
    <w:rsid w:val="00463FCB"/>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56"/>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B69"/>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58F"/>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D37"/>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4F90"/>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49C"/>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0686"/>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1D90"/>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97CE7"/>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163"/>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E7BBE"/>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A63"/>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15E"/>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A1F"/>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EC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4B5"/>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A82"/>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447"/>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2A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17"/>
    <w:rsid w:val="00E3104F"/>
    <w:rsid w:val="00E31160"/>
    <w:rsid w:val="00E31857"/>
    <w:rsid w:val="00E3199A"/>
    <w:rsid w:val="00E3202B"/>
    <w:rsid w:val="00E32376"/>
    <w:rsid w:val="00E3248A"/>
    <w:rsid w:val="00E32615"/>
    <w:rsid w:val="00E32846"/>
    <w:rsid w:val="00E329D5"/>
    <w:rsid w:val="00E32B38"/>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7A"/>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ＭＳ 明朝" w:hAnsi="Arial"/>
      <w:i/>
      <w:sz w:val="18"/>
      <w:lang w:eastAsia="en-GB"/>
    </w:rPr>
  </w:style>
  <w:style w:type="character" w:customStyle="1" w:styleId="CommentsChar">
    <w:name w:val="Comments Char"/>
    <w:link w:val="Comments"/>
    <w:rsid w:val="008F5AFB"/>
    <w:rPr>
      <w:rFonts w:ascii="Arial" w:eastAsia="ＭＳ 明朝"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ＭＳ 明朝"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ＭＳ 明朝"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ＭＳ 明朝"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ＭＳ 明朝"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游明朝" w:hAnsi="Arial"/>
      <w:lang w:val="en-GB"/>
    </w:rPr>
  </w:style>
  <w:style w:type="character" w:customStyle="1" w:styleId="CRCoverPageZchn">
    <w:name w:val="CR Cover Page Zchn"/>
    <w:link w:val="CRCoverPage"/>
    <w:qFormat/>
    <w:rsid w:val="00FD3D2F"/>
    <w:rPr>
      <w:rFonts w:ascii="Arial" w:eastAsia="游明朝"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ＭＳ 明朝" w:hAnsi="Arial"/>
      <w:noProof/>
      <w:lang w:eastAsia="en-GB"/>
    </w:rPr>
  </w:style>
  <w:style w:type="character" w:customStyle="1" w:styleId="Doc-titleChar">
    <w:name w:val="Doc-title Char"/>
    <w:link w:val="Doc-title"/>
    <w:qFormat/>
    <w:rsid w:val="00EF4369"/>
    <w:rPr>
      <w:rFonts w:ascii="Arial" w:eastAsia="ＭＳ 明朝"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8597">
      <w:bodyDiv w:val="1"/>
      <w:marLeft w:val="0"/>
      <w:marRight w:val="0"/>
      <w:marTop w:val="0"/>
      <w:marBottom w:val="0"/>
      <w:divBdr>
        <w:top w:val="none" w:sz="0" w:space="0" w:color="auto"/>
        <w:left w:val="none" w:sz="0" w:space="0" w:color="auto"/>
        <w:bottom w:val="none" w:sz="0" w:space="0" w:color="auto"/>
        <w:right w:val="none" w:sz="0" w:space="0" w:color="auto"/>
      </w:divBdr>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3</Pages>
  <Words>703</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Masato Kitazoe</cp:lastModifiedBy>
  <cp:revision>2</cp:revision>
  <cp:lastPrinted>2017-10-24T05:18:00Z</cp:lastPrinted>
  <dcterms:created xsi:type="dcterms:W3CDTF">2022-04-15T07:08:00Z</dcterms:created>
  <dcterms:modified xsi:type="dcterms:W3CDTF">2022-04-15T07:08:00Z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