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바탕체" w:eastAsia="바탕체" w:hAnsi="바탕체" w:cs="바탕체" w:hint="eastAsia"/>
          <w:b/>
          <w:lang w:eastAsia="ko-KR"/>
        </w:rPr>
        <w:t xml:space="preserve"> </w:t>
      </w:r>
      <w:r>
        <w:rPr>
          <w:rFonts w:ascii="Arial" w:hAnsi="Arial" w:cs="Arial"/>
          <w:bCs/>
        </w:rPr>
        <w:t xml:space="preserve">LS on </w:t>
      </w:r>
      <w:r>
        <w:rPr>
          <w:rFonts w:ascii="Arial" w:hAnsi="Arial" w:cs="Arial"/>
          <w:bCs/>
          <w:color w:val="000000"/>
        </w:rPr>
        <w:t>TA validation for CG-SDT</w:t>
      </w:r>
    </w:p>
    <w:p>
      <w:pPr>
        <w:spacing w:after="60"/>
        <w:ind w:left="1985" w:hanging="1985"/>
        <w:rPr>
          <w:rFonts w:ascii="Arial" w:hAnsi="Arial" w:cs="Arial"/>
          <w:bCs/>
        </w:rPr>
      </w:pPr>
      <w:r>
        <w:rPr>
          <w:rFonts w:ascii="Arial" w:hAnsi="Arial" w:cs="Arial"/>
          <w:b/>
        </w:rPr>
        <w:t>Response to:</w:t>
      </w:r>
      <w:r>
        <w:rPr>
          <w:rFonts w:ascii="Arial" w:hAnsi="Arial" w:cs="Arial"/>
          <w:bCs/>
        </w:rPr>
        <w:tab/>
        <w:t>-</w:t>
      </w:r>
    </w:p>
    <w:p>
      <w:pPr>
        <w:spacing w:after="60"/>
        <w:ind w:left="1985" w:hanging="1985"/>
        <w:rPr>
          <w:rFonts w:ascii="Arial" w:hAnsi="Arial" w:cs="Arial"/>
          <w:bCs/>
        </w:rPr>
      </w:pPr>
      <w:r>
        <w:rPr>
          <w:rFonts w:ascii="Arial" w:hAnsi="Arial" w:cs="Arial"/>
          <w:b/>
        </w:rPr>
        <w:t>Release:</w:t>
      </w:r>
      <w:r>
        <w:rPr>
          <w:rFonts w:ascii="Arial" w:hAnsi="Arial" w:cs="Arial"/>
          <w:bCs/>
        </w:rPr>
        <w:tab/>
        <w:t>Rel-17</w:t>
      </w:r>
    </w:p>
    <w:p>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LG Electronics [to be RAN2]</w:t>
      </w:r>
    </w:p>
    <w:p>
      <w:pPr>
        <w:spacing w:after="60"/>
        <w:ind w:left="1985" w:hanging="1985"/>
        <w:rPr>
          <w:rFonts w:ascii="Arial" w:hAnsi="Arial" w:cs="Arial"/>
          <w:bCs/>
        </w:rPr>
      </w:pPr>
      <w:r>
        <w:rPr>
          <w:rFonts w:ascii="Arial" w:hAnsi="Arial" w:cs="Arial"/>
          <w:b/>
        </w:rPr>
        <w:t>To:</w:t>
      </w:r>
      <w:r>
        <w:rPr>
          <w:rFonts w:ascii="Arial" w:hAnsi="Arial" w:cs="Arial"/>
          <w:bCs/>
        </w:rPr>
        <w:tab/>
        <w:t>RAN4</w:t>
      </w:r>
    </w:p>
    <w:p>
      <w:pPr>
        <w:spacing w:after="60"/>
        <w:ind w:left="1985" w:hanging="1985"/>
        <w:rPr>
          <w:rFonts w:ascii="Arial" w:hAnsi="Arial" w:cs="Arial"/>
          <w:bCs/>
        </w:rPr>
      </w:pPr>
      <w:r>
        <w:rPr>
          <w:rFonts w:ascii="Arial" w:hAnsi="Arial" w:cs="Arial"/>
          <w:b/>
        </w:rPr>
        <w:t>Cc:</w:t>
      </w:r>
      <w:r>
        <w:rPr>
          <w:rFonts w:ascii="Arial" w:hAnsi="Arial" w:cs="Arial"/>
          <w:bCs/>
        </w:rPr>
        <w:tab/>
        <w:t>-</w:t>
      </w:r>
      <w:bookmarkStart w:id="0" w:name="_GoBack"/>
      <w:bookmarkEnd w:id="0"/>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1" w:history="1">
        <w:r>
          <w:rPr>
            <w:rStyle w:val="a5"/>
            <w:rFonts w:ascii="Arial" w:hAnsi="Arial" w:cs="Arial"/>
            <w:bCs/>
          </w:rPr>
          <w:t>seungjune.yi@lge.com</w:t>
        </w:r>
      </w:hyperlink>
      <w:r>
        <w:rPr>
          <w:rFonts w:ascii="Arial" w:hAnsi="Arial" w:cs="Arial"/>
          <w:bCs/>
        </w:rPr>
        <w:t xml:space="preserve"> </w:t>
      </w:r>
    </w:p>
    <w:p>
      <w:pPr>
        <w:spacing w:after="0"/>
      </w:pPr>
    </w:p>
    <w:p>
      <w:pPr>
        <w:spacing w:after="60"/>
        <w:ind w:left="1985" w:hanging="1985"/>
        <w:rPr>
          <w:rFonts w:ascii="Arial" w:hAnsi="Arial" w:cs="Arial"/>
          <w:b/>
        </w:rPr>
      </w:pPr>
    </w:p>
    <w:p>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pPr>
        <w:pBdr>
          <w:bottom w:val="single" w:sz="4" w:space="1" w:color="auto"/>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0"/>
        <w:rPr>
          <w:rFonts w:ascii="Arial" w:hAnsi="Arial" w:cs="Arial"/>
          <w:bCs/>
        </w:rPr>
      </w:pPr>
      <w:r>
        <w:rPr>
          <w:rFonts w:ascii="Arial" w:hAnsi="Arial" w:cs="Arial"/>
          <w:bCs/>
        </w:rPr>
        <w:t>RAN2 discussed the topic of CG-SDT resource validation based on RSRP change, and made following agreements.</w:t>
      </w:r>
    </w:p>
    <w:p>
      <w:pPr>
        <w:spacing w:after="0"/>
        <w:rPr>
          <w:rFonts w:ascii="Arial" w:eastAsia="맑은 고딕" w:hAnsi="Arial" w:cs="Arial"/>
          <w:bCs/>
          <w:lang w:eastAsia="ko-KR"/>
        </w:rPr>
      </w:pPr>
    </w:p>
    <w:p>
      <w:pPr>
        <w:spacing w:after="0"/>
        <w:rPr>
          <w:rFonts w:ascii="Arial" w:eastAsia="맑은 고딕" w:hAnsi="Arial" w:cs="Arial"/>
          <w:bCs/>
          <w:lang w:eastAsia="ko-KR"/>
        </w:rPr>
      </w:pPr>
      <w:r>
        <w:rPr>
          <w:rFonts w:ascii="Arial" w:eastAsia="맑은 고딕" w:hAnsi="Arial" w:cs="Arial" w:hint="eastAsia"/>
          <w:bCs/>
          <w:lang w:eastAsia="ko-KR"/>
        </w:rPr>
        <w:t>RAN2#116bis-e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 UE compares the RSRP at the time of initiating CG-SDT procedure with the RSRP stored at the time when RRCRelease message is received</w:t>
      </w:r>
    </w:p>
    <w:p>
      <w:pPr>
        <w:spacing w:after="0"/>
        <w:rPr>
          <w:rFonts w:ascii="Arial" w:hAnsi="Arial" w:cs="Arial"/>
          <w:bCs/>
        </w:rPr>
      </w:pPr>
    </w:p>
    <w:p>
      <w:pPr>
        <w:spacing w:after="0"/>
        <w:rPr>
          <w:rFonts w:ascii="Arial" w:eastAsia="맑은 고딕" w:hAnsi="Arial" w:cs="Arial"/>
          <w:bCs/>
          <w:lang w:eastAsia="ko-KR"/>
        </w:rPr>
      </w:pPr>
      <w:r>
        <w:rPr>
          <w:rFonts w:ascii="Arial" w:eastAsia="맑은 고딕" w:hAnsi="Arial" w:cs="Arial" w:hint="eastAsia"/>
          <w:bCs/>
          <w:lang w:eastAsia="ko-KR"/>
        </w:rPr>
        <w:t>RAN2#117-e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Downlink RSRP reference at the time of receiving RRCRelease with suspendConfig for the RSRP-based TA validation is determined by the MO configured for the cell where the UE is released from RRC_CONNECTED to RRC_INACTIVE.  FFS if there is any issues from RAN4 raised</w:t>
      </w: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p>
    <w:p>
      <w:pPr>
        <w:spacing w:after="0"/>
        <w:rPr>
          <w:rFonts w:ascii="Arial" w:eastAsia="맑은 고딕" w:hAnsi="Arial" w:cs="Arial"/>
          <w:bCs/>
          <w:lang w:eastAsia="ko-KR"/>
        </w:rPr>
      </w:pPr>
    </w:p>
    <w:p>
      <w:pPr>
        <w:spacing w:after="0"/>
        <w:rPr>
          <w:rFonts w:ascii="Arial" w:eastAsia="맑은 고딕" w:hAnsi="Arial" w:cs="Arial"/>
          <w:lang w:eastAsia="ko-KR"/>
        </w:rPr>
      </w:pPr>
      <w:r>
        <w:rPr>
          <w:rFonts w:ascii="Arial" w:eastAsia="맑은 고딕" w:hAnsi="Arial" w:cs="Arial" w:hint="eastAsia"/>
          <w:lang w:eastAsia="ko-KR"/>
        </w:rPr>
        <w:t xml:space="preserve">Based on the agreements, RAN2 implements the MAC CR </w:t>
      </w:r>
      <w:r>
        <w:rPr>
          <w:rFonts w:ascii="Arial" w:eastAsia="맑은 고딕" w:hAnsi="Arial" w:cs="Arial"/>
          <w:lang w:eastAsia="ko-KR"/>
        </w:rPr>
        <w:t xml:space="preserve">(R2-2204216) </w:t>
      </w:r>
      <w:r>
        <w:rPr>
          <w:rFonts w:ascii="Arial" w:eastAsia="맑은 고딕" w:hAnsi="Arial" w:cs="Arial" w:hint="eastAsia"/>
          <w:lang w:eastAsia="ko-KR"/>
        </w:rPr>
        <w:t>as shown below, which is submitted to RAN#95e for approval.</w:t>
      </w:r>
    </w:p>
    <w:p>
      <w:pPr>
        <w:spacing w:after="0"/>
        <w:rPr>
          <w:rFonts w:ascii="Arial" w:eastAsia="맑은 고딕" w:hAnsi="Arial" w:cs="Arial"/>
          <w:lang w:eastAsia="ko-KR"/>
        </w:rPr>
      </w:pPr>
    </w:p>
    <w:tbl>
      <w:tblPr>
        <w:tblStyle w:val="a8"/>
        <w:tblW w:w="0" w:type="auto"/>
        <w:tblLook w:val="04A0" w:firstRow="1" w:lastRow="0" w:firstColumn="1" w:lastColumn="0" w:noHBand="0" w:noVBand="1"/>
      </w:tblPr>
      <w:tblGrid>
        <w:gridCol w:w="9631"/>
      </w:tblGrid>
      <w:tr>
        <w:tc>
          <w:tcPr>
            <w:tcW w:w="9631" w:type="dxa"/>
          </w:tcPr>
          <w:p>
            <w:pPr>
              <w:pStyle w:val="3"/>
              <w:keepNext w:val="0"/>
              <w:keepLines w:val="0"/>
              <w:rPr>
                <w:rFonts w:eastAsia="DengXian"/>
                <w:lang w:eastAsia="zh-CN"/>
              </w:rPr>
            </w:pPr>
            <w:bookmarkStart w:id="1" w:name="_Hlk95993306"/>
            <w:r>
              <w:rPr>
                <w:rFonts w:eastAsia="DengXian" w:hint="eastAsia"/>
                <w:lang w:eastAsia="zh-CN"/>
              </w:rPr>
              <w:t>5</w:t>
            </w:r>
            <w:r>
              <w:rPr>
                <w:rFonts w:eastAsia="DengXian"/>
                <w:lang w:eastAsia="zh-CN"/>
              </w:rPr>
              <w:t>.x.1</w:t>
            </w:r>
            <w:r>
              <w:rPr>
                <w:rFonts w:eastAsia="DengXian"/>
                <w:lang w:eastAsia="zh-CN"/>
              </w:rPr>
              <w:tab/>
              <w:t>TA Validation for CG-SDT</w:t>
            </w:r>
          </w:p>
          <w:p>
            <w:pPr>
              <w:rPr>
                <w:lang w:eastAsia="ko-KR"/>
              </w:rPr>
            </w:pPr>
            <w:r>
              <w:rPr>
                <w:lang w:eastAsia="ko-KR"/>
              </w:rPr>
              <w:t>RRC configures the following parameters for validation for CG-SDT:</w:t>
            </w:r>
          </w:p>
          <w:p>
            <w:pPr>
              <w:pStyle w:val="B1"/>
              <w:rPr>
                <w:lang w:eastAsia="zh-CN"/>
              </w:rPr>
            </w:pPr>
            <w:r>
              <w:rPr>
                <w:i/>
                <w:lang w:eastAsia="zh-CN"/>
              </w:rPr>
              <w:t>-</w:t>
            </w:r>
            <w:r>
              <w:rPr>
                <w:i/>
                <w:lang w:eastAsia="zh-CN"/>
              </w:rPr>
              <w:tab/>
              <w:t>cg-SDT-RSRP-ChangeThreshold</w:t>
            </w:r>
            <w:r>
              <w:rPr>
                <w:lang w:eastAsia="zh-CN"/>
              </w:rPr>
              <w:t>: RSRP threshold for the increase/decrease of RSRP for time alignment validation.</w:t>
            </w: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configured for the serving cell as in TS 38.331.</w:t>
            </w: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calculated </w:t>
            </w:r>
            <w:r>
              <w:rPr>
                <w:rFonts w:eastAsia="DengXian"/>
                <w:highlight w:val="yellow"/>
                <w:lang w:eastAsia="zh-CN"/>
              </w:rPr>
              <w:t xml:space="preserve">as specified in </w:t>
            </w:r>
            <w:r>
              <w:rPr>
                <w:highlight w:val="yellow"/>
                <w:lang w:eastAsia="ko-KR"/>
              </w:rPr>
              <w:t>TS 38.133 [11]</w:t>
            </w:r>
            <w:r>
              <w:rPr>
                <w:lang w:eastAsia="ko-KR"/>
              </w:rPr>
              <w:t xml:space="preserve"> </w:t>
            </w:r>
            <w:r>
              <w:rPr>
                <w:rFonts w:eastAsia="DengXian"/>
                <w:lang w:eastAsia="zh-CN"/>
              </w:rPr>
              <w:t>has not increased/decreased by more than</w:t>
            </w:r>
            <w:r>
              <w:rPr>
                <w:rFonts w:eastAsia="DengXian"/>
                <w:i/>
                <w:lang w:eastAsia="zh-CN"/>
              </w:rPr>
              <w:t xml:space="preserve"> cg-SDT-RSRP-ChangeThreshold</w:t>
            </w:r>
            <w:r>
              <w:rPr>
                <w:rFonts w:eastAsia="DengXian"/>
                <w:lang w:eastAsia="zh-CN"/>
              </w:rPr>
              <w:t>, if configured;</w:t>
            </w:r>
          </w:p>
          <w:p>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cg-SDT-TimeAlignmentTimer</w:t>
            </w:r>
            <w:r>
              <w:rPr>
                <w:rFonts w:eastAsia="DengXian"/>
                <w:lang w:eastAsia="zh-CN"/>
              </w:rPr>
              <w:t xml:space="preserve"> </w:t>
            </w:r>
            <w:r>
              <w:rPr>
                <w:rFonts w:eastAsia="DengXian" w:hint="eastAsia"/>
                <w:lang w:eastAsia="zh-CN"/>
              </w:rPr>
              <w:t>is</w:t>
            </w:r>
            <w:r>
              <w:rPr>
                <w:rFonts w:eastAsia="DengXian"/>
                <w:lang w:eastAsia="zh-CN"/>
              </w:rPr>
              <w:t xml:space="preserve"> running.</w:t>
            </w:r>
            <w:bookmarkEnd w:id="1"/>
          </w:p>
        </w:tc>
      </w:tr>
    </w:tbl>
    <w:p>
      <w:pPr>
        <w:spacing w:after="0"/>
        <w:rPr>
          <w:rFonts w:ascii="Arial" w:hAnsi="Arial" w:cs="Arial"/>
          <w:lang w:eastAsia="zh-CN"/>
        </w:rPr>
      </w:pPr>
    </w:p>
    <w:p>
      <w:pPr>
        <w:spacing w:after="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RAN4 group:</w:t>
      </w:r>
    </w:p>
    <w:p>
      <w:pPr>
        <w:spacing w:after="120"/>
        <w:ind w:left="993" w:hanging="993"/>
        <w:rPr>
          <w:rFonts w:ascii="Arial" w:eastAsia="맑은 고딕" w:hAnsi="Arial" w:cs="Arial"/>
          <w:bCs/>
          <w:lang w:eastAsia="ko-KR"/>
        </w:rPr>
      </w:pPr>
      <w:r>
        <w:rPr>
          <w:rFonts w:ascii="Arial" w:hAnsi="Arial" w:cs="Arial"/>
          <w:b/>
        </w:rPr>
        <w:t xml:space="preserve">ACTION: </w:t>
      </w:r>
      <w:r>
        <w:rPr>
          <w:rFonts w:ascii="Arial" w:hAnsi="Arial" w:cs="Arial"/>
          <w:b/>
        </w:rPr>
        <w:tab/>
      </w:r>
      <w:r>
        <w:rPr>
          <w:rFonts w:ascii="Arial" w:eastAsia="맑은 고딕" w:hAnsi="Arial" w:cs="Arial" w:hint="eastAsia"/>
          <w:bCs/>
          <w:lang w:eastAsia="ko-KR"/>
        </w:rPr>
        <w:t>RAN2</w:t>
      </w:r>
      <w:r>
        <w:rPr>
          <w:rFonts w:ascii="Arial" w:eastAsia="맑은 고딕" w:hAnsi="Arial" w:cs="Arial"/>
          <w:bCs/>
          <w:lang w:eastAsia="ko-KR"/>
        </w:rPr>
        <w:t xml:space="preserve"> respectfully asks RAN4 to take the above information into account for the specification of RRM core requirements for SDT, and provide any feedback on the above agreements </w:t>
      </w:r>
      <w:r>
        <w:rPr>
          <w:rFonts w:ascii="Arial" w:eastAsia="맑은 고딕" w:hAnsi="Arial" w:cs="Arial" w:hint="eastAsia"/>
          <w:bCs/>
          <w:lang w:eastAsia="ko-KR"/>
        </w:rPr>
        <w:t>if necessary</w:t>
      </w:r>
      <w:r>
        <w:rPr>
          <w:rFonts w:ascii="Arial" w:eastAsia="맑은 고딕" w:hAnsi="Arial" w:cs="Arial"/>
          <w:bCs/>
          <w:lang w:eastAsia="ko-KR"/>
        </w:rPr>
        <w:t>.</w:t>
      </w:r>
    </w:p>
    <w:p>
      <w:pPr>
        <w:spacing w:after="0"/>
        <w:rPr>
          <w:rFonts w:ascii="Arial" w:eastAsia="맑은 고딕" w:hAnsi="Arial" w:cs="Arial"/>
          <w:bCs/>
          <w:lang w:eastAsia="ko-KR"/>
        </w:rPr>
      </w:pPr>
    </w:p>
    <w:p>
      <w:pPr>
        <w:spacing w:after="0"/>
        <w:rPr>
          <w:rFonts w:ascii="Arial" w:eastAsia="맑은 고딕" w:hAnsi="Arial" w:cs="Arial"/>
          <w:bCs/>
          <w:lang w:eastAsia="ko-KR"/>
        </w:rPr>
      </w:pPr>
    </w:p>
    <w:p>
      <w:pPr>
        <w:spacing w:after="120"/>
        <w:rPr>
          <w:rFonts w:ascii="Arial" w:hAnsi="Arial" w:cs="Arial"/>
          <w:b/>
        </w:rPr>
      </w:pPr>
      <w:r>
        <w:rPr>
          <w:rFonts w:ascii="Arial" w:hAnsi="Arial" w:cs="Arial"/>
          <w:b/>
        </w:rPr>
        <w:t>3. Dates of next TSG-RAN WG2 meetings:</w:t>
      </w:r>
    </w:p>
    <w:p>
      <w:pPr>
        <w:tabs>
          <w:tab w:val="left" w:pos="5103"/>
        </w:tabs>
        <w:spacing w:after="120"/>
        <w:ind w:left="2268" w:hanging="2268"/>
        <w:rPr>
          <w:rFonts w:ascii="Arial" w:hAnsi="Arial" w:cs="Arial"/>
          <w:bCs/>
          <w:lang w:val="en-US"/>
        </w:rPr>
      </w:pPr>
      <w:r>
        <w:rPr>
          <w:rFonts w:ascii="Arial" w:hAnsi="Arial" w:cs="Arial"/>
          <w:bCs/>
          <w:lang w:val="en-US"/>
        </w:rPr>
        <w:t>RAN2#118-e</w:t>
      </w:r>
      <w:r>
        <w:rPr>
          <w:rFonts w:ascii="Arial" w:hAnsi="Arial" w:cs="Arial"/>
          <w:bCs/>
          <w:lang w:val="en-US"/>
        </w:rPr>
        <w:tab/>
        <w:t>9 – 20 May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FD5" w16cex:dateUtc="2022-03-15T09:48:00Z"/>
  <w16cex:commentExtensible w16cex:durableId="25DB5046" w16cex:dateUtc="2022-03-15T09:49:00Z"/>
  <w16cex:commentExtensible w16cex:durableId="25DB4F63" w16cex:dateUtc="2022-03-14T02:00:00Z"/>
  <w16cex:commentExtensible w16cex:durableId="25DB50E8" w16cex:dateUtc="2022-03-15T09:52:00Z"/>
  <w16cex:commentExtensible w16cex:durableId="25DB4F64" w16cex:dateUtc="2022-03-15T07:37:00Z"/>
  <w16cex:commentExtensible w16cex:durableId="25DB518B" w16cex:dateUtc="2022-03-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1FDCE" w16cid:durableId="25DB4FD5"/>
  <w16cid:commentId w16cid:paraId="1A29519D" w16cid:durableId="25DB5046"/>
  <w16cid:commentId w16cid:paraId="6D9D168F" w16cid:durableId="25DB4F63"/>
  <w16cid:commentId w16cid:paraId="50E43CAE" w16cid:durableId="25DB50E8"/>
  <w16cid:commentId w16cid:paraId="3E776841" w16cid:durableId="25DB4F64"/>
  <w16cid:commentId w16cid:paraId="66FE8A57" w16cid:durableId="25DB51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B2D8F"/>
    <w:multiLevelType w:val="hybridMultilevel"/>
    <w:tmpl w:val="C338E24C"/>
    <w:lvl w:ilvl="0" w:tplc="2248AA46">
      <w:start w:val="185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0"/>
  </w:num>
  <w:num w:numId="7">
    <w:abstractNumId w:val="21"/>
  </w:num>
  <w:num w:numId="8">
    <w:abstractNumId w:val="32"/>
  </w:num>
  <w:num w:numId="9">
    <w:abstractNumId w:val="30"/>
  </w:num>
  <w:num w:numId="10">
    <w:abstractNumId w:val="22"/>
  </w:num>
  <w:num w:numId="11">
    <w:abstractNumId w:val="34"/>
  </w:num>
  <w:num w:numId="12">
    <w:abstractNumId w:val="37"/>
  </w:num>
  <w:num w:numId="13">
    <w:abstractNumId w:val="32"/>
  </w:num>
  <w:num w:numId="14">
    <w:abstractNumId w:val="10"/>
  </w:num>
  <w:num w:numId="15">
    <w:abstractNumId w:val="6"/>
  </w:num>
  <w:num w:numId="16">
    <w:abstractNumId w:val="4"/>
  </w:num>
  <w:num w:numId="17">
    <w:abstractNumId w:val="35"/>
  </w:num>
  <w:num w:numId="18">
    <w:abstractNumId w:val="23"/>
  </w:num>
  <w:num w:numId="19">
    <w:abstractNumId w:val="33"/>
  </w:num>
  <w:num w:numId="20">
    <w:abstractNumId w:val="29"/>
  </w:num>
  <w:num w:numId="21">
    <w:abstractNumId w:val="26"/>
  </w:num>
  <w:num w:numId="22">
    <w:abstractNumId w:val="28"/>
  </w:num>
  <w:num w:numId="23">
    <w:abstractNumId w:val="13"/>
  </w:num>
  <w:num w:numId="24">
    <w:abstractNumId w:val="24"/>
  </w:num>
  <w:num w:numId="25">
    <w:abstractNumId w:val="8"/>
  </w:num>
  <w:num w:numId="26">
    <w:abstractNumId w:val="36"/>
  </w:num>
  <w:num w:numId="27">
    <w:abstractNumId w:val="12"/>
  </w:num>
  <w:num w:numId="28">
    <w:abstractNumId w:val="11"/>
  </w:num>
  <w:num w:numId="29">
    <w:abstractNumId w:val="19"/>
  </w:num>
  <w:num w:numId="30">
    <w:abstractNumId w:val="16"/>
  </w:num>
  <w:num w:numId="31">
    <w:abstractNumId w:val="25"/>
  </w:num>
  <w:num w:numId="32">
    <w:abstractNumId w:val="27"/>
  </w:num>
  <w:num w:numId="33">
    <w:abstractNumId w:val="31"/>
  </w:num>
  <w:num w:numId="34">
    <w:abstractNumId w:val="5"/>
  </w:num>
  <w:num w:numId="35">
    <w:abstractNumId w:val="18"/>
  </w:num>
  <w:num w:numId="36">
    <w:abstractNumId w:val="9"/>
  </w:num>
  <w:num w:numId="37">
    <w:abstractNumId w:val="3"/>
  </w:num>
  <w:num w:numId="38">
    <w:abstractNumId w:val="7"/>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jMxNjKyNDA1NTVU0lEKTi0uzszPAykwqgUA5ZDLwS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styleId="aa">
    <w:name w:val="annotation reference"/>
    <w:basedOn w:val="a0"/>
    <w:rPr>
      <w:sz w:val="16"/>
      <w:szCs w:val="16"/>
    </w:rPr>
  </w:style>
  <w:style w:type="paragraph" w:styleId="ab">
    <w:name w:val="annotation text"/>
    <w:basedOn w:val="a"/>
    <w:link w:val="Char2"/>
  </w:style>
  <w:style w:type="character" w:customStyle="1" w:styleId="Char2">
    <w:name w:val="메모 텍스트 Char"/>
    <w:basedOn w:val="a0"/>
    <w:link w:val="ab"/>
    <w:rPr>
      <w:lang w:eastAsia="en-US"/>
    </w:rPr>
  </w:style>
  <w:style w:type="paragraph" w:styleId="ac">
    <w:name w:val="annotation subject"/>
    <w:basedOn w:val="ab"/>
    <w:next w:val="ab"/>
    <w:link w:val="Char3"/>
    <w:rPr>
      <w:b/>
      <w:bCs/>
    </w:rPr>
  </w:style>
  <w:style w:type="character" w:customStyle="1" w:styleId="Char3">
    <w:name w:val="메모 주제 Char"/>
    <w:basedOn w:val="Char2"/>
    <w:link w:val="ac"/>
    <w:rPr>
      <w:b/>
      <w:bCs/>
      <w:lang w:eastAsia="en-US"/>
    </w:rPr>
  </w:style>
  <w:style w:type="character" w:customStyle="1" w:styleId="3Char">
    <w:name w:val="제목 3 Char"/>
    <w:basedOn w:val="a0"/>
    <w:link w:val="3"/>
    <w:rPr>
      <w:rFonts w:ascii="Arial" w:hAnsi="Arial"/>
      <w:sz w:val="28"/>
      <w:lang w:eastAsia="en-US"/>
    </w:rPr>
  </w:style>
  <w:style w:type="paragraph" w:styleId="ad">
    <w:name w:val="Normal (Web)"/>
    <w:basedOn w:val="a"/>
    <w:uiPriority w:val="99"/>
    <w:unhideWhenUsed/>
    <w:pPr>
      <w:spacing w:before="100" w:beforeAutospacing="1" w:after="100" w:afterAutospacing="1"/>
    </w:pPr>
    <w:rPr>
      <w:sz w:val="24"/>
      <w:szCs w:val="24"/>
      <w:lang w:val="en-US" w:eastAsia="zh-CN"/>
    </w:rPr>
  </w:style>
  <w:style w:type="character" w:styleId="ae">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 w:type="paragraph" w:styleId="af">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6781158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61B4725F-0F30-45AC-B764-484A3D8D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2326</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seungjune.yi</cp:lastModifiedBy>
  <cp:revision>6</cp:revision>
  <dcterms:created xsi:type="dcterms:W3CDTF">2022-03-16T01:33:00Z</dcterms:created>
  <dcterms:modified xsi:type="dcterms:W3CDTF">2022-03-16T01:41:00Z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