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E25650" w:rsidP="000A4DEC">
            <w:pPr>
              <w:pStyle w:val="TAC"/>
              <w:rPr>
                <w:lang w:eastAsia="zh-CN"/>
              </w:rPr>
            </w:pPr>
            <w:hyperlink r:id="rId9" w:history="1">
              <w:r w:rsidR="004E0B77" w:rsidRPr="00B0680F">
                <w:rPr>
                  <w:rStyle w:val="Hyperlink"/>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E25650" w:rsidP="000A4DEC">
            <w:pPr>
              <w:pStyle w:val="TAC"/>
              <w:rPr>
                <w:lang w:eastAsia="zh-CN"/>
              </w:rPr>
            </w:pPr>
            <w:hyperlink r:id="rId10" w:history="1">
              <w:r w:rsidRPr="00436F45">
                <w:rPr>
                  <w:rStyle w:val="Hyperlink"/>
                  <w:lang w:eastAsia="zh-CN"/>
                </w:rPr>
                <w:t>Y</w:t>
              </w:r>
              <w:r w:rsidRPr="00436F45">
                <w:rPr>
                  <w:rStyle w:val="Hyperlink"/>
                  <w:rFonts w:hint="eastAsia"/>
                  <w:lang w:eastAsia="zh-CN"/>
                </w:rPr>
                <w:t>angxing1</w:t>
              </w:r>
              <w:r w:rsidRPr="00436F45">
                <w:rPr>
                  <w:rStyle w:val="Hyperlink"/>
                  <w:lang w:eastAsia="zh-CN"/>
                </w:rPr>
                <w:t>@xiaomi.com</w:t>
              </w:r>
            </w:hyperlink>
          </w:p>
        </w:tc>
      </w:tr>
      <w:tr w:rsidR="00E25650" w14:paraId="300DDA57" w14:textId="77777777">
        <w:tc>
          <w:tcPr>
            <w:tcW w:w="2386" w:type="dxa"/>
          </w:tcPr>
          <w:p w14:paraId="09DD12B9" w14:textId="1162A76E" w:rsidR="00E25650" w:rsidRDefault="00E25650" w:rsidP="000A4DEC">
            <w:pPr>
              <w:pStyle w:val="TAC"/>
              <w:rPr>
                <w:rFonts w:hint="eastAsia"/>
                <w:lang w:eastAsia="zh-CN"/>
              </w:rPr>
            </w:pPr>
            <w:r>
              <w:rPr>
                <w:lang w:eastAsia="zh-CN"/>
              </w:rPr>
              <w:t>Intel Corporation</w:t>
            </w:r>
          </w:p>
        </w:tc>
        <w:tc>
          <w:tcPr>
            <w:tcW w:w="2692" w:type="dxa"/>
          </w:tcPr>
          <w:p w14:paraId="0123F497" w14:textId="10559D74" w:rsidR="00E25650" w:rsidRDefault="00E25650" w:rsidP="000A4DEC">
            <w:pPr>
              <w:pStyle w:val="TAC"/>
              <w:rPr>
                <w:rFonts w:hint="eastAsia"/>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1"/>
          <w:pgSz w:w="11906" w:h="16838"/>
          <w:pgMar w:top="284" w:right="1418" w:bottom="1418" w:left="1418" w:header="709" w:footer="709" w:gutter="0"/>
          <w:cols w:space="720"/>
          <w:docGrid w:type="lines" w:linePitch="360"/>
        </w:sectPr>
      </w:pPr>
    </w:p>
    <w:p w14:paraId="21B069C9" w14:textId="7CFE524C" w:rsidR="00411230" w:rsidRDefault="004C67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4D83CE4E"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BodyText"/>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ListParagraph"/>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rFonts w:hint="eastAsia"/>
                <w:lang w:eastAsia="zh-CN"/>
              </w:rPr>
            </w:pPr>
            <w:r>
              <w:rPr>
                <w:lang w:eastAsia="zh-CN"/>
              </w:rPr>
              <w:t>Intel</w:t>
            </w:r>
          </w:p>
        </w:tc>
        <w:tc>
          <w:tcPr>
            <w:tcW w:w="1559" w:type="dxa"/>
            <w:shd w:val="clear" w:color="auto" w:fill="auto"/>
          </w:tcPr>
          <w:p w14:paraId="4D7B4C27" w14:textId="4E16A2A0" w:rsidR="00E25650" w:rsidRDefault="00E25650" w:rsidP="004E0B77">
            <w:pPr>
              <w:rPr>
                <w:rFonts w:hint="eastAsia"/>
                <w:lang w:eastAsia="zh-CN"/>
              </w:rPr>
            </w:pPr>
            <w:r>
              <w:rPr>
                <w:lang w:eastAsia="zh-CN"/>
              </w:rPr>
              <w:t>b)</w:t>
            </w:r>
          </w:p>
        </w:tc>
        <w:tc>
          <w:tcPr>
            <w:tcW w:w="6040" w:type="dxa"/>
          </w:tcPr>
          <w:p w14:paraId="0E2557C0" w14:textId="77777777" w:rsidR="00E25650" w:rsidRPr="00632983" w:rsidRDefault="00E25650" w:rsidP="004E0B77"/>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rFonts w:hint="eastAsia"/>
                <w:lang w:eastAsia="zh-CN"/>
              </w:rPr>
            </w:pPr>
            <w:r>
              <w:rPr>
                <w:lang w:eastAsia="zh-CN"/>
              </w:rPr>
              <w:t>Intel</w:t>
            </w:r>
          </w:p>
        </w:tc>
        <w:tc>
          <w:tcPr>
            <w:tcW w:w="1559" w:type="dxa"/>
            <w:shd w:val="clear" w:color="auto" w:fill="auto"/>
          </w:tcPr>
          <w:p w14:paraId="07522408" w14:textId="0E8A2723" w:rsidR="00E25650" w:rsidRDefault="00E25650" w:rsidP="004E0B77">
            <w:pPr>
              <w:rPr>
                <w:rFonts w:hint="eastAsia"/>
                <w:lang w:eastAsia="zh-CN"/>
              </w:rPr>
            </w:pPr>
            <w:r>
              <w:rPr>
                <w:lang w:eastAsia="zh-CN"/>
              </w:rPr>
              <w:t>a)</w:t>
            </w:r>
          </w:p>
        </w:tc>
        <w:tc>
          <w:tcPr>
            <w:tcW w:w="6040" w:type="dxa"/>
          </w:tcPr>
          <w:p w14:paraId="753D0C83" w14:textId="77777777" w:rsidR="00E25650" w:rsidRPr="00632983" w:rsidRDefault="00E25650" w:rsidP="004E0B77"/>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rFonts w:hint="eastAsia"/>
                <w:lang w:eastAsia="zh-CN"/>
              </w:rPr>
            </w:pPr>
            <w:r>
              <w:rPr>
                <w:lang w:eastAsia="zh-CN"/>
              </w:rPr>
              <w:t>Intel</w:t>
            </w:r>
          </w:p>
        </w:tc>
        <w:tc>
          <w:tcPr>
            <w:tcW w:w="1559" w:type="dxa"/>
            <w:shd w:val="clear" w:color="auto" w:fill="auto"/>
          </w:tcPr>
          <w:p w14:paraId="52347482" w14:textId="573CDB4F" w:rsidR="00E25650" w:rsidRDefault="00E25650" w:rsidP="004E0B77">
            <w:pPr>
              <w:rPr>
                <w:rFonts w:eastAsia="DengXian" w:hint="eastAsia"/>
                <w:lang w:eastAsia="zh-CN"/>
              </w:rPr>
            </w:pPr>
            <w:r>
              <w:rPr>
                <w:rFonts w:eastAsia="DengXian"/>
                <w:lang w:eastAsia="zh-CN"/>
              </w:rPr>
              <w:t>b)</w:t>
            </w:r>
          </w:p>
        </w:tc>
        <w:tc>
          <w:tcPr>
            <w:tcW w:w="6040" w:type="dxa"/>
          </w:tcPr>
          <w:p w14:paraId="416674DF" w14:textId="77777777" w:rsidR="00E25650" w:rsidRPr="00632983" w:rsidRDefault="00E25650" w:rsidP="004E0B77"/>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rFonts w:hint="eastAsia"/>
                <w:lang w:eastAsia="zh-CN"/>
              </w:rPr>
            </w:pPr>
            <w:r>
              <w:rPr>
                <w:lang w:eastAsia="zh-CN"/>
              </w:rPr>
              <w:t>Intel</w:t>
            </w:r>
          </w:p>
        </w:tc>
        <w:tc>
          <w:tcPr>
            <w:tcW w:w="1559" w:type="dxa"/>
            <w:shd w:val="clear" w:color="auto" w:fill="auto"/>
          </w:tcPr>
          <w:p w14:paraId="162AE93D" w14:textId="4229B3D1" w:rsidR="00E25650" w:rsidRDefault="00E25650" w:rsidP="004E0B77">
            <w:pPr>
              <w:rPr>
                <w:rFonts w:hint="eastAsia"/>
                <w:lang w:eastAsia="zh-CN"/>
              </w:rPr>
            </w:pPr>
            <w:r>
              <w:rPr>
                <w:lang w:eastAsia="zh-CN"/>
              </w:rPr>
              <w:t>a)</w:t>
            </w:r>
          </w:p>
        </w:tc>
        <w:tc>
          <w:tcPr>
            <w:tcW w:w="6040" w:type="dxa"/>
          </w:tcPr>
          <w:p w14:paraId="07429584" w14:textId="77777777" w:rsidR="00E25650" w:rsidRPr="00632983" w:rsidRDefault="00E25650" w:rsidP="004E0B77"/>
        </w:tc>
      </w:tr>
    </w:tbl>
    <w:p w14:paraId="57836089" w14:textId="77777777" w:rsidR="00F51EA4" w:rsidRDefault="00F51EA4" w:rsidP="00E248A4">
      <w:pPr>
        <w:pStyle w:val="BodyText"/>
        <w:spacing w:before="120" w:after="180"/>
        <w:rPr>
          <w:rFonts w:ascii="Arial" w:eastAsiaTheme="minorEastAsia" w:hAnsi="Arial" w:cs="Arial"/>
          <w:b/>
          <w:lang w:val="en-GB" w:eastAsia="zh-CN"/>
        </w:rPr>
      </w:pPr>
    </w:p>
    <w:p w14:paraId="622E82A6"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BodyText"/>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CommentText"/>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CommentText"/>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BodyText"/>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rFonts w:hint="eastAsia"/>
                <w:lang w:eastAsia="zh-CN"/>
              </w:rPr>
            </w:pPr>
            <w:r>
              <w:rPr>
                <w:lang w:eastAsia="zh-CN"/>
              </w:rPr>
              <w:t>Intel</w:t>
            </w:r>
          </w:p>
        </w:tc>
        <w:tc>
          <w:tcPr>
            <w:tcW w:w="1559" w:type="dxa"/>
            <w:shd w:val="clear" w:color="auto" w:fill="auto"/>
          </w:tcPr>
          <w:p w14:paraId="79606F5A" w14:textId="3823016C" w:rsidR="00E25650" w:rsidRDefault="00E25650" w:rsidP="004E0B77">
            <w:pPr>
              <w:rPr>
                <w:rFonts w:hint="eastAsia"/>
                <w:lang w:eastAsia="zh-CN"/>
              </w:rPr>
            </w:pPr>
            <w:r>
              <w:rPr>
                <w:lang w:eastAsia="zh-CN"/>
              </w:rPr>
              <w:t>b)</w:t>
            </w:r>
          </w:p>
        </w:tc>
        <w:tc>
          <w:tcPr>
            <w:tcW w:w="6040" w:type="dxa"/>
          </w:tcPr>
          <w:p w14:paraId="039CB946" w14:textId="77777777" w:rsidR="00E25650" w:rsidRDefault="00E25650" w:rsidP="004E0B77">
            <w:pPr>
              <w:rPr>
                <w:lang w:eastAsia="zh-CN"/>
              </w:rPr>
            </w:pP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rFonts w:hint="eastAsia"/>
                <w:lang w:eastAsia="zh-CN"/>
              </w:rPr>
            </w:pPr>
            <w:r>
              <w:rPr>
                <w:lang w:eastAsia="zh-CN"/>
              </w:rPr>
              <w:t>Intel</w:t>
            </w:r>
          </w:p>
        </w:tc>
        <w:tc>
          <w:tcPr>
            <w:tcW w:w="1559" w:type="dxa"/>
            <w:shd w:val="clear" w:color="auto" w:fill="auto"/>
          </w:tcPr>
          <w:p w14:paraId="4601BE73" w14:textId="326719FA" w:rsidR="00E25650" w:rsidRDefault="00E25650" w:rsidP="004E0B77">
            <w:pPr>
              <w:rPr>
                <w:rFonts w:hint="eastAsia"/>
                <w:lang w:eastAsia="zh-CN"/>
              </w:rPr>
            </w:pPr>
            <w:r>
              <w:rPr>
                <w:lang w:eastAsia="zh-CN"/>
              </w:rPr>
              <w:t>b)</w:t>
            </w:r>
          </w:p>
        </w:tc>
        <w:tc>
          <w:tcPr>
            <w:tcW w:w="6040" w:type="dxa"/>
          </w:tcPr>
          <w:p w14:paraId="4BF411A7" w14:textId="77777777" w:rsidR="00E25650" w:rsidRDefault="00E25650" w:rsidP="004E0B77">
            <w:pPr>
              <w:rPr>
                <w:lang w:eastAsia="zh-CN"/>
              </w:rPr>
            </w:pP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rFonts w:hint="eastAsia"/>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Heading2"/>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Default="00E25650" w:rsidP="004E0B77">
            <w:pPr>
              <w:rPr>
                <w:rFonts w:hint="eastAsia"/>
                <w:lang w:eastAsia="zh-CN"/>
              </w:rPr>
            </w:pPr>
            <w:r>
              <w:rPr>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w:t>
            </w:r>
            <w:proofErr w:type="gramStart"/>
            <w:r>
              <w:rPr>
                <w:lang w:eastAsia="zh-CN"/>
              </w:rPr>
              <w:t>similar to</w:t>
            </w:r>
            <w:proofErr w:type="gramEnd"/>
            <w:r>
              <w:rPr>
                <w:lang w:eastAsia="zh-CN"/>
              </w:rPr>
              <w:t xml:space="preserve">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rFonts w:hint="eastAsia"/>
                <w:lang w:eastAsia="zh-CN"/>
              </w:rPr>
            </w:pPr>
            <w:proofErr w:type="gramStart"/>
            <w:r>
              <w:t>That being said, if</w:t>
            </w:r>
            <w:proofErr w:type="gramEnd"/>
            <w:r>
              <w:t xml:space="preserve"> the majority prefers to not capture anything, we can follow the majority view.</w:t>
            </w: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zh-CN"/>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bl>
    <w:p w14:paraId="32109C6B" w14:textId="77777777" w:rsidR="005345B6" w:rsidRDefault="005345B6" w:rsidP="005345B6">
      <w:pPr>
        <w:rPr>
          <w:rFonts w:eastAsia="MS Mincho"/>
          <w:b/>
        </w:rPr>
      </w:pPr>
    </w:p>
    <w:p w14:paraId="086E6E47" w14:textId="24BA21D3"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ListParagraph"/>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rFonts w:hint="eastAsia"/>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proofErr w:type="gramStart"/>
            <w:r>
              <w:rPr>
                <w:lang w:eastAsia="zh-CN"/>
              </w:rPr>
              <w:t>It is clear that RAN1</w:t>
            </w:r>
            <w:proofErr w:type="gramEnd"/>
            <w:r>
              <w:rPr>
                <w:lang w:eastAsia="zh-CN"/>
              </w:rPr>
              <w:t xml:space="preserve"> has a lot of issues to go through and this falls in RAN2 scope as well, so we think it would be good to address this in RAN2.</w:t>
            </w:r>
          </w:p>
          <w:p w14:paraId="31A51CF5" w14:textId="0143874B" w:rsidR="00DF7A14" w:rsidRDefault="00DF7A14" w:rsidP="004E0B77">
            <w:pPr>
              <w:rPr>
                <w:rFonts w:hint="eastAsia"/>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bl>
    <w:p w14:paraId="3FF6F1DB" w14:textId="77777777" w:rsidR="002A1561" w:rsidRDefault="002A1561" w:rsidP="002A1561">
      <w:pPr>
        <w:pStyle w:val="CRCoverPage"/>
        <w:spacing w:after="0"/>
      </w:pPr>
    </w:p>
    <w:p w14:paraId="7B46482C" w14:textId="200C3925" w:rsidR="002A1561" w:rsidRDefault="002A1561" w:rsidP="002A1561">
      <w:pPr>
        <w:pStyle w:val="Heading2"/>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rFonts w:hint="eastAsia"/>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Heading2"/>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zh-CN"/>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rFonts w:hint="eastAsia"/>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bl>
    <w:p w14:paraId="08BD4463" w14:textId="74EAC37F" w:rsidR="00411230" w:rsidRDefault="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BodyText"/>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BodyText"/>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BodyText"/>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BodyText"/>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BodyText"/>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sidelink grant(s) cannot fulfil the latency requirement associated to the IUC reporting</w:t>
      </w:r>
    </w:p>
    <w:p w14:paraId="2C783DAC"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BodyText"/>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ListParagraph"/>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696E7" w14:textId="77777777" w:rsidR="005A7E30" w:rsidRDefault="005A7E30">
      <w:pPr>
        <w:spacing w:after="0" w:line="240" w:lineRule="auto"/>
      </w:pPr>
      <w:r>
        <w:separator/>
      </w:r>
    </w:p>
  </w:endnote>
  <w:endnote w:type="continuationSeparator" w:id="0">
    <w:p w14:paraId="46E2A9F3" w14:textId="77777777" w:rsidR="005A7E30" w:rsidRDefault="005A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4866D" w14:textId="77777777" w:rsidR="005A7E30" w:rsidRDefault="005A7E30">
      <w:pPr>
        <w:spacing w:after="0" w:line="240" w:lineRule="auto"/>
      </w:pPr>
      <w:r>
        <w:separator/>
      </w:r>
    </w:p>
  </w:footnote>
  <w:footnote w:type="continuationSeparator" w:id="0">
    <w:p w14:paraId="51DFDE2F" w14:textId="77777777" w:rsidR="005A7E30" w:rsidRDefault="005A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385F" w14:textId="77777777" w:rsidR="00E25650" w:rsidRDefault="00E2565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0"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3"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1"/>
  </w:num>
  <w:num w:numId="2">
    <w:abstractNumId w:val="29"/>
  </w:num>
  <w:num w:numId="3">
    <w:abstractNumId w:val="25"/>
  </w:num>
  <w:num w:numId="4">
    <w:abstractNumId w:val="40"/>
  </w:num>
  <w:num w:numId="5">
    <w:abstractNumId w:val="39"/>
  </w:num>
  <w:num w:numId="6">
    <w:abstractNumId w:val="28"/>
  </w:num>
  <w:num w:numId="7">
    <w:abstractNumId w:val="22"/>
  </w:num>
  <w:num w:numId="8">
    <w:abstractNumId w:val="33"/>
  </w:num>
  <w:num w:numId="9">
    <w:abstractNumId w:val="42"/>
  </w:num>
  <w:num w:numId="10">
    <w:abstractNumId w:val="18"/>
  </w:num>
  <w:num w:numId="11">
    <w:abstractNumId w:val="26"/>
  </w:num>
  <w:num w:numId="12">
    <w:abstractNumId w:val="13"/>
  </w:num>
  <w:num w:numId="13">
    <w:abstractNumId w:val="30"/>
  </w:num>
  <w:num w:numId="14">
    <w:abstractNumId w:val="37"/>
  </w:num>
  <w:num w:numId="15">
    <w:abstractNumId w:val="5"/>
  </w:num>
  <w:num w:numId="16">
    <w:abstractNumId w:val="20"/>
  </w:num>
  <w:num w:numId="17">
    <w:abstractNumId w:val="35"/>
  </w:num>
  <w:num w:numId="18">
    <w:abstractNumId w:val="15"/>
  </w:num>
  <w:num w:numId="19">
    <w:abstractNumId w:val="4"/>
  </w:num>
  <w:num w:numId="20">
    <w:abstractNumId w:val="24"/>
  </w:num>
  <w:num w:numId="21">
    <w:abstractNumId w:val="38"/>
  </w:num>
  <w:num w:numId="22">
    <w:abstractNumId w:val="11"/>
  </w:num>
  <w:num w:numId="23">
    <w:abstractNumId w:val="12"/>
  </w:num>
  <w:num w:numId="24">
    <w:abstractNumId w:val="14"/>
  </w:num>
  <w:num w:numId="25">
    <w:abstractNumId w:val="1"/>
  </w:num>
  <w:num w:numId="26">
    <w:abstractNumId w:val="3"/>
  </w:num>
  <w:num w:numId="27">
    <w:abstractNumId w:val="27"/>
  </w:num>
  <w:num w:numId="28">
    <w:abstractNumId w:val="34"/>
  </w:num>
  <w:num w:numId="29">
    <w:abstractNumId w:val="23"/>
  </w:num>
  <w:num w:numId="30">
    <w:abstractNumId w:val="19"/>
  </w:num>
  <w:num w:numId="31">
    <w:abstractNumId w:val="0"/>
  </w:num>
  <w:num w:numId="32">
    <w:abstractNumId w:val="9"/>
  </w:num>
  <w:num w:numId="33">
    <w:abstractNumId w:val="36"/>
  </w:num>
  <w:num w:numId="34">
    <w:abstractNumId w:val="21"/>
  </w:num>
  <w:num w:numId="35">
    <w:abstractNumId w:val="6"/>
  </w:num>
  <w:num w:numId="36">
    <w:abstractNumId w:val="32"/>
  </w:num>
  <w:num w:numId="37">
    <w:abstractNumId w:val="43"/>
  </w:num>
  <w:num w:numId="38">
    <w:abstractNumId w:val="17"/>
  </w:num>
  <w:num w:numId="39">
    <w:abstractNumId w:val="16"/>
  </w:num>
  <w:num w:numId="40">
    <w:abstractNumId w:val="10"/>
  </w:num>
  <w:num w:numId="41">
    <w:abstractNumId w:val="2"/>
  </w:num>
  <w:num w:numId="42">
    <w:abstractNumId w:val="31"/>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customStyle="1" w:styleId="2">
    <w:name w:val="未处理的提及2"/>
    <w:basedOn w:val="DefaultParagraphFont"/>
    <w:uiPriority w:val="99"/>
    <w:semiHidden/>
    <w:unhideWhenUsed/>
    <w:rsid w:val="00931882"/>
    <w:rPr>
      <w:color w:val="605E5C"/>
      <w:shd w:val="clear" w:color="auto" w:fill="E1DFDD"/>
    </w:rPr>
  </w:style>
  <w:style w:type="table" w:customStyle="1" w:styleId="12">
    <w:name w:val="网格型1"/>
    <w:basedOn w:val="TableNormal"/>
    <w:next w:val="TableGrid"/>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styleId="UnresolvedMention">
    <w:name w:val="Unresolved Mention"/>
    <w:basedOn w:val="DefaultParagraphFont"/>
    <w:uiPriority w:val="99"/>
    <w:semiHidden/>
    <w:unhideWhenUsed/>
    <w:rsid w:val="00E2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E47C7E1-96BB-476C-AA77-D9E3532FC4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4577</Words>
  <Characters>26089</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Intel-AA</cp:lastModifiedBy>
  <cp:revision>2</cp:revision>
  <cp:lastPrinted>2011-08-03T09:36:00Z</cp:lastPrinted>
  <dcterms:created xsi:type="dcterms:W3CDTF">2022-02-09T20:30:00Z</dcterms:created>
  <dcterms:modified xsi:type="dcterms:W3CDTF">2022-02-09T20:30:00Z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