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rsidR="00BD3EAF" w:rsidRDefault="00B04E38">
      <w:pPr>
        <w:pStyle w:val="3GPPHeader"/>
        <w:rPr>
          <w:sz w:val="22"/>
          <w:szCs w:val="22"/>
          <w:lang w:val="en-US"/>
        </w:rPr>
      </w:pPr>
      <w:r>
        <w:rPr>
          <w:sz w:val="22"/>
          <w:szCs w:val="22"/>
          <w:lang w:val="en-US"/>
        </w:rPr>
        <w:t>Agenda Item:</w:t>
      </w:r>
      <w:r>
        <w:rPr>
          <w:sz w:val="22"/>
          <w:szCs w:val="22"/>
          <w:lang w:val="en-US"/>
        </w:rPr>
        <w:tab/>
        <w:t>8.5.1</w:t>
      </w:r>
    </w:p>
    <w:p w:rsidR="00BD3EAF" w:rsidRDefault="00B04E38">
      <w:pPr>
        <w:pStyle w:val="3GPPHeader"/>
        <w:rPr>
          <w:sz w:val="22"/>
          <w:szCs w:val="22"/>
          <w:lang w:val="en-US"/>
        </w:rPr>
      </w:pPr>
      <w:r>
        <w:rPr>
          <w:sz w:val="22"/>
          <w:szCs w:val="22"/>
          <w:lang w:val="en-US"/>
        </w:rPr>
        <w:t>Source:</w:t>
      </w:r>
      <w:r>
        <w:rPr>
          <w:sz w:val="22"/>
          <w:szCs w:val="22"/>
          <w:lang w:val="en-US"/>
        </w:rPr>
        <w:tab/>
        <w:t>Ericsson</w:t>
      </w:r>
    </w:p>
    <w:p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rsidR="00BD3EAF" w:rsidRDefault="00B04E38">
      <w:pPr>
        <w:pStyle w:val="Heading1"/>
        <w:rPr>
          <w:lang w:val="en-US"/>
        </w:rPr>
      </w:pPr>
      <w:r>
        <w:rPr>
          <w:lang w:val="en-US"/>
        </w:rPr>
        <w:t>1</w:t>
      </w:r>
      <w:r>
        <w:rPr>
          <w:lang w:val="en-US"/>
        </w:rPr>
        <w:tab/>
        <w:t>Introduction</w:t>
      </w:r>
    </w:p>
    <w:p w:rsidR="00BD3EAF" w:rsidRDefault="00B04E38">
      <w:pPr>
        <w:spacing w:before="120"/>
        <w:rPr>
          <w:rFonts w:cs="Arial"/>
          <w:lang w:val="en-US"/>
        </w:rPr>
      </w:pPr>
      <w:bookmarkStart w:id="0" w:name="_Ref178064866"/>
      <w:r>
        <w:rPr>
          <w:rFonts w:cs="Arial"/>
          <w:lang w:val="en-US"/>
        </w:rPr>
        <w:t>This contribution summarizes the following discussion:</w:t>
      </w:r>
    </w:p>
    <w:p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rsidR="00BD3EAF" w:rsidRDefault="00B04E38">
      <w:pPr>
        <w:pStyle w:val="EmailDiscussion2"/>
        <w:ind w:left="1619" w:firstLine="0"/>
        <w:rPr>
          <w:lang w:val="en-US"/>
        </w:rPr>
      </w:pPr>
      <w:r>
        <w:rPr>
          <w:lang w:val="en-US"/>
        </w:rPr>
        <w:t>Scope:</w:t>
      </w:r>
    </w:p>
    <w:p w:rsidR="00BD3EAF" w:rsidRDefault="00B04E38">
      <w:pPr>
        <w:pStyle w:val="EmailDiscussion2"/>
        <w:ind w:left="1619" w:firstLine="0"/>
        <w:rPr>
          <w:lang w:val="en-US"/>
        </w:rPr>
      </w:pPr>
      <w:r>
        <w:rPr>
          <w:lang w:val="en-US"/>
        </w:rPr>
        <w:t>- List of critical open issues to be resolved for WI completion (including UE capabilities)</w:t>
      </w:r>
    </w:p>
    <w:p w:rsidR="00BD3EAF" w:rsidRDefault="00B04E38">
      <w:pPr>
        <w:pStyle w:val="EmailDiscussion2"/>
        <w:ind w:left="1619" w:firstLine="0"/>
        <w:rPr>
          <w:lang w:val="en-US"/>
        </w:rPr>
      </w:pPr>
      <w:r>
        <w:rPr>
          <w:lang w:val="en-US"/>
        </w:rPr>
        <w:t xml:space="preserve">- Updated CR 38.331 for information and review </w:t>
      </w:r>
    </w:p>
    <w:p w:rsidR="00BD3EAF" w:rsidRDefault="00B04E38">
      <w:pPr>
        <w:pStyle w:val="EmailDiscussion2"/>
        <w:ind w:left="1619" w:firstLine="0"/>
        <w:rPr>
          <w:lang w:val="en-US"/>
        </w:rPr>
      </w:pPr>
      <w:r>
        <w:rPr>
          <w:lang w:val="en-US"/>
        </w:rPr>
        <w:t>NOTE: NO contributions on these critical open issues are expected</w:t>
      </w:r>
    </w:p>
    <w:p w:rsidR="00BD3EAF" w:rsidRDefault="00B04E38">
      <w:pPr>
        <w:pStyle w:val="EmailDiscussion2"/>
        <w:ind w:left="1619" w:firstLine="0"/>
        <w:rPr>
          <w:lang w:val="en-US"/>
        </w:rPr>
      </w:pPr>
      <w:r>
        <w:rPr>
          <w:lang w:val="en-US"/>
        </w:rPr>
        <w:t>Deadline:</w:t>
      </w:r>
    </w:p>
    <w:p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rsidR="00BD3EAF" w:rsidRDefault="00BD3EAF">
      <w:pPr>
        <w:pStyle w:val="Doc-text2"/>
        <w:rPr>
          <w:lang w:val="en-US"/>
        </w:rPr>
      </w:pPr>
    </w:p>
    <w:p w:rsidR="00BD3EAF" w:rsidRDefault="00B04E38">
      <w:pPr>
        <w:pStyle w:val="EmailDiscussion2"/>
        <w:ind w:left="0" w:firstLine="0"/>
        <w:rPr>
          <w:lang w:val="en-US"/>
        </w:rPr>
      </w:pPr>
      <w:r>
        <w:rPr>
          <w:lang w:val="en-US"/>
        </w:rPr>
        <w:t>Contact person(s) for each participating company:</w:t>
      </w:r>
    </w:p>
    <w:p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trPr>
          <w:trHeight w:val="421"/>
        </w:trPr>
        <w:tc>
          <w:tcPr>
            <w:tcW w:w="1628" w:type="dxa"/>
            <w:shd w:val="clear" w:color="auto" w:fill="00B0F0"/>
            <w:tcMar>
              <w:top w:w="0" w:type="dxa"/>
              <w:left w:w="108" w:type="dxa"/>
              <w:bottom w:w="0" w:type="dxa"/>
              <w:right w:w="108" w:type="dxa"/>
            </w:tcMar>
            <w:vAlign w:val="center"/>
          </w:tcPr>
          <w:p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rsidR="00BD3EAF" w:rsidRDefault="00B04E38">
            <w:pPr>
              <w:pStyle w:val="BodyText"/>
              <w:spacing w:after="0" w:line="240" w:lineRule="auto"/>
              <w:jc w:val="center"/>
              <w:rPr>
                <w:rFonts w:cs="Arial"/>
                <w:b/>
                <w:bCs/>
                <w:lang w:val="en-US"/>
              </w:rPr>
            </w:pPr>
            <w:r>
              <w:rPr>
                <w:rFonts w:cs="Arial"/>
                <w:b/>
                <w:bCs/>
                <w:lang w:val="en-US"/>
              </w:rPr>
              <w:t>Email</w:t>
            </w:r>
          </w:p>
        </w:tc>
      </w:tr>
      <w:tr w:rsidR="00BD3EAF">
        <w:trPr>
          <w:trHeight w:val="501"/>
        </w:trPr>
        <w:tc>
          <w:tcPr>
            <w:tcW w:w="1628" w:type="dxa"/>
            <w:tcMar>
              <w:top w:w="0" w:type="dxa"/>
              <w:left w:w="108" w:type="dxa"/>
              <w:bottom w:w="0" w:type="dxa"/>
              <w:right w:w="108" w:type="dxa"/>
            </w:tcMar>
            <w:vAlign w:val="center"/>
          </w:tcPr>
          <w:p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rsidR="00BD3EAF" w:rsidRDefault="00B04E38">
            <w:pPr>
              <w:spacing w:before="120" w:after="120"/>
              <w:jc w:val="center"/>
              <w:rPr>
                <w:lang w:val="en-US"/>
              </w:rPr>
            </w:pPr>
            <w:r>
              <w:rPr>
                <w:lang w:val="en-US"/>
              </w:rPr>
              <w:t>Zhenhua Zou</w:t>
            </w:r>
          </w:p>
        </w:tc>
        <w:tc>
          <w:tcPr>
            <w:tcW w:w="5371" w:type="dxa"/>
            <w:vAlign w:val="center"/>
          </w:tcPr>
          <w:p w:rsidR="00BD3EAF" w:rsidRDefault="00B04E38">
            <w:pPr>
              <w:spacing w:before="120" w:after="120"/>
              <w:jc w:val="center"/>
              <w:rPr>
                <w:lang w:val="en-US"/>
              </w:rPr>
            </w:pPr>
            <w:r>
              <w:rPr>
                <w:lang w:val="en-US"/>
              </w:rPr>
              <w:t>zhenhua.zou@ericsson.com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Sherif ElAzzouni</w:t>
            </w:r>
          </w:p>
        </w:tc>
        <w:tc>
          <w:tcPr>
            <w:tcW w:w="5371" w:type="dxa"/>
            <w:vAlign w:val="center"/>
          </w:tcPr>
          <w:p w:rsidR="00BD3EAF" w:rsidRDefault="00B04E38">
            <w:pPr>
              <w:spacing w:before="120" w:after="120"/>
              <w:jc w:val="center"/>
              <w:rPr>
                <w:lang w:val="en-US" w:eastAsia="zh-CN"/>
              </w:rPr>
            </w:pPr>
            <w:r>
              <w:rPr>
                <w:lang w:val="en-US" w:eastAsia="zh-CN"/>
              </w:rPr>
              <w:t>selazzou@qti.qualcomm.com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rsidR="00BD3EAF" w:rsidRDefault="00B04E38">
            <w:pPr>
              <w:spacing w:before="120" w:after="120"/>
              <w:jc w:val="center"/>
              <w:rPr>
                <w:lang w:val="en-US" w:eastAsia="zh-CN"/>
              </w:rPr>
            </w:pPr>
            <w:r>
              <w:rPr>
                <w:rFonts w:hint="eastAsia"/>
                <w:lang w:val="en-US" w:eastAsia="zh-CN"/>
              </w:rPr>
              <w:t>lu.ting@zte.com.cn</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Ping-Heng Wallace Kuo</w:t>
            </w:r>
          </w:p>
        </w:tc>
        <w:tc>
          <w:tcPr>
            <w:tcW w:w="5371" w:type="dxa"/>
            <w:vAlign w:val="center"/>
          </w:tcPr>
          <w:p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trPr>
          <w:trHeight w:val="467"/>
        </w:trPr>
        <w:tc>
          <w:tcPr>
            <w:tcW w:w="1628" w:type="dxa"/>
            <w:tcMar>
              <w:top w:w="0" w:type="dxa"/>
              <w:left w:w="108" w:type="dxa"/>
              <w:bottom w:w="0" w:type="dxa"/>
              <w:right w:w="108" w:type="dxa"/>
            </w:tcMar>
            <w:vAlign w:val="center"/>
          </w:tcPr>
          <w:p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rsidR="00350F68" w:rsidRDefault="00350F68">
            <w:pPr>
              <w:spacing w:before="120" w:after="120"/>
              <w:jc w:val="center"/>
              <w:rPr>
                <w:lang w:val="en-US" w:eastAsia="zh-CN"/>
              </w:rPr>
            </w:pPr>
            <w:r>
              <w:rPr>
                <w:lang w:val="en-US" w:eastAsia="zh-CN"/>
              </w:rPr>
              <w:t>Boubacar Kimba</w:t>
            </w:r>
          </w:p>
        </w:tc>
        <w:tc>
          <w:tcPr>
            <w:tcW w:w="5371" w:type="dxa"/>
            <w:vAlign w:val="center"/>
          </w:tcPr>
          <w:p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trPr>
          <w:trHeight w:val="467"/>
        </w:trPr>
        <w:tc>
          <w:tcPr>
            <w:tcW w:w="1628" w:type="dxa"/>
            <w:tcMar>
              <w:top w:w="0" w:type="dxa"/>
              <w:left w:w="108" w:type="dxa"/>
              <w:bottom w:w="0" w:type="dxa"/>
              <w:right w:w="108" w:type="dxa"/>
            </w:tcMar>
            <w:vAlign w:val="center"/>
          </w:tcPr>
          <w:p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rsidR="00F440B2" w:rsidRDefault="00F440B2">
            <w:pPr>
              <w:spacing w:before="120" w:after="120"/>
              <w:jc w:val="center"/>
              <w:rPr>
                <w:lang w:val="en-US" w:eastAsia="zh-CN"/>
              </w:rPr>
            </w:pPr>
            <w:r>
              <w:rPr>
                <w:lang w:val="en-US" w:eastAsia="zh-CN"/>
              </w:rPr>
              <w:t>Yumin Wu</w:t>
            </w:r>
          </w:p>
        </w:tc>
        <w:tc>
          <w:tcPr>
            <w:tcW w:w="5371" w:type="dxa"/>
            <w:vAlign w:val="center"/>
          </w:tcPr>
          <w:p w:rsidR="00F440B2" w:rsidRDefault="00F440B2">
            <w:pPr>
              <w:spacing w:before="120" w:after="120"/>
              <w:jc w:val="center"/>
              <w:rPr>
                <w:rFonts w:eastAsia="Malgun Gothic"/>
                <w:lang w:val="en-US" w:eastAsia="ko-KR"/>
              </w:rPr>
            </w:pPr>
            <w:r>
              <w:rPr>
                <w:rFonts w:eastAsia="Malgun Gothic"/>
                <w:lang w:val="en-US" w:eastAsia="ko-KR"/>
              </w:rPr>
              <w:t>wuyumin@xiaomi.com</w:t>
            </w:r>
          </w:p>
        </w:tc>
      </w:tr>
    </w:tbl>
    <w:p w:rsidR="00BD3EAF" w:rsidRDefault="00BD3EAF">
      <w:pPr>
        <w:pStyle w:val="EmailDiscussion2"/>
        <w:ind w:left="0" w:firstLine="0"/>
        <w:rPr>
          <w:lang w:val="en-US"/>
        </w:rPr>
      </w:pPr>
    </w:p>
    <w:p w:rsidR="00BD3EAF" w:rsidRDefault="00B04E38">
      <w:pPr>
        <w:pStyle w:val="Heading1"/>
        <w:rPr>
          <w:lang w:val="en-US"/>
        </w:rPr>
      </w:pPr>
      <w:r>
        <w:rPr>
          <w:lang w:val="en-US"/>
        </w:rPr>
        <w:t>2</w:t>
      </w:r>
      <w:r>
        <w:rPr>
          <w:lang w:val="en-US"/>
        </w:rPr>
        <w:tab/>
        <w:t>Discussion</w:t>
      </w:r>
    </w:p>
    <w:p w:rsidR="00BD3EAF" w:rsidRDefault="00B04E38">
      <w:pPr>
        <w:pStyle w:val="Heading2"/>
        <w:rPr>
          <w:lang w:val="en-US"/>
        </w:rPr>
      </w:pPr>
      <w:r>
        <w:rPr>
          <w:lang w:val="en-US"/>
        </w:rPr>
        <w:t>2.1</w:t>
      </w:r>
      <w:r>
        <w:rPr>
          <w:lang w:val="en-US"/>
        </w:rPr>
        <w:tab/>
        <w:t xml:space="preserve">Time sync </w:t>
      </w:r>
    </w:p>
    <w:p w:rsidR="00BD3EAF" w:rsidRDefault="00B04E38">
      <w:pPr>
        <w:pStyle w:val="Heading3"/>
        <w:rPr>
          <w:lang w:val="en-US"/>
        </w:rPr>
      </w:pPr>
      <w:r>
        <w:rPr>
          <w:lang w:val="en-US"/>
        </w:rPr>
        <w:t>2.1.1 Issue 1: UE Rx-Tx time difference measurement report</w:t>
      </w:r>
    </w:p>
    <w:p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before="120" w:after="0"/>
              <w:rPr>
                <w:rFonts w:cs="Arial"/>
                <w:sz w:val="20"/>
                <w:szCs w:val="20"/>
              </w:rPr>
            </w:pPr>
            <w:r>
              <w:rPr>
                <w:rFonts w:cs="Arial"/>
                <w:sz w:val="20"/>
                <w:szCs w:val="20"/>
              </w:rPr>
              <w:lastRenderedPageBreak/>
              <w:t xml:space="preserve">Both RTT-based UE side PDC and RTT-based gNB side PDC are supported.  RRT-based gNB side PDC has to be a simple solution and converge by February meeting.  </w:t>
            </w:r>
          </w:p>
          <w:p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rsidR="00BD3EAF" w:rsidRDefault="00B04E38">
            <w:pPr>
              <w:spacing w:before="120" w:after="0"/>
              <w:rPr>
                <w:rFonts w:cs="Arial"/>
              </w:rPr>
            </w:pPr>
            <w:r>
              <w:rPr>
                <w:rFonts w:cs="Arial"/>
                <w:sz w:val="20"/>
                <w:szCs w:val="20"/>
              </w:rPr>
              <w:t>No need to introduce additional activation for RTT measurement in UE side.</w:t>
            </w:r>
          </w:p>
        </w:tc>
      </w:tr>
    </w:tbl>
    <w:p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rsidR="00BD3EAF" w:rsidRPr="00350F68" w:rsidRDefault="00BD3EAF">
      <w:pPr>
        <w:pStyle w:val="Doc-text2"/>
        <w:spacing w:before="120"/>
        <w:ind w:left="0" w:firstLine="0"/>
        <w:rPr>
          <w:rFonts w:eastAsiaTheme="minorEastAsia" w:cs="Arial"/>
          <w:lang w:val="en-US"/>
        </w:rPr>
      </w:pPr>
    </w:p>
    <w:p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rsidR="00BD3EAF" w:rsidRDefault="00BD3EAF">
      <w:pPr>
        <w:pStyle w:val="Doc-text2"/>
        <w:spacing w:before="120"/>
        <w:ind w:left="0" w:firstLine="0"/>
        <w:rPr>
          <w:rFonts w:cs="Arial"/>
          <w:u w:val="single"/>
          <w:lang w:val="en-US" w:eastAsia="en-GB"/>
        </w:rPr>
      </w:pPr>
    </w:p>
    <w:p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rsidR="00BD3EAF" w:rsidRDefault="00B04E38">
      <w:pPr>
        <w:pStyle w:val="Doc-text2"/>
        <w:numPr>
          <w:ilvl w:val="0"/>
          <w:numId w:val="16"/>
        </w:numPr>
        <w:rPr>
          <w:rFonts w:eastAsiaTheme="minorEastAsia" w:cs="Arial"/>
        </w:rPr>
      </w:pPr>
      <w:r>
        <w:rPr>
          <w:rFonts w:cs="Arial"/>
          <w:lang w:val="en-US" w:eastAsia="en-GB"/>
        </w:rPr>
        <w:t>Arguments against:</w:t>
      </w:r>
    </w:p>
    <w:p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rsidR="00BD3EAF" w:rsidRDefault="00BD3EAF">
      <w:pPr>
        <w:pStyle w:val="Doc-text2"/>
        <w:ind w:left="0" w:firstLine="0"/>
        <w:rPr>
          <w:rFonts w:cs="Arial"/>
          <w:lang w:val="en-US" w:eastAsia="en-GB"/>
        </w:rPr>
      </w:pPr>
    </w:p>
    <w:p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rsidR="00BD3EAF" w:rsidRPr="00350F68" w:rsidRDefault="00882D20">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lastRenderedPageBreak/>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Alt1 or Alt2 or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rsidR="00BD3EAF" w:rsidRDefault="00B04E38">
            <w:pPr>
              <w:spacing w:after="0"/>
              <w:rPr>
                <w:rFonts w:cs="Arial"/>
                <w:sz w:val="20"/>
                <w:szCs w:val="20"/>
                <w:lang w:val="en-US"/>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rsidR="00BD3EAF" w:rsidRDefault="00BD3EAF">
            <w:pPr>
              <w:spacing w:after="0"/>
              <w:rPr>
                <w:rFonts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w:t>
            </w:r>
            <w:r>
              <w:rPr>
                <w:rFonts w:eastAsiaTheme="minorEastAsia" w:cs="Arial"/>
                <w:sz w:val="20"/>
                <w:szCs w:val="20"/>
                <w:lang w:val="en-US" w:eastAsia="zh-CN"/>
              </w:rPr>
              <w:lastRenderedPageBreak/>
              <w:t>the means to do an Rx-Tx measurement, and the gNB will be able to set the periodicity based on e.g., statistics of the calculated RTT.</w:t>
            </w:r>
          </w:p>
          <w:p w:rsidR="00BD3EAF" w:rsidRDefault="00BD3EAF">
            <w:pPr>
              <w:spacing w:after="0"/>
              <w:rPr>
                <w:rFonts w:cs="Arial"/>
                <w:sz w:val="20"/>
                <w:szCs w:val="20"/>
                <w:lang w:val="en-US" w:eastAsia="zh-CN"/>
              </w:rPr>
            </w:pPr>
          </w:p>
        </w:tc>
      </w:tr>
      <w:tr w:rsidR="00BD3EAF">
        <w:tc>
          <w:tcPr>
            <w:tcW w:w="1219"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rsidR="00BD3EAF" w:rsidRDefault="00B04E38">
            <w:pPr>
              <w:spacing w:after="0"/>
              <w:rPr>
                <w:rFonts w:eastAsiaTheme="minorEastAsia" w:cs="Arial"/>
                <w:sz w:val="20"/>
                <w:szCs w:val="20"/>
                <w:lang w:val="en-US" w:eastAsia="ko-KR"/>
              </w:rPr>
            </w:pPr>
            <w:r>
              <w:rPr>
                <w:rFonts w:hint="eastAsia"/>
                <w:lang w:val="en-US" w:eastAsia="zh-CN"/>
              </w:rPr>
              <w:t xml:space="preserve">We see no strong motivation to </w:t>
            </w:r>
            <w:bookmarkStart w:id="1" w:name="OLE_LINK1"/>
            <w:r>
              <w:rPr>
                <w:rFonts w:hint="eastAsia"/>
                <w:lang w:val="en-US" w:eastAsia="zh-CN"/>
              </w:rPr>
              <w:t xml:space="preserve">define </w:t>
            </w:r>
            <w:bookmarkEnd w:id="1"/>
            <w:r>
              <w:rPr>
                <w:rFonts w:hint="eastAsia"/>
                <w:lang w:val="en-US" w:eastAsia="zh-CN"/>
              </w:rPr>
              <w:t xml:space="preserve">a different solution for RTT based PDC in Release 17. </w:t>
            </w:r>
          </w:p>
        </w:tc>
      </w:tr>
      <w:tr w:rsidR="00BD3EAF">
        <w:tc>
          <w:tcPr>
            <w:tcW w:w="1219" w:type="dxa"/>
          </w:tcPr>
          <w:p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tc>
          <w:tcPr>
            <w:tcW w:w="1219" w:type="dxa"/>
          </w:tcPr>
          <w:p w:rsidR="00BD3EAF" w:rsidRPr="00A850B4" w:rsidRDefault="00BD3EAF">
            <w:pPr>
              <w:spacing w:after="0"/>
              <w:rPr>
                <w:rFonts w:eastAsia="Malgun Gothic" w:cs="Arial"/>
                <w:lang w:val="en-US" w:eastAsia="ko-KR"/>
              </w:rPr>
            </w:pPr>
          </w:p>
        </w:tc>
        <w:tc>
          <w:tcPr>
            <w:tcW w:w="1895" w:type="dxa"/>
          </w:tcPr>
          <w:p w:rsidR="00BD3EAF" w:rsidRPr="00A850B4" w:rsidRDefault="00BD3EAF">
            <w:pPr>
              <w:spacing w:after="0"/>
              <w:rPr>
                <w:rFonts w:eastAsia="Malgun Gothic" w:cs="Arial"/>
                <w:lang w:val="en-US" w:eastAsia="ko-KR"/>
              </w:rPr>
            </w:pPr>
          </w:p>
        </w:tc>
        <w:tc>
          <w:tcPr>
            <w:tcW w:w="6520" w:type="dxa"/>
          </w:tcPr>
          <w:p w:rsidR="00BD3EAF" w:rsidRPr="00A850B4"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tc>
          <w:tcPr>
            <w:tcW w:w="1219" w:type="dxa"/>
          </w:tcPr>
          <w:p w:rsidR="00BD3EAF" w:rsidRDefault="00BD3EAF">
            <w:pPr>
              <w:spacing w:after="0"/>
              <w:rPr>
                <w:rFonts w:cs="Arial"/>
                <w:sz w:val="20"/>
                <w:szCs w:val="20"/>
                <w:lang w:val="en-US" w:eastAsia="zh-CN"/>
              </w:rPr>
            </w:pPr>
          </w:p>
        </w:tc>
        <w:tc>
          <w:tcPr>
            <w:tcW w:w="6520" w:type="dxa"/>
          </w:tcPr>
          <w:p w:rsidR="00BD3EAF" w:rsidRDefault="00BD3EAF">
            <w:pPr>
              <w:spacing w:after="0"/>
              <w:rPr>
                <w:rFonts w:cs="Arial"/>
                <w:sz w:val="20"/>
                <w:szCs w:val="20"/>
                <w:lang w:val="en-US" w:eastAsia="zh-CN"/>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r w:rsidR="00BD3EAF">
        <w:tc>
          <w:tcPr>
            <w:tcW w:w="1219" w:type="dxa"/>
          </w:tcPr>
          <w:p w:rsidR="00BD3EAF" w:rsidRDefault="00BD3EAF">
            <w:pPr>
              <w:spacing w:after="0"/>
              <w:rPr>
                <w:rFonts w:eastAsia="Malgun Gothic" w:cs="Arial"/>
                <w:sz w:val="20"/>
                <w:szCs w:val="20"/>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Default="00BD3EAF">
      <w:pPr>
        <w:pStyle w:val="Doc-text2"/>
        <w:ind w:left="0" w:firstLine="0"/>
        <w:rPr>
          <w:lang w:val="en-US" w:eastAsia="en-GB"/>
        </w:rPr>
      </w:pPr>
    </w:p>
    <w:p w:rsidR="00BD3EAF" w:rsidRDefault="00B04E38">
      <w:pPr>
        <w:pStyle w:val="Heading3"/>
        <w:rPr>
          <w:lang w:val="en-US" w:eastAsia="en-GB"/>
        </w:rPr>
      </w:pPr>
      <w:r>
        <w:rPr>
          <w:lang w:val="en-US" w:eastAsia="en-GB"/>
        </w:rPr>
        <w:t>2.1.2 Issue 2, reception of both dedicated signalling and SIB9</w:t>
      </w:r>
    </w:p>
    <w:p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lastRenderedPageBreak/>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rsidR="00BD3EAF" w:rsidRDefault="00B04E38">
      <w:pPr>
        <w:pStyle w:val="Doc-text2"/>
        <w:numPr>
          <w:ilvl w:val="0"/>
          <w:numId w:val="19"/>
        </w:numPr>
        <w:rPr>
          <w:rFonts w:cs="Arial"/>
          <w:szCs w:val="20"/>
          <w:lang w:val="en-US" w:eastAsia="en-GB"/>
        </w:rPr>
      </w:pPr>
      <w:r>
        <w:rPr>
          <w:rFonts w:cs="Arial"/>
          <w:b/>
          <w:bCs/>
          <w:lang w:val="en-US" w:eastAsia="en-GB"/>
        </w:rPr>
        <w:t>Alt3: ??</w:t>
      </w:r>
    </w:p>
    <w:p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 xml:space="preserve">Alt1 or Alt2 ?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rsidR="00BD3EAF" w:rsidRDefault="00B04E38">
            <w:pPr>
              <w:spacing w:after="0"/>
              <w:rPr>
                <w:sz w:val="20"/>
                <w:szCs w:val="20"/>
                <w:lang w:val="en-US"/>
              </w:rPr>
            </w:pPr>
            <w:r>
              <w:rPr>
                <w:sz w:val="20"/>
                <w:szCs w:val="20"/>
                <w:lang w:val="en-US"/>
              </w:rPr>
              <w:t xml:space="preserve"> </w:t>
            </w:r>
          </w:p>
          <w:p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w:t>
            </w:r>
            <w:r>
              <w:rPr>
                <w:sz w:val="20"/>
                <w:szCs w:val="20"/>
                <w:lang w:val="en-US"/>
              </w:rPr>
              <w:lastRenderedPageBreak/>
              <w:t xml:space="preserve">compensated RTI to update its time, but if an SIB9 message comes between two compensated RTIs, then the UE will also use that SIB9 RTI not compensated. The UE’s timing information will jump between compensated and not compensated RTI. </w:t>
            </w:r>
          </w:p>
          <w:p w:rsidR="00BD3EAF" w:rsidRDefault="00BD3EAF">
            <w:pPr>
              <w:spacing w:after="0"/>
              <w:rPr>
                <w:rFonts w:cs="Arial"/>
                <w:sz w:val="20"/>
                <w:szCs w:val="20"/>
                <w:lang w:val="en-US" w:eastAsia="zh-CN"/>
              </w:rPr>
            </w:pPr>
          </w:p>
        </w:tc>
      </w:tr>
      <w:tr w:rsidR="00BD3EAF">
        <w:tc>
          <w:tcPr>
            <w:tcW w:w="1219" w:type="dxa"/>
          </w:tcPr>
          <w:p w:rsidR="00BD3EAF" w:rsidRDefault="00B04E38">
            <w:pPr>
              <w:spacing w:after="0"/>
              <w:rPr>
                <w:rFonts w:eastAsia="Malgun Gothic" w:cs="Arial"/>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rsidR="00BD3EAF" w:rsidRDefault="00BD3EAF">
            <w:pPr>
              <w:spacing w:after="0"/>
              <w:rPr>
                <w:sz w:val="20"/>
                <w:szCs w:val="20"/>
                <w:lang w:val="en-US" w:eastAsia="zh-CN"/>
              </w:rPr>
            </w:pPr>
          </w:p>
          <w:p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rsidR="00BD3EAF" w:rsidRDefault="00BD3EAF">
            <w:pPr>
              <w:spacing w:after="0"/>
              <w:rPr>
                <w:sz w:val="20"/>
                <w:szCs w:val="20"/>
                <w:lang w:val="en-US" w:eastAsia="zh-CN"/>
              </w:rPr>
            </w:pPr>
          </w:p>
          <w:p w:rsidR="00BD3EAF" w:rsidRDefault="00B04E38">
            <w:pPr>
              <w:spacing w:after="0"/>
              <w:rPr>
                <w:sz w:val="20"/>
                <w:szCs w:val="20"/>
                <w:lang w:val="en-US" w:eastAsia="zh-CN"/>
              </w:rPr>
            </w:pPr>
            <w:r>
              <w:rPr>
                <w:rFonts w:hint="eastAsia"/>
                <w:sz w:val="20"/>
                <w:szCs w:val="20"/>
                <w:lang w:val="en-US" w:eastAsia="zh-CN"/>
              </w:rPr>
              <w:t>For Alt2:</w:t>
            </w:r>
          </w:p>
          <w:p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tc>
          <w:tcPr>
            <w:tcW w:w="1219" w:type="dxa"/>
          </w:tcPr>
          <w:p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1895" w:type="dxa"/>
          </w:tcPr>
          <w:p w:rsidR="00BD3EAF" w:rsidRDefault="00BD3EAF">
            <w:pPr>
              <w:spacing w:after="0"/>
              <w:rPr>
                <w:rFonts w:eastAsia="Malgun Gothic" w:cs="Arial"/>
                <w:highlight w:val="cyan"/>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 xml:space="preserve">Yes or No ?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tc>
          <w:tcPr>
            <w:tcW w:w="1219" w:type="dxa"/>
          </w:tcPr>
          <w:p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rsidR="00BD3EAF" w:rsidRDefault="00B04E38">
            <w:pPr>
              <w:spacing w:after="0"/>
              <w:rPr>
                <w:rFonts w:eastAsia="Malgun Gothic" w:cs="Arial"/>
                <w:lang w:val="en-US" w:eastAsia="ko-KR"/>
              </w:rPr>
            </w:pPr>
            <w:r>
              <w:rPr>
                <w:rFonts w:eastAsiaTheme="minorEastAsia" w:cs="Arial" w:hint="eastAsia"/>
                <w:sz w:val="20"/>
                <w:szCs w:val="20"/>
                <w:lang w:val="en-US" w:eastAsia="zh-CN"/>
              </w:rPr>
              <w:lastRenderedPageBreak/>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tc>
          <w:tcPr>
            <w:tcW w:w="1219" w:type="dxa"/>
          </w:tcPr>
          <w:p w:rsidR="00BD3EAF" w:rsidRDefault="00B671F4">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5" w:type="dxa"/>
          </w:tcPr>
          <w:p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tc>
          <w:tcPr>
            <w:tcW w:w="1219" w:type="dxa"/>
          </w:tcPr>
          <w:p w:rsidR="00BD3EAF" w:rsidRDefault="00BD3EAF">
            <w:pPr>
              <w:spacing w:after="0"/>
              <w:rPr>
                <w:rFonts w:eastAsia="Malgun Gothic" w:cs="Arial"/>
                <w:lang w:val="en-US" w:eastAsia="ko-KR"/>
              </w:rPr>
            </w:pPr>
          </w:p>
        </w:tc>
        <w:tc>
          <w:tcPr>
            <w:tcW w:w="1895" w:type="dxa"/>
          </w:tcPr>
          <w:p w:rsidR="00BD3EAF" w:rsidRDefault="00BD3EAF">
            <w:pPr>
              <w:spacing w:after="0"/>
              <w:rPr>
                <w:rFonts w:eastAsia="Malgun Gothic" w:cs="Arial"/>
                <w:highlight w:val="cyan"/>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lang w:val="en-US" w:eastAsia="en-GB"/>
        </w:rPr>
      </w:pPr>
    </w:p>
    <w:p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rsidR="00BD3EAF" w:rsidRDefault="00BD3EAF">
      <w:pPr>
        <w:pStyle w:val="Doc-text2"/>
        <w:ind w:left="0" w:firstLine="0"/>
        <w:rPr>
          <w:lang w:val="en-US" w:eastAsia="en-GB"/>
        </w:rPr>
      </w:pPr>
    </w:p>
    <w:p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tc>
          <w:tcPr>
            <w:tcW w:w="1219" w:type="dxa"/>
          </w:tcPr>
          <w:p w:rsidR="00BD3EAF" w:rsidRDefault="00BD3EAF">
            <w:pPr>
              <w:spacing w:after="0"/>
              <w:rPr>
                <w:rFonts w:cs="Arial"/>
                <w:sz w:val="20"/>
                <w:szCs w:val="20"/>
                <w:lang w:val="en-US" w:eastAsia="zh-CN"/>
              </w:rPr>
            </w:pPr>
          </w:p>
        </w:tc>
        <w:tc>
          <w:tcPr>
            <w:tcW w:w="6520" w:type="dxa"/>
          </w:tcPr>
          <w:p w:rsidR="00BD3EAF" w:rsidRDefault="00BD3EAF">
            <w:pPr>
              <w:spacing w:after="0"/>
              <w:rPr>
                <w:rFonts w:cs="Arial"/>
                <w:sz w:val="20"/>
                <w:szCs w:val="20"/>
                <w:lang w:val="en-US" w:eastAsia="zh-CN"/>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r w:rsidR="00BD3EAF">
        <w:tc>
          <w:tcPr>
            <w:tcW w:w="1219" w:type="dxa"/>
          </w:tcPr>
          <w:p w:rsidR="00BD3EAF" w:rsidRDefault="00BD3EAF">
            <w:pPr>
              <w:spacing w:after="0"/>
              <w:rPr>
                <w:rFonts w:eastAsia="Malgun Gothic" w:cs="Arial"/>
                <w:sz w:val="20"/>
                <w:szCs w:val="20"/>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lang w:val="en-US" w:eastAsia="en-GB"/>
        </w:rPr>
      </w:pPr>
    </w:p>
    <w:p w:rsidR="00BD3EAF" w:rsidRDefault="00B04E38">
      <w:pPr>
        <w:pStyle w:val="Heading3"/>
        <w:rPr>
          <w:lang w:val="en-US" w:eastAsia="en-GB"/>
        </w:rPr>
      </w:pPr>
      <w:r>
        <w:rPr>
          <w:lang w:val="en-US" w:eastAsia="en-GB"/>
        </w:rPr>
        <w:t>2.1.3 Issue 3, UE-side PDC, common or separate indication?</w:t>
      </w:r>
    </w:p>
    <w:p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w:t>
            </w:r>
            <w:r w:rsidRPr="00350F68">
              <w:rPr>
                <w:rFonts w:ascii="Arial" w:hAnsi="Arial" w:cs="Arial"/>
                <w:sz w:val="20"/>
                <w:szCs w:val="20"/>
                <w:lang w:val="en-US" w:eastAsia="zh-CN"/>
              </w:rPr>
              <w:lastRenderedPageBreak/>
              <w:t>based PDC is needed and that’s enough. Such indication could be explicitly provided to the UE in unicast signalling or in SIB.</w:t>
            </w:r>
          </w:p>
          <w:p w:rsidR="00BD3EAF" w:rsidRDefault="00BD3EAF">
            <w:pPr>
              <w:spacing w:after="0"/>
              <w:rPr>
                <w:sz w:val="20"/>
                <w:szCs w:val="20"/>
                <w:lang w:eastAsia="zh-CN"/>
              </w:rPr>
            </w:pPr>
          </w:p>
          <w:p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rsidR="00BD3EAF" w:rsidRDefault="00BD3EAF">
            <w:pPr>
              <w:spacing w:after="0"/>
              <w:rPr>
                <w:rFonts w:eastAsiaTheme="minorEastAsia" w:cs="Arial"/>
                <w:sz w:val="20"/>
                <w:szCs w:val="20"/>
                <w:lang w:val="en-US" w:eastAsia="zh-CN"/>
              </w:rPr>
            </w:pPr>
          </w:p>
          <w:p w:rsidR="00BD3EAF" w:rsidRDefault="00B04E38">
            <w:pPr>
              <w:spacing w:afterLines="30" w:after="72"/>
              <w:rPr>
                <w:rFonts w:eastAsiaTheme="minorEastAsia" w:cs="Arial"/>
                <w:lang w:val="en-US" w:eastAsia="zh-CN"/>
              </w:rPr>
            </w:pPr>
            <w:r>
              <w:rPr>
                <w:noProof/>
                <w:lang w:val="en-US" w:eastAsia="zh-CN"/>
              </w:rPr>
              <w:drawing>
                <wp:inline distT="0" distB="0" distL="0" distR="0">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tc>
          <w:tcPr>
            <w:tcW w:w="1219" w:type="dxa"/>
          </w:tcPr>
          <w:p w:rsidR="008D4426" w:rsidRDefault="008D4426">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8D4426" w:rsidRDefault="008D4426">
            <w:pPr>
              <w:spacing w:after="120"/>
              <w:rPr>
                <w:rFonts w:eastAsiaTheme="minorEastAsia" w:cs="Arial" w:hint="eastAsia"/>
                <w:lang w:val="en-US" w:eastAsia="zh-CN"/>
              </w:rPr>
            </w:pPr>
            <w:r>
              <w:rPr>
                <w:rFonts w:eastAsiaTheme="minorEastAsia" w:cs="Arial"/>
                <w:lang w:val="en-US" w:eastAsia="zh-CN"/>
              </w:rPr>
              <w:t>Yes</w:t>
            </w:r>
          </w:p>
        </w:tc>
        <w:tc>
          <w:tcPr>
            <w:tcW w:w="6520" w:type="dxa"/>
          </w:tcPr>
          <w:p w:rsidR="008D4426" w:rsidRDefault="00E7680C" w:rsidP="005F4912">
            <w:pPr>
              <w:spacing w:after="120"/>
              <w:rPr>
                <w:rFonts w:hint="eastAsia"/>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bl>
    <w:p w:rsidR="00BD3EAF" w:rsidRDefault="00B04E38">
      <w:pPr>
        <w:pStyle w:val="Heading3"/>
        <w:rPr>
          <w:lang w:val="en-US" w:eastAsia="en-GB"/>
        </w:rPr>
      </w:pPr>
      <w:r>
        <w:rPr>
          <w:lang w:val="en-US" w:eastAsia="en-GB"/>
        </w:rPr>
        <w:t>2.1.4 Issue 4, UE-side PDC indication for TA</w:t>
      </w:r>
    </w:p>
    <w:p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rsidR="00BD3EAF" w:rsidRDefault="00B04E38">
            <w:pPr>
              <w:spacing w:after="0"/>
              <w:rPr>
                <w:lang w:val="en-US"/>
              </w:rPr>
            </w:pPr>
            <w:r>
              <w:rPr>
                <w:sz w:val="20"/>
                <w:szCs w:val="20"/>
              </w:rPr>
              <w:t>FFS For TA-based PDC, it’s no need to specify PD calculation related contents in RAN2.</w:t>
            </w:r>
          </w:p>
        </w:tc>
      </w:tr>
    </w:tbl>
    <w:p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rPr>
            </w:pPr>
            <w:r>
              <w:rPr>
                <w:sz w:val="20"/>
                <w:szCs w:val="20"/>
              </w:rPr>
              <w:t>The gNB can enable/disable UE-side PDC via unicast and broadcast RRC signalling.</w:t>
            </w:r>
          </w:p>
        </w:tc>
      </w:tr>
    </w:tbl>
    <w:p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rsidR="00BD3EAF" w:rsidRDefault="00B04E38">
      <w:pPr>
        <w:pStyle w:val="Doc-text2"/>
        <w:spacing w:after="120"/>
        <w:ind w:left="0" w:firstLine="0"/>
        <w:rPr>
          <w:rFonts w:cs="Arial"/>
          <w:b/>
          <w:szCs w:val="20"/>
          <w:lang w:val="en-US" w:eastAsia="en-GB"/>
        </w:rPr>
      </w:pPr>
      <w:r>
        <w:rPr>
          <w:rFonts w:cs="Arial"/>
          <w:b/>
          <w:bCs/>
          <w:szCs w:val="20"/>
          <w:lang w:val="en-US" w:eastAsia="en-GB"/>
        </w:rPr>
        <w:lastRenderedPageBreak/>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rsidR="00BD3EAF" w:rsidRDefault="00BD3EAF">
            <w:pPr>
              <w:spacing w:after="120"/>
              <w:rPr>
                <w:rFonts w:eastAsiaTheme="minorEastAsia" w:cs="Arial"/>
                <w:sz w:val="20"/>
                <w:szCs w:val="20"/>
                <w:lang w:val="en-US" w:eastAsia="zh-CN"/>
              </w:rPr>
            </w:pPr>
          </w:p>
        </w:tc>
      </w:tr>
      <w:tr w:rsidR="00C45D39">
        <w:tc>
          <w:tcPr>
            <w:tcW w:w="1219" w:type="dxa"/>
          </w:tcPr>
          <w:p w:rsidR="00C45D39" w:rsidRDefault="00C45D39">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C45D39" w:rsidRDefault="00C45D39">
            <w:pPr>
              <w:spacing w:after="120"/>
              <w:rPr>
                <w:rFonts w:eastAsiaTheme="minorEastAsia" w:cs="Arial" w:hint="eastAsia"/>
                <w:lang w:val="en-US" w:eastAsia="zh-CN"/>
              </w:rPr>
            </w:pPr>
            <w:r>
              <w:rPr>
                <w:rFonts w:eastAsiaTheme="minorEastAsia" w:cs="Arial"/>
                <w:lang w:val="en-US" w:eastAsia="zh-CN"/>
              </w:rPr>
              <w:t>Yes</w:t>
            </w:r>
          </w:p>
        </w:tc>
        <w:tc>
          <w:tcPr>
            <w:tcW w:w="6520" w:type="dxa"/>
          </w:tcPr>
          <w:p w:rsidR="00C45D39" w:rsidRDefault="00C45D39">
            <w:pPr>
              <w:spacing w:after="120"/>
              <w:rPr>
                <w:rFonts w:eastAsiaTheme="minorEastAsia" w:cs="Arial"/>
                <w:lang w:val="en-US" w:eastAsia="zh-CN"/>
              </w:rPr>
            </w:pPr>
          </w:p>
        </w:tc>
      </w:tr>
    </w:tbl>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120"/>
              <w:jc w:val="both"/>
              <w:rPr>
                <w:rFonts w:cs="Arial"/>
                <w:b/>
                <w:bCs/>
                <w:lang w:val="en-US"/>
              </w:rPr>
            </w:pP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tc>
          <w:tcPr>
            <w:tcW w:w="1219" w:type="dxa"/>
          </w:tcPr>
          <w:p w:rsidR="00966F96" w:rsidRDefault="00966F96">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966F96" w:rsidRDefault="00966F96">
            <w:pPr>
              <w:spacing w:after="120"/>
              <w:rPr>
                <w:rFonts w:eastAsiaTheme="minorEastAsia" w:cs="Arial" w:hint="eastAsia"/>
                <w:lang w:val="en-US" w:eastAsia="zh-CN"/>
              </w:rPr>
            </w:pPr>
            <w:r>
              <w:rPr>
                <w:rFonts w:eastAsiaTheme="minorEastAsia" w:cs="Arial"/>
                <w:lang w:val="en-US" w:eastAsia="zh-CN"/>
              </w:rPr>
              <w:t>Option 3</w:t>
            </w:r>
          </w:p>
        </w:tc>
        <w:tc>
          <w:tcPr>
            <w:tcW w:w="6520" w:type="dxa"/>
          </w:tcPr>
          <w:p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bl>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tc>
          <w:tcPr>
            <w:tcW w:w="1219" w:type="dxa"/>
          </w:tcPr>
          <w:p w:rsidR="0012087D" w:rsidRDefault="0012087D">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12087D" w:rsidRDefault="0012087D">
            <w:pPr>
              <w:spacing w:after="120"/>
              <w:rPr>
                <w:rFonts w:eastAsiaTheme="minorEastAsia" w:cs="Arial" w:hint="eastAsia"/>
                <w:lang w:val="en-US" w:eastAsia="zh-CN"/>
              </w:rPr>
            </w:pPr>
            <w:r>
              <w:rPr>
                <w:rFonts w:eastAsiaTheme="minorEastAsia" w:cs="Arial"/>
                <w:lang w:val="en-US" w:eastAsia="zh-CN"/>
              </w:rPr>
              <w:t>Yes</w:t>
            </w:r>
          </w:p>
        </w:tc>
        <w:tc>
          <w:tcPr>
            <w:tcW w:w="6520" w:type="dxa"/>
          </w:tcPr>
          <w:p w:rsidR="0012087D" w:rsidRDefault="0012087D">
            <w:pPr>
              <w:spacing w:after="120"/>
              <w:rPr>
                <w:rFonts w:eastAsiaTheme="minorEastAsia" w:cs="Arial" w:hint="eastAsia"/>
                <w:lang w:val="en-US" w:eastAsia="zh-CN"/>
              </w:rPr>
            </w:pPr>
          </w:p>
        </w:tc>
      </w:tr>
    </w:tbl>
    <w:p w:rsidR="00BD3EAF" w:rsidRDefault="00B04E38">
      <w:pPr>
        <w:pStyle w:val="Heading3"/>
        <w:rPr>
          <w:lang w:val="en-US" w:eastAsia="en-GB"/>
        </w:rPr>
      </w:pPr>
      <w:r>
        <w:rPr>
          <w:lang w:val="en-US" w:eastAsia="en-GB"/>
        </w:rPr>
        <w:t>2.1.5 Issue 5, UE-side PDC indication for RTT</w:t>
      </w:r>
    </w:p>
    <w:p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tc>
          <w:tcPr>
            <w:tcW w:w="9629" w:type="dxa"/>
          </w:tcPr>
          <w:p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rsidR="00BD3EAF" w:rsidRDefault="00B04E38">
      <w:pPr>
        <w:spacing w:after="120"/>
        <w:rPr>
          <w:lang w:val="en-US"/>
        </w:rPr>
      </w:pPr>
      <w:r>
        <w:rPr>
          <w:lang w:val="en-US"/>
        </w:rPr>
        <w:lastRenderedPageBreak/>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bCs/>
                <w:sz w:val="20"/>
                <w:szCs w:val="20"/>
                <w:lang w:val="en-US"/>
              </w:rPr>
              <w:t>Option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bCs/>
                <w:lang w:val="en-US"/>
              </w:rPr>
            </w:pPr>
            <w:r>
              <w:rPr>
                <w:bCs/>
                <w:lang w:val="en-US"/>
              </w:rPr>
              <w:t>Other</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tc>
          <w:tcPr>
            <w:tcW w:w="1219" w:type="dxa"/>
          </w:tcPr>
          <w:p w:rsidR="00BF01F9" w:rsidRDefault="00BF01F9">
            <w:pPr>
              <w:spacing w:after="120"/>
              <w:rPr>
                <w:rFonts w:eastAsiaTheme="minorEastAsia" w:cs="Arial" w:hint="eastAsia"/>
                <w:lang w:val="en-US" w:eastAsia="zh-CN"/>
              </w:rPr>
            </w:pPr>
            <w:r>
              <w:rPr>
                <w:rFonts w:eastAsiaTheme="minorEastAsia" w:cs="Arial"/>
                <w:lang w:val="en-US" w:eastAsia="zh-CN"/>
              </w:rPr>
              <w:lastRenderedPageBreak/>
              <w:t>Xiaomi</w:t>
            </w:r>
          </w:p>
        </w:tc>
        <w:tc>
          <w:tcPr>
            <w:tcW w:w="1895" w:type="dxa"/>
          </w:tcPr>
          <w:p w:rsidR="00BF01F9" w:rsidRDefault="00336D5C">
            <w:pPr>
              <w:spacing w:after="120"/>
              <w:rPr>
                <w:rFonts w:eastAsiaTheme="minorEastAsia" w:cs="Arial" w:hint="eastAsia"/>
                <w:lang w:val="en-US" w:eastAsia="zh-CN"/>
              </w:rPr>
            </w:pPr>
            <w:r>
              <w:rPr>
                <w:rFonts w:eastAsiaTheme="minorEastAsia" w:cs="Arial"/>
                <w:lang w:val="en-US" w:eastAsia="zh-CN"/>
              </w:rPr>
              <w:t>Option 1</w:t>
            </w:r>
          </w:p>
        </w:tc>
        <w:tc>
          <w:tcPr>
            <w:tcW w:w="6520" w:type="dxa"/>
          </w:tcPr>
          <w:p w:rsidR="00BF01F9" w:rsidRDefault="00EF10F4">
            <w:pPr>
              <w:spacing w:after="120"/>
              <w:rPr>
                <w:rFonts w:eastAsiaTheme="minorEastAsia" w:cs="Arial" w:hint="eastAsia"/>
                <w:lang w:val="en-US" w:eastAsia="zh-CN"/>
              </w:rPr>
            </w:pPr>
            <w:r>
              <w:rPr>
                <w:rFonts w:eastAsiaTheme="minorEastAsia" w:cs="Arial"/>
                <w:lang w:val="en-US" w:eastAsia="zh-CN"/>
              </w:rPr>
              <w:t>The solution provided by Nokia is also acceptable to us.</w:t>
            </w:r>
          </w:p>
        </w:tc>
      </w:tr>
    </w:tbl>
    <w:p w:rsidR="00BD3EAF" w:rsidRDefault="00B04E38">
      <w:pPr>
        <w:pStyle w:val="Heading2"/>
        <w:rPr>
          <w:lang w:val="en-US"/>
        </w:rPr>
      </w:pPr>
      <w:r>
        <w:rPr>
          <w:lang w:val="en-US"/>
        </w:rPr>
        <w:t>2.2</w:t>
      </w:r>
      <w:r>
        <w:rPr>
          <w:lang w:val="en-US"/>
        </w:rPr>
        <w:tab/>
        <w:t>RAN1 agreements/conclusions</w:t>
      </w:r>
    </w:p>
    <w:p w:rsidR="00BD3EAF" w:rsidRDefault="00B04E38">
      <w:pPr>
        <w:pStyle w:val="Heading3"/>
        <w:rPr>
          <w:lang w:val="en-US" w:eastAsia="en-GB"/>
        </w:rPr>
      </w:pPr>
      <w:r>
        <w:rPr>
          <w:lang w:val="en-US" w:eastAsia="en-GB"/>
        </w:rPr>
        <w:t>2.2.1 Issue 6, multi TRP</w:t>
      </w:r>
    </w:p>
    <w:p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0"/>
              <w:rPr>
                <w:rFonts w:cs="Arial"/>
                <w:b/>
                <w:sz w:val="20"/>
                <w:szCs w:val="20"/>
                <w:lang w:val="en-US" w:eastAsia="zh-CN"/>
              </w:rPr>
            </w:pPr>
            <w:r>
              <w:rPr>
                <w:rFonts w:cs="Arial"/>
                <w:b/>
                <w:sz w:val="20"/>
                <w:szCs w:val="20"/>
                <w:lang w:val="en-US" w:eastAsia="zh-CN"/>
              </w:rPr>
              <w:t>Conclusion</w:t>
            </w:r>
          </w:p>
          <w:p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rsidR="00BD3EAF" w:rsidRDefault="00B04E38">
      <w:pPr>
        <w:spacing w:after="120"/>
      </w:pPr>
      <w:r>
        <w:t>Rapporteur would like to first collect companies’ view on the above understanding.</w:t>
      </w:r>
    </w:p>
    <w:p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rsidR="00BD3EAF" w:rsidRDefault="00B04E38">
            <w:pPr>
              <w:spacing w:after="0"/>
              <w:jc w:val="both"/>
              <w:rPr>
                <w:rFonts w:cs="Arial"/>
                <w:b/>
                <w:bCs/>
                <w:lang w:val="en-US"/>
              </w:rPr>
            </w:pPr>
            <w:r>
              <w:rPr>
                <w:rFonts w:cs="Arial"/>
                <w:b/>
                <w:bCs/>
                <w:lang w:val="en-US"/>
              </w:rPr>
              <w:t>If no, please provide further 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tc>
          <w:tcPr>
            <w:tcW w:w="1219" w:type="dxa"/>
          </w:tcPr>
          <w:p w:rsidR="00E5450E" w:rsidRDefault="00E5450E">
            <w:pPr>
              <w:spacing w:after="0"/>
              <w:rPr>
                <w:rFonts w:eastAsiaTheme="minorEastAsia" w:cs="Arial" w:hint="eastAsia"/>
                <w:lang w:val="en-US" w:eastAsia="zh-CN"/>
              </w:rPr>
            </w:pPr>
            <w:r>
              <w:rPr>
                <w:rFonts w:eastAsiaTheme="minorEastAsia" w:cs="Arial"/>
                <w:lang w:val="en-US" w:eastAsia="zh-CN"/>
              </w:rPr>
              <w:t>Xiaomi</w:t>
            </w:r>
          </w:p>
        </w:tc>
        <w:tc>
          <w:tcPr>
            <w:tcW w:w="1895" w:type="dxa"/>
          </w:tcPr>
          <w:p w:rsidR="00E5450E" w:rsidRDefault="00E5450E">
            <w:pPr>
              <w:spacing w:after="0"/>
              <w:rPr>
                <w:rFonts w:eastAsiaTheme="minorEastAsia" w:cs="Arial" w:hint="eastAsia"/>
                <w:lang w:val="en-US" w:eastAsia="zh-CN"/>
              </w:rPr>
            </w:pPr>
            <w:r>
              <w:rPr>
                <w:rFonts w:eastAsiaTheme="minorEastAsia" w:cs="Arial"/>
                <w:lang w:val="en-US" w:eastAsia="zh-CN"/>
              </w:rPr>
              <w:t>No</w:t>
            </w:r>
          </w:p>
        </w:tc>
        <w:tc>
          <w:tcPr>
            <w:tcW w:w="6520" w:type="dxa"/>
          </w:tcPr>
          <w:p w:rsidR="00E5450E" w:rsidRDefault="00E5450E">
            <w:pPr>
              <w:spacing w:after="0"/>
              <w:rPr>
                <w:rFonts w:eastAsiaTheme="minorEastAsia" w:cs="Arial" w:hint="eastAsia"/>
                <w:lang w:val="en-US" w:eastAsia="zh-CN"/>
              </w:rPr>
            </w:pPr>
            <w:r>
              <w:rPr>
                <w:rFonts w:eastAsiaTheme="minorEastAsia" w:cs="Arial"/>
                <w:lang w:val="en-US" w:eastAsia="zh-CN"/>
              </w:rPr>
              <w:t>The gNB by implementation should send the reference time information via a proper TRP.</w:t>
            </w:r>
          </w:p>
        </w:tc>
      </w:tr>
    </w:tbl>
    <w:p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rsidR="00BD3EAF" w:rsidRDefault="00B04E38">
      <w:pPr>
        <w:spacing w:after="0"/>
        <w:rPr>
          <w:rFonts w:cs="Arial"/>
          <w:b/>
          <w:lang w:val="en-US" w:eastAsia="en-GB"/>
        </w:rPr>
      </w:pPr>
      <w:r>
        <w:rPr>
          <w:rFonts w:cs="Arial"/>
          <w:b/>
          <w:bCs/>
          <w:lang w:val="en-US" w:eastAsia="en-GB"/>
        </w:rPr>
        <w:lastRenderedPageBreak/>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D3EAF">
            <w:pPr>
              <w:spacing w:after="0"/>
              <w:rPr>
                <w:rFonts w:eastAsiaTheme="minorEastAsia" w:cs="Arial"/>
                <w:lang w:val="en-US" w:eastAsia="zh-CN"/>
              </w:rPr>
            </w:pPr>
          </w:p>
        </w:tc>
        <w:tc>
          <w:tcPr>
            <w:tcW w:w="1895" w:type="dxa"/>
          </w:tcPr>
          <w:p w:rsidR="00BD3EAF" w:rsidRDefault="00BD3EAF">
            <w:pPr>
              <w:spacing w:after="0"/>
              <w:rPr>
                <w:rFonts w:eastAsiaTheme="minorEastAsia" w:cs="Arial"/>
                <w:lang w:val="en-US" w:eastAsia="zh-CN"/>
              </w:rPr>
            </w:pPr>
          </w:p>
        </w:tc>
        <w:tc>
          <w:tcPr>
            <w:tcW w:w="6520" w:type="dxa"/>
          </w:tcPr>
          <w:p w:rsidR="00BD3EAF" w:rsidRDefault="00BD3EAF">
            <w:pPr>
              <w:spacing w:after="0"/>
              <w:rPr>
                <w:rFonts w:eastAsiaTheme="minorEastAsia" w:cs="Arial"/>
                <w:lang w:val="en-US" w:eastAsia="zh-CN"/>
              </w:rPr>
            </w:pPr>
          </w:p>
        </w:tc>
      </w:tr>
    </w:tbl>
    <w:p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rsidR="00BD3EAF" w:rsidRDefault="00B04E38">
      <w:pPr>
        <w:pStyle w:val="Heading2"/>
        <w:rPr>
          <w:lang w:val="en-US"/>
        </w:rPr>
      </w:pPr>
      <w:r>
        <w:rPr>
          <w:lang w:val="en-US"/>
        </w:rPr>
        <w:t>2.3</w:t>
      </w:r>
      <w:r>
        <w:rPr>
          <w:lang w:val="en-US"/>
        </w:rPr>
        <w:tab/>
        <w:t>UE capabilities</w:t>
      </w:r>
    </w:p>
    <w:p w:rsidR="00BD3EAF" w:rsidRDefault="00B04E38">
      <w:pPr>
        <w:spacing w:after="120"/>
        <w:rPr>
          <w:lang w:val="en-US"/>
        </w:rPr>
      </w:pPr>
      <w:r>
        <w:rPr>
          <w:lang w:val="en-US"/>
        </w:rPr>
        <w:t>It is agreed in RAN2#116bis-e that</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rsidR="00BD3EAF" w:rsidRDefault="00B04E38">
      <w:pPr>
        <w:pStyle w:val="Heading3"/>
        <w:rPr>
          <w:lang w:val="en-US" w:eastAsia="en-GB"/>
        </w:rPr>
      </w:pPr>
      <w:r>
        <w:rPr>
          <w:lang w:val="en-US" w:eastAsia="en-GB"/>
        </w:rPr>
        <w:t xml:space="preserve">2.3.1 Issue 7, UE capability for time-sync </w:t>
      </w:r>
    </w:p>
    <w:p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rsidR="00BD3EAF" w:rsidRDefault="00B04E38">
      <w:pPr>
        <w:spacing w:after="0"/>
        <w:ind w:firstLine="567"/>
        <w:rPr>
          <w:rFonts w:cs="Arial"/>
          <w:b/>
          <w:bCs/>
          <w:lang w:val="en-US" w:eastAsia="en-GB"/>
        </w:rPr>
      </w:pPr>
      <w:r>
        <w:rPr>
          <w:rFonts w:cs="Arial"/>
          <w:b/>
          <w:bCs/>
          <w:lang w:val="en-US" w:eastAsia="en-GB"/>
        </w:rPr>
        <w:t>Alt1: UE-side PDC for RTT-method</w:t>
      </w:r>
    </w:p>
    <w:p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120"/>
              <w:jc w:val="both"/>
              <w:rPr>
                <w:rFonts w:cs="Arial"/>
                <w:b/>
                <w:bCs/>
                <w:lang w:val="en-US"/>
              </w:rPr>
            </w:pP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tc>
          <w:tcPr>
            <w:tcW w:w="1219" w:type="dxa"/>
          </w:tcPr>
          <w:p w:rsidR="0001314C" w:rsidRDefault="0001314C">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rsidR="0001314C" w:rsidRDefault="0001314C">
            <w:pPr>
              <w:spacing w:after="120"/>
              <w:rPr>
                <w:rFonts w:eastAsiaTheme="minorEastAsia" w:cs="Arial" w:hint="eastAsia"/>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bl>
    <w:p w:rsidR="00BD3EAF" w:rsidRDefault="00BD3EAF">
      <w:pPr>
        <w:spacing w:after="120"/>
        <w:rPr>
          <w:lang w:val="en-US" w:eastAsia="en-GB"/>
        </w:rPr>
      </w:pPr>
    </w:p>
    <w:p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rsidR="00BD3EAF" w:rsidRDefault="00B04E38">
      <w:pPr>
        <w:spacing w:after="120"/>
        <w:rPr>
          <w:lang w:val="en-US" w:eastAsia="en-GB"/>
        </w:rPr>
      </w:pPr>
      <w:r>
        <w:rPr>
          <w:lang w:val="en-US" w:eastAsia="en-GB"/>
        </w:rPr>
        <w:t xml:space="preserve">Rapporteur proposes to collect views on whether a separate UE capability is needed. </w:t>
      </w:r>
    </w:p>
    <w:p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D3EAF">
            <w:pPr>
              <w:spacing w:after="120"/>
              <w:rPr>
                <w:rFonts w:eastAsiaTheme="minorEastAsia" w:cs="Arial"/>
                <w:lang w:val="en-US" w:eastAsia="zh-CN"/>
              </w:rPr>
            </w:pPr>
          </w:p>
        </w:tc>
      </w:tr>
      <w:tr w:rsidR="0027284B">
        <w:tc>
          <w:tcPr>
            <w:tcW w:w="1219" w:type="dxa"/>
          </w:tcPr>
          <w:p w:rsidR="0027284B" w:rsidRDefault="0027284B">
            <w:pPr>
              <w:spacing w:after="120"/>
              <w:rPr>
                <w:rFonts w:eastAsiaTheme="minorEastAsia" w:cs="Arial" w:hint="eastAsia"/>
                <w:lang w:val="en-US" w:eastAsia="zh-CN"/>
              </w:rPr>
            </w:pPr>
            <w:r>
              <w:rPr>
                <w:rFonts w:eastAsiaTheme="minorEastAsia" w:cs="Arial"/>
                <w:lang w:val="en-US" w:eastAsia="zh-CN"/>
              </w:rPr>
              <w:t>Xiaomi</w:t>
            </w:r>
          </w:p>
        </w:tc>
        <w:tc>
          <w:tcPr>
            <w:tcW w:w="1895" w:type="dxa"/>
          </w:tcPr>
          <w:p w:rsidR="0027284B" w:rsidRDefault="0027284B">
            <w:pPr>
              <w:spacing w:after="120"/>
              <w:rPr>
                <w:rFonts w:eastAsiaTheme="minorEastAsia" w:cs="Arial" w:hint="eastAsia"/>
                <w:lang w:val="en-US" w:eastAsia="zh-CN"/>
              </w:rPr>
            </w:pPr>
            <w:r>
              <w:rPr>
                <w:rFonts w:eastAsiaTheme="minorEastAsia" w:cs="Arial"/>
                <w:lang w:val="en-US" w:eastAsia="zh-CN"/>
              </w:rPr>
              <w:t>No</w:t>
            </w:r>
          </w:p>
        </w:tc>
        <w:tc>
          <w:tcPr>
            <w:tcW w:w="6520" w:type="dxa"/>
          </w:tcPr>
          <w:p w:rsidR="0027284B" w:rsidRDefault="0027284B">
            <w:pPr>
              <w:spacing w:after="120"/>
              <w:rPr>
                <w:rFonts w:eastAsiaTheme="minorEastAsia" w:cs="Arial"/>
                <w:lang w:val="en-US" w:eastAsia="zh-CN"/>
              </w:rPr>
            </w:pPr>
          </w:p>
        </w:tc>
      </w:tr>
    </w:tbl>
    <w:p w:rsidR="00BD3EAF" w:rsidRDefault="00B04E38">
      <w:pPr>
        <w:pStyle w:val="Heading3"/>
        <w:rPr>
          <w:lang w:val="en-US" w:eastAsia="en-GB"/>
        </w:rPr>
      </w:pPr>
      <w:r>
        <w:rPr>
          <w:lang w:val="en-US" w:eastAsia="en-GB"/>
        </w:rPr>
        <w:t>2.3.2 Issue 8, UE capability for survival time</w:t>
      </w:r>
    </w:p>
    <w:p w:rsidR="00BD3EAF" w:rsidRDefault="00B04E38">
      <w:pPr>
        <w:spacing w:after="120"/>
        <w:rPr>
          <w:lang w:val="en-US" w:eastAsia="en-GB"/>
        </w:rPr>
      </w:pPr>
      <w:r>
        <w:rPr>
          <w:lang w:val="en-US" w:eastAsia="en-GB"/>
        </w:rPr>
        <w:t>The below is agreed in the RAN2#116bis-e</w:t>
      </w:r>
    </w:p>
    <w:p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rsidR="00BD3EAF" w:rsidRDefault="00B04E38">
      <w:pPr>
        <w:spacing w:before="120" w:after="120"/>
        <w:rPr>
          <w:u w:val="single"/>
          <w:lang w:val="en-US" w:eastAsia="en-GB"/>
        </w:rPr>
      </w:pPr>
      <w:r>
        <w:rPr>
          <w:u w:val="single"/>
          <w:lang w:val="en-US" w:eastAsia="en-GB"/>
        </w:rPr>
        <w:t>PDCP duplication</w:t>
      </w:r>
    </w:p>
    <w:p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rsidR="00BD3EAF" w:rsidRDefault="00B04E38">
      <w:pPr>
        <w:spacing w:after="120"/>
      </w:pPr>
      <w:r>
        <w:t xml:space="preserve">Therefore, as a baseline, the UE shall support at least CA duplication or DC duplication.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w:t>
      </w:r>
      <w:r>
        <w:lastRenderedPageBreak/>
        <w:t xml:space="preserve">there were comments that the DC duplication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0"/>
              <w:jc w:val="both"/>
              <w:rPr>
                <w:rFonts w:cs="Arial"/>
                <w:b/>
                <w:bCs/>
                <w:lang w:val="en-US"/>
              </w:rPr>
            </w:pP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rsidR="00BD3EAF" w:rsidRDefault="00B04E38">
            <w:pPr>
              <w:spacing w:afterLines="30" w:after="72"/>
              <w:rPr>
                <w:rFonts w:cs="Arial"/>
                <w:sz w:val="20"/>
                <w:szCs w:val="20"/>
                <w:lang w:val="en-US" w:eastAsia="zh-CN"/>
              </w:rPr>
            </w:pPr>
            <w:bookmarkStart w:id="2"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
            <w:r>
              <w:rPr>
                <w:rFonts w:eastAsiaTheme="minorEastAsia" w:cs="Arial" w:hint="eastAsia"/>
                <w:sz w:val="20"/>
                <w:szCs w:val="20"/>
                <w:lang w:val="en-US" w:eastAsia="zh-CN"/>
              </w:rPr>
              <w:t xml:space="preserve">. </w:t>
            </w:r>
          </w:p>
        </w:tc>
      </w:tr>
      <w:tr w:rsidR="00255277">
        <w:tc>
          <w:tcPr>
            <w:tcW w:w="1219" w:type="dxa"/>
          </w:tcPr>
          <w:p w:rsidR="00255277" w:rsidRDefault="00255277">
            <w:pPr>
              <w:spacing w:after="0"/>
              <w:rPr>
                <w:rFonts w:eastAsiaTheme="minorEastAsia" w:cs="Arial" w:hint="eastAsia"/>
                <w:lang w:val="en-US" w:eastAsia="zh-CN"/>
              </w:rPr>
            </w:pPr>
            <w:r>
              <w:rPr>
                <w:rFonts w:eastAsiaTheme="minorEastAsia" w:cs="Arial"/>
                <w:lang w:val="en-US" w:eastAsia="zh-CN"/>
              </w:rPr>
              <w:t>Xiaomi</w:t>
            </w:r>
          </w:p>
        </w:tc>
        <w:tc>
          <w:tcPr>
            <w:tcW w:w="1895" w:type="dxa"/>
          </w:tcPr>
          <w:p w:rsidR="00255277" w:rsidRDefault="004B1C35" w:rsidP="002263E1">
            <w:pPr>
              <w:spacing w:after="0"/>
              <w:rPr>
                <w:rFonts w:eastAsiaTheme="minorEastAsia" w:cs="Arial" w:hint="eastAsia"/>
                <w:lang w:val="en-US" w:eastAsia="zh-CN"/>
              </w:rPr>
            </w:pPr>
            <w:r>
              <w:rPr>
                <w:rFonts w:eastAsiaTheme="minorEastAsia" w:cs="Arial"/>
                <w:lang w:val="en-US" w:eastAsia="zh-CN"/>
              </w:rPr>
              <w:t>Alt 4</w:t>
            </w:r>
          </w:p>
        </w:tc>
        <w:tc>
          <w:tcPr>
            <w:tcW w:w="6520" w:type="dxa"/>
          </w:tcPr>
          <w:p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bl>
    <w:p w:rsidR="00BD3EAF" w:rsidRDefault="00BD3EAF">
      <w:pPr>
        <w:spacing w:after="0"/>
        <w:rPr>
          <w:rFonts w:cs="Arial"/>
          <w:b/>
          <w:bCs/>
          <w:lang w:val="en-US" w:eastAsia="en-GB"/>
        </w:rPr>
      </w:pPr>
    </w:p>
    <w:p w:rsidR="00BD3EAF" w:rsidRDefault="00B04E38">
      <w:pPr>
        <w:spacing w:before="120" w:after="120"/>
        <w:rPr>
          <w:u w:val="single"/>
          <w:lang w:val="en-US" w:eastAsia="en-GB"/>
        </w:rPr>
      </w:pPr>
      <w:r>
        <w:rPr>
          <w:u w:val="single"/>
          <w:lang w:val="en-US" w:eastAsia="en-GB"/>
        </w:rPr>
        <w:t>Configured grant</w:t>
      </w:r>
    </w:p>
    <w:p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signalling,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rsidR="00BD3EAF" w:rsidRDefault="00B04E38">
      <w:pPr>
        <w:spacing w:after="0"/>
        <w:ind w:firstLine="567"/>
        <w:rPr>
          <w:b/>
          <w:bCs/>
          <w:lang w:val="en-US" w:eastAsia="en-GB"/>
        </w:rPr>
      </w:pPr>
      <w:r>
        <w:rPr>
          <w:b/>
          <w:bCs/>
          <w:lang w:val="en-US" w:eastAsia="en-GB"/>
        </w:rPr>
        <w:t>Alt3: configured grant type 1 in shared access (configuredUL-GrantType1-r16)</w:t>
      </w:r>
    </w:p>
    <w:p w:rsidR="00BD3EAF" w:rsidRDefault="00B04E38">
      <w:pPr>
        <w:spacing w:after="0"/>
        <w:ind w:firstLine="567"/>
        <w:rPr>
          <w:b/>
          <w:bCs/>
          <w:lang w:val="en-US" w:eastAsia="en-GB"/>
        </w:rPr>
      </w:pPr>
      <w:r>
        <w:rPr>
          <w:b/>
          <w:bCs/>
          <w:lang w:val="en-US" w:eastAsia="en-GB"/>
        </w:rPr>
        <w:t>Alt4: configured grant type 2 in shared access (configuredUL-GrantType2-r16)</w:t>
      </w:r>
    </w:p>
    <w:p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lastRenderedPageBreak/>
              <w:t>Company</w:t>
            </w:r>
          </w:p>
        </w:tc>
        <w:tc>
          <w:tcPr>
            <w:tcW w:w="1895" w:type="dxa"/>
            <w:shd w:val="clear" w:color="auto" w:fill="00B0F0"/>
          </w:tcPr>
          <w:p w:rsidR="00BD3EAF" w:rsidRDefault="00BD3EAF">
            <w:pPr>
              <w:spacing w:after="0"/>
              <w:jc w:val="both"/>
              <w:rPr>
                <w:rFonts w:cs="Arial"/>
                <w:b/>
                <w:bCs/>
                <w:lang w:val="en-US"/>
              </w:rPr>
            </w:pP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tc>
          <w:tcPr>
            <w:tcW w:w="1219" w:type="dxa"/>
          </w:tcPr>
          <w:p w:rsidR="008C4AD6" w:rsidRDefault="008C4AD6">
            <w:pPr>
              <w:spacing w:after="0"/>
              <w:rPr>
                <w:rFonts w:eastAsiaTheme="minorEastAsia" w:cs="Arial" w:hint="eastAsia"/>
                <w:lang w:val="en-US" w:eastAsia="zh-CN"/>
              </w:rPr>
            </w:pPr>
            <w:r>
              <w:rPr>
                <w:rFonts w:eastAsiaTheme="minorEastAsia" w:cs="Arial"/>
                <w:lang w:val="en-US" w:eastAsia="zh-CN"/>
              </w:rPr>
              <w:t>Xiaomi</w:t>
            </w:r>
          </w:p>
        </w:tc>
        <w:tc>
          <w:tcPr>
            <w:tcW w:w="1895" w:type="dxa"/>
          </w:tcPr>
          <w:p w:rsidR="008C4AD6" w:rsidRDefault="008C4AD6">
            <w:pPr>
              <w:spacing w:after="0"/>
              <w:rPr>
                <w:rFonts w:eastAsiaTheme="minorEastAsia" w:cs="Arial" w:hint="eastAsia"/>
                <w:lang w:val="en-US" w:eastAsia="zh-CN"/>
              </w:rPr>
            </w:pPr>
            <w:r>
              <w:rPr>
                <w:rFonts w:eastAsiaTheme="minorEastAsia" w:cs="Arial"/>
                <w:lang w:val="en-US" w:eastAsia="zh-CN"/>
              </w:rPr>
              <w:t>Alt 5</w:t>
            </w:r>
          </w:p>
        </w:tc>
        <w:tc>
          <w:tcPr>
            <w:tcW w:w="6520" w:type="dxa"/>
          </w:tcPr>
          <w:p w:rsidR="008C4AD6" w:rsidRDefault="008C4AD6">
            <w:pPr>
              <w:spacing w:afterLines="30" w:after="72"/>
              <w:rPr>
                <w:rFonts w:eastAsiaTheme="minorEastAsia" w:cs="Arial" w:hint="eastAsia"/>
                <w:lang w:val="en-US" w:eastAsia="zh-CN"/>
              </w:rPr>
            </w:pPr>
          </w:p>
        </w:tc>
      </w:tr>
    </w:tbl>
    <w:p w:rsidR="00BD3EAF" w:rsidRDefault="00BD3EAF">
      <w:pPr>
        <w:spacing w:before="120"/>
        <w:rPr>
          <w:u w:val="single"/>
          <w:lang w:val="en-US" w:eastAsia="en-GB"/>
        </w:rPr>
      </w:pPr>
    </w:p>
    <w:p w:rsidR="00BD3EAF" w:rsidRDefault="00B04E38">
      <w:pPr>
        <w:spacing w:before="120" w:after="120"/>
        <w:rPr>
          <w:u w:val="single"/>
          <w:lang w:val="en-US" w:eastAsia="en-GB"/>
        </w:rPr>
      </w:pPr>
      <w:r>
        <w:rPr>
          <w:u w:val="single"/>
          <w:lang w:val="en-US" w:eastAsia="en-GB"/>
        </w:rPr>
        <w:t>Per UE vs Per band:</w:t>
      </w:r>
    </w:p>
    <w:p w:rsidR="00BD3EAF" w:rsidRDefault="00B04E38">
      <w:pPr>
        <w:spacing w:after="120"/>
      </w:pPr>
      <w:r>
        <w:t xml:space="preserve">The PDCP duplication is per-UE capability, but the support of configured grant is per-band. The rapporteur proposes to collect views on this. </w:t>
      </w:r>
    </w:p>
    <w:p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rsidR="00BD3EAF" w:rsidRDefault="00B04E38">
      <w:pPr>
        <w:spacing w:after="0"/>
        <w:ind w:left="567"/>
        <w:rPr>
          <w:b/>
          <w:bCs/>
          <w:lang w:val="en-US" w:eastAsia="en-GB"/>
        </w:rPr>
      </w:pPr>
      <w:r>
        <w:rPr>
          <w:b/>
          <w:bCs/>
          <w:lang w:val="en-US" w:eastAsia="en-GB"/>
        </w:rPr>
        <w:t>Option 1: The optional UE capability for survival time is per-band</w:t>
      </w:r>
    </w:p>
    <w:p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rsidR="00BD3EAF" w:rsidRDefault="00BD3EAF">
            <w:pPr>
              <w:spacing w:after="0"/>
              <w:rPr>
                <w:rFonts w:eastAsiaTheme="minorEastAsia" w:cs="Arial"/>
                <w:lang w:val="en-US" w:eastAsia="zh-CN"/>
              </w:rPr>
            </w:pPr>
          </w:p>
        </w:tc>
      </w:tr>
      <w:tr w:rsidR="007018B3">
        <w:tc>
          <w:tcPr>
            <w:tcW w:w="1219" w:type="dxa"/>
          </w:tcPr>
          <w:p w:rsidR="007018B3" w:rsidRDefault="007018B3">
            <w:pPr>
              <w:spacing w:after="0"/>
              <w:rPr>
                <w:rFonts w:eastAsiaTheme="minorEastAsia" w:cs="Arial" w:hint="eastAsia"/>
                <w:lang w:val="en-US" w:eastAsia="zh-CN"/>
              </w:rPr>
            </w:pPr>
            <w:r>
              <w:rPr>
                <w:rFonts w:eastAsiaTheme="minorEastAsia" w:cs="Arial"/>
                <w:lang w:val="en-US" w:eastAsia="zh-CN"/>
              </w:rPr>
              <w:t>Xiaomi</w:t>
            </w:r>
          </w:p>
        </w:tc>
        <w:tc>
          <w:tcPr>
            <w:tcW w:w="1895" w:type="dxa"/>
          </w:tcPr>
          <w:p w:rsidR="007018B3" w:rsidRDefault="007018B3">
            <w:pPr>
              <w:spacing w:after="0"/>
              <w:rPr>
                <w:rFonts w:eastAsiaTheme="minorEastAsia" w:cs="Arial" w:hint="eastAsia"/>
                <w:lang w:val="en-US" w:eastAsia="zh-CN"/>
              </w:rPr>
            </w:pPr>
            <w:r>
              <w:rPr>
                <w:rFonts w:eastAsiaTheme="minorEastAsia" w:cs="Arial"/>
                <w:lang w:val="en-US" w:eastAsia="zh-CN"/>
              </w:rPr>
              <w:t>Option 2</w:t>
            </w:r>
            <w:bookmarkStart w:id="3" w:name="_GoBack"/>
            <w:bookmarkEnd w:id="3"/>
          </w:p>
        </w:tc>
        <w:tc>
          <w:tcPr>
            <w:tcW w:w="6520" w:type="dxa"/>
          </w:tcPr>
          <w:p w:rsidR="007018B3" w:rsidRDefault="007018B3">
            <w:pPr>
              <w:spacing w:after="0"/>
              <w:rPr>
                <w:rFonts w:eastAsiaTheme="minorEastAsia" w:cs="Arial"/>
                <w:lang w:val="en-US" w:eastAsia="zh-CN"/>
              </w:rPr>
            </w:pPr>
          </w:p>
        </w:tc>
      </w:tr>
    </w:tbl>
    <w:p w:rsidR="00BD3EAF" w:rsidRDefault="00BD3EAF">
      <w:pPr>
        <w:rPr>
          <w:lang w:val="en-US"/>
        </w:rPr>
      </w:pPr>
    </w:p>
    <w:bookmarkEnd w:id="0"/>
    <w:p w:rsidR="00BD3EAF" w:rsidRDefault="00B04E38">
      <w:pPr>
        <w:pStyle w:val="Heading1"/>
        <w:rPr>
          <w:lang w:val="en-US"/>
        </w:rPr>
      </w:pPr>
      <w:r>
        <w:rPr>
          <w:lang w:val="en-US"/>
        </w:rPr>
        <w:t>3</w:t>
      </w:r>
      <w:r>
        <w:rPr>
          <w:lang w:val="en-US"/>
        </w:rPr>
        <w:tab/>
        <w:t>Conclusion</w:t>
      </w:r>
    </w:p>
    <w:p w:rsidR="00BD3EAF" w:rsidRDefault="00B04E38">
      <w:pPr>
        <w:spacing w:after="0"/>
        <w:jc w:val="both"/>
        <w:rPr>
          <w:lang w:val="en-US"/>
        </w:rPr>
      </w:pPr>
      <w:r>
        <w:rPr>
          <w:lang w:val="en-US"/>
        </w:rPr>
        <w:t>TBD</w:t>
      </w:r>
    </w:p>
    <w:p w:rsidR="00BD3EAF" w:rsidRDefault="00BD3EAF">
      <w:pPr>
        <w:spacing w:after="0"/>
        <w:jc w:val="both"/>
        <w:rPr>
          <w:lang w:val="en-US"/>
        </w:rPr>
      </w:pPr>
    </w:p>
    <w:p w:rsidR="00BD3EAF" w:rsidRDefault="00B04E38">
      <w:pPr>
        <w:pStyle w:val="Heading1"/>
        <w:rPr>
          <w:lang w:val="en-US"/>
        </w:rPr>
      </w:pPr>
      <w:r>
        <w:rPr>
          <w:lang w:val="en-US"/>
        </w:rPr>
        <w:t>4</w:t>
      </w:r>
      <w:r>
        <w:rPr>
          <w:lang w:val="en-US"/>
        </w:rPr>
        <w:tab/>
        <w:t>References</w:t>
      </w:r>
    </w:p>
    <w:p w:rsidR="00BD3EAF" w:rsidRDefault="00B04E38">
      <w:pPr>
        <w:pStyle w:val="Reference"/>
        <w:numPr>
          <w:ilvl w:val="0"/>
          <w:numId w:val="29"/>
        </w:numPr>
        <w:textAlignment w:val="auto"/>
        <w:rPr>
          <w:lang w:val="en-US"/>
        </w:rPr>
      </w:pPr>
      <w:bookmarkStart w:id="4" w:name="_Ref94263650"/>
      <w:r>
        <w:rPr>
          <w:lang w:val="en-US"/>
        </w:rPr>
        <w:t xml:space="preserve">R2-2201826, Tsynch open issues – outcome of email discussion 503 </w:t>
      </w:r>
      <w:r>
        <w:rPr>
          <w:lang w:val="en-US"/>
        </w:rPr>
        <w:tab/>
        <w:t>ZTE</w:t>
      </w:r>
      <w:bookmarkEnd w:id="4"/>
    </w:p>
    <w:p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20" w:rsidRDefault="00882D20">
      <w:pPr>
        <w:spacing w:line="240" w:lineRule="auto"/>
      </w:pPr>
      <w:r>
        <w:separator/>
      </w:r>
    </w:p>
  </w:endnote>
  <w:endnote w:type="continuationSeparator" w:id="0">
    <w:p w:rsidR="00882D20" w:rsidRDefault="00882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20" w:rsidRDefault="00882D20">
      <w:pPr>
        <w:spacing w:after="0" w:line="240" w:lineRule="auto"/>
      </w:pPr>
      <w:r>
        <w:separator/>
      </w:r>
    </w:p>
  </w:footnote>
  <w:footnote w:type="continuationSeparator" w:id="0">
    <w:p w:rsidR="00882D20" w:rsidRDefault="0088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BD3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99E37"/>
  <w15:docId w15:val="{0B44DA3E-1F8E-4FEE-B368-620E6AE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118522-6272-48E0-A07B-0F5415D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7138</Words>
  <Characters>40687</Characters>
  <Application>Microsoft Office Word</Application>
  <DocSecurity>0</DocSecurity>
  <Lines>339</Lines>
  <Paragraphs>95</Paragraphs>
  <ScaleCrop>false</ScaleCrop>
  <Company>Ericsson</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37</cp:revision>
  <cp:lastPrinted>2021-11-01T17:02:00Z</cp:lastPrinted>
  <dcterms:created xsi:type="dcterms:W3CDTF">2022-02-13T19:36:00Z</dcterms:created>
  <dcterms:modified xsi:type="dcterms:W3CDTF">2022-02-14T04:28:00Z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