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21</w:t>
      </w:r>
      <w:r>
        <w:rPr>
          <w:rFonts w:eastAsiaTheme="minorEastAsia"/>
          <w:b/>
          <w:sz w:val="24"/>
          <w:vertAlign w:val="superscript"/>
          <w:lang w:val="en-US" w:eastAsia="zh-CN"/>
        </w:rPr>
        <w:t>th</w:t>
      </w:r>
      <w:proofErr w:type="gramEnd"/>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spellStart"/>
      <w:proofErr w:type="gramEnd"/>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spellStart"/>
      <w:proofErr w:type="gramEnd"/>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5A37D3" w:rsidRDefault="00DB0ABE">
            <w:pPr>
              <w:pStyle w:val="TAC"/>
              <w:jc w:val="left"/>
              <w:rPr>
                <w:rFonts w:ascii="Times New Roman" w:hAnsi="Times New Roman"/>
                <w:lang w:val="en-US"/>
              </w:rPr>
            </w:pPr>
            <w:r w:rsidRPr="005A37D3">
              <w:rPr>
                <w:rFonts w:ascii="Times New Roman" w:hAnsi="Times New Roman"/>
                <w:lang w:val="en-U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proofErr w:type="spellStart"/>
            <w:r w:rsidRPr="005A37D3">
              <w:rPr>
                <w:rFonts w:ascii="Times New Roman" w:hAnsi="Times New Roman" w:hint="eastAsia"/>
                <w:lang w:val="en-US"/>
              </w:rPr>
              <w:t>Y</w:t>
            </w:r>
            <w:r w:rsidRPr="005A37D3">
              <w:rPr>
                <w:rFonts w:ascii="Times New Roman" w:hAnsi="Times New Roman"/>
                <w:lang w:val="en-US"/>
              </w:rPr>
              <w:t>inghao</w:t>
            </w:r>
            <w:proofErr w:type="spellEnd"/>
            <w:r w:rsidRPr="005A37D3">
              <w:rPr>
                <w:rFonts w:ascii="Times New Roman" w:hAnsi="Times New Roman"/>
                <w:lang w:val="en-US"/>
              </w:rPr>
              <w:t xml:space="preserve">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B669F5">
              <w:fldChar w:fldCharType="begin"/>
            </w:r>
            <w:r w:rsidR="00B669F5">
              <w:instrText xml:space="preserve"> HYPERLINK "mailto:wuyumin@xiaomi.com" </w:instrText>
            </w:r>
            <w:r w:rsidR="00B669F5">
              <w:fldChar w:fldCharType="separate"/>
            </w:r>
            <w:r w:rsidR="00DA263B" w:rsidRPr="00102CB6">
              <w:rPr>
                <w:rStyle w:val="Hyperlink"/>
                <w:rFonts w:ascii="Times New Roman" w:hAnsi="Times New Roman"/>
                <w:lang w:val="fi-FI"/>
              </w:rPr>
              <w:t>wuyumin@xiaomi.com</w:t>
            </w:r>
            <w:r w:rsidR="00B669F5">
              <w:rPr>
                <w:rStyle w:val="Hyperlink"/>
                <w:rFonts w:ascii="Times New Roman" w:hAnsi="Times New Roman"/>
                <w:lang w:val="fi-FI"/>
              </w:rPr>
              <w:fldChar w:fldCharType="end"/>
            </w:r>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hyperlink r:id="rId8" w:history="1">
              <w:r w:rsidR="005A37D3" w:rsidRPr="00A61F6F">
                <w:rPr>
                  <w:rStyle w:val="Hyperlink"/>
                  <w:rFonts w:ascii="Times New Roman" w:hAnsi="Times New Roman"/>
                  <w:lang w:val="de-DE"/>
                </w:rPr>
                <w:t>samuli.turtinen@nokia.com</w:t>
              </w:r>
            </w:hyperlink>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hyperlink r:id="rId9" w:history="1">
              <w:r w:rsidR="00B733EA" w:rsidRPr="00A24AD3">
                <w:rPr>
                  <w:rStyle w:val="Hyperlink"/>
                  <w:rFonts w:ascii="Times New Roman" w:hAnsi="Times New Roman"/>
                  <w:lang w:val="de-DE"/>
                </w:rPr>
                <w:t>jlohr@lenovo.com</w:t>
              </w:r>
            </w:hyperlink>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Faris Alfarhan</w:t>
            </w:r>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733EA"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7777777" w:rsidR="00B733EA" w:rsidRDefault="00B733EA" w:rsidP="00DA263B">
            <w:pPr>
              <w:pStyle w:val="TAC"/>
              <w:jc w:val="left"/>
              <w:rPr>
                <w:rFonts w:ascii="Times New Roman" w:hAnsi="Times New Roman"/>
                <w:lang w:val="en-GB"/>
              </w:rPr>
            </w:pPr>
          </w:p>
        </w:tc>
        <w:tc>
          <w:tcPr>
            <w:tcW w:w="5794" w:type="dxa"/>
            <w:tcBorders>
              <w:top w:val="single" w:sz="4" w:space="0" w:color="auto"/>
              <w:left w:val="single" w:sz="4" w:space="0" w:color="auto"/>
              <w:bottom w:val="single" w:sz="4" w:space="0" w:color="auto"/>
              <w:right w:val="single" w:sz="4" w:space="0" w:color="auto"/>
            </w:tcBorders>
          </w:tcPr>
          <w:p w14:paraId="49E4F11C" w14:textId="77777777" w:rsidR="00B733EA" w:rsidRDefault="00B733EA" w:rsidP="00DA263B">
            <w:pPr>
              <w:pStyle w:val="TAC"/>
              <w:jc w:val="left"/>
              <w:rPr>
                <w:rFonts w:ascii="Times New Roman" w:hAnsi="Times New Roman"/>
                <w:lang w:val="de-DE"/>
              </w:rPr>
            </w:pP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during the email discussion after RAN2#116e, whether to adopt another NTA </w:t>
      </w:r>
      <w:proofErr w:type="gramStart"/>
      <w:r>
        <w:rPr>
          <w:rFonts w:eastAsiaTheme="minorEastAsia" w:cstheme="minorBidi"/>
          <w:kern w:val="2"/>
          <w:sz w:val="21"/>
          <w:szCs w:val="22"/>
          <w:lang w:val="en-US" w:eastAsia="zh-CN"/>
        </w:rPr>
        <w:t>similar to</w:t>
      </w:r>
      <w:proofErr w:type="gramEnd"/>
      <w:r>
        <w:rPr>
          <w:rFonts w:eastAsiaTheme="minorEastAsia" w:cstheme="minorBidi"/>
          <w:kern w:val="2"/>
          <w:sz w:val="21"/>
          <w:szCs w:val="22"/>
          <w:lang w:val="en-US" w:eastAsia="zh-CN"/>
        </w:rPr>
        <w:t xml:space="preserve"> PUR has been discussed. While, for the email discussion, </w:t>
      </w:r>
      <w:proofErr w:type="gramStart"/>
      <w:r>
        <w:rPr>
          <w:rFonts w:eastAsiaTheme="minorEastAsia" w:cstheme="minorBidi"/>
          <w:kern w:val="2"/>
          <w:sz w:val="21"/>
          <w:szCs w:val="22"/>
          <w:lang w:val="en-US" w:eastAsia="zh-CN"/>
        </w:rPr>
        <w:t>the majority of</w:t>
      </w:r>
      <w:proofErr w:type="gramEnd"/>
      <w:r>
        <w:rPr>
          <w:rFonts w:eastAsiaTheme="minorEastAsia" w:cstheme="minorBidi"/>
          <w:kern w:val="2"/>
          <w:sz w:val="21"/>
          <w:szCs w:val="22"/>
          <w:lang w:val="en-US" w:eastAsia="zh-CN"/>
        </w:rPr>
        <w:t xml:space="preserve">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lastRenderedPageBreak/>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CommentText"/>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CommentText"/>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w:t>
            </w:r>
            <w:proofErr w:type="gramStart"/>
            <w:r>
              <w:rPr>
                <w:rFonts w:eastAsia="Malgun Gothic"/>
                <w:lang w:eastAsia="ko-KR"/>
              </w:rPr>
              <w:t>initiation,</w:t>
            </w:r>
            <w:proofErr w:type="gramEnd"/>
            <w:r>
              <w:rPr>
                <w:rFonts w:eastAsia="Malgun Gothic"/>
                <w:lang w:eastAsia="ko-KR"/>
              </w:rPr>
              <w:t xml:space="preserve">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CommentText"/>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CommentText"/>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r>
              <w:rPr>
                <w:rFonts w:eastAsia="Malgun Gothic"/>
                <w:lang w:eastAsia="ko-KR"/>
              </w:rPr>
              <w:t>InterDigital</w:t>
            </w:r>
          </w:p>
        </w:tc>
        <w:tc>
          <w:tcPr>
            <w:tcW w:w="1981" w:type="dxa"/>
          </w:tcPr>
          <w:p w14:paraId="37BE849D" w14:textId="62895F28" w:rsidR="00077450" w:rsidRDefault="00077450" w:rsidP="00A8439F">
            <w:pPr>
              <w:pStyle w:val="CommentText"/>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CommentText"/>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bl>
    <w:p w14:paraId="5614C84E" w14:textId="77777777" w:rsidR="00996A9A" w:rsidRDefault="00996A9A">
      <w:pPr>
        <w:rPr>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lastRenderedPageBreak/>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CommentText"/>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CommentText"/>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CommentText"/>
              <w:rPr>
                <w:rFonts w:eastAsia="Malgun Gothic"/>
                <w:lang w:eastAsia="ko-KR"/>
              </w:rPr>
            </w:pPr>
            <w:r>
              <w:rPr>
                <w:rFonts w:eastAsia="Malgun Gothic"/>
                <w:lang w:eastAsia="ko-KR"/>
              </w:rPr>
              <w:t xml:space="preserve">In general think that only one TA timer is required </w:t>
            </w:r>
            <w:proofErr w:type="gramStart"/>
            <w:r>
              <w:rPr>
                <w:rFonts w:eastAsia="Malgun Gothic"/>
                <w:lang w:eastAsia="ko-KR"/>
              </w:rPr>
              <w:t>in order to</w:t>
            </w:r>
            <w:proofErr w:type="gramEnd"/>
            <w:r>
              <w:rPr>
                <w:rFonts w:eastAsia="Malgun Gothic"/>
                <w:lang w:eastAsia="ko-KR"/>
              </w:rPr>
              <w:t xml:space="preserve">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w:t>
            </w:r>
            <w:r>
              <w:rPr>
                <w:rFonts w:eastAsia="Malgun Gothic"/>
                <w:lang w:eastAsia="ko-KR"/>
              </w:rPr>
              <w:lastRenderedPageBreak/>
              <w:t xml:space="preserve">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r>
              <w:rPr>
                <w:rFonts w:eastAsia="Malgun Gothic"/>
                <w:lang w:eastAsia="ko-KR"/>
              </w:rPr>
              <w:lastRenderedPageBreak/>
              <w:t>InterDigital</w:t>
            </w:r>
          </w:p>
        </w:tc>
        <w:tc>
          <w:tcPr>
            <w:tcW w:w="1981" w:type="dxa"/>
          </w:tcPr>
          <w:p w14:paraId="2DB69820" w14:textId="6BB73442" w:rsidR="00077450" w:rsidRDefault="00077450" w:rsidP="00A8439F">
            <w:pPr>
              <w:pStyle w:val="CommentText"/>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CommentText"/>
              <w:rPr>
                <w:rFonts w:eastAsia="Malgun Gothic"/>
                <w:lang w:eastAsia="ko-KR"/>
              </w:rPr>
            </w:pPr>
            <w:r>
              <w:rPr>
                <w:rFonts w:eastAsia="Malgun Gothic"/>
                <w:lang w:eastAsia="ko-KR"/>
              </w:rPr>
              <w:t>Legacy TAT can be kept as is.</w:t>
            </w:r>
          </w:p>
        </w:tc>
      </w:tr>
    </w:tbl>
    <w:p w14:paraId="4D7074EA" w14:textId="77777777" w:rsidR="00996A9A" w:rsidRDefault="00996A9A">
      <w:pPr>
        <w:rPr>
          <w:lang w:val="en-US"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CommentText"/>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CommentText"/>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CommentText"/>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r>
              <w:rPr>
                <w:rFonts w:eastAsia="Malgun Gothic"/>
                <w:lang w:eastAsia="ko-KR"/>
              </w:rPr>
              <w:t>InterDigital</w:t>
            </w:r>
          </w:p>
        </w:tc>
        <w:tc>
          <w:tcPr>
            <w:tcW w:w="1981" w:type="dxa"/>
          </w:tcPr>
          <w:p w14:paraId="60DEC42C" w14:textId="2087D189" w:rsidR="00EE7D2D" w:rsidRDefault="00EE7D2D" w:rsidP="00DA263B">
            <w:pPr>
              <w:pStyle w:val="CommentText"/>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lastRenderedPageBreak/>
              <w:t>During subsequent CG transmission phase (</w:t>
            </w:r>
            <w:proofErr w:type="gramStart"/>
            <w:r>
              <w:rPr>
                <w:rFonts w:ascii="Times New Roman" w:eastAsia="Yu Mincho" w:hAnsi="Times New Roman"/>
                <w:sz w:val="20"/>
                <w:szCs w:val="20"/>
                <w:lang w:eastAsia="ja-JP"/>
              </w:rPr>
              <w:t>i.e.</w:t>
            </w:r>
            <w:proofErr w:type="gramEnd"/>
            <w:r>
              <w:rPr>
                <w:rFonts w:ascii="Times New Roman" w:eastAsia="Yu Mincho" w:hAnsi="Times New Roman"/>
                <w:sz w:val="20"/>
                <w:szCs w:val="20"/>
                <w:lang w:eastAsia="ja-JP"/>
              </w:rPr>
              <w:t xml:space="preserv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w:t>
      </w:r>
      <w:proofErr w:type="gramStart"/>
      <w:r>
        <w:rPr>
          <w:rFonts w:eastAsia="Yu Mincho"/>
          <w:lang w:eastAsia="ja-JP"/>
        </w:rPr>
        <w:t>i.e.</w:t>
      </w:r>
      <w:proofErr w:type="gramEnd"/>
      <w:r>
        <w:rPr>
          <w:rFonts w:eastAsia="Yu Mincho"/>
          <w:lang w:eastAsia="ja-JP"/>
        </w:rPr>
        <w:t xml:space="preserve"> SS-RSRP of this SSB is above </w:t>
      </w:r>
      <w:r>
        <w:rPr>
          <w:rFonts w:eastAsia="Yu Mincho"/>
          <w:i/>
          <w:lang w:eastAsia="ja-JP"/>
        </w:rPr>
        <w:t>rsrp-ThresholdSSB</w:t>
      </w:r>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lastRenderedPageBreak/>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t>Xiaomi</w:t>
            </w:r>
          </w:p>
        </w:tc>
        <w:tc>
          <w:tcPr>
            <w:tcW w:w="1981" w:type="dxa"/>
          </w:tcPr>
          <w:p w14:paraId="1ABE0E37" w14:textId="62CBD89A" w:rsidR="00B703B2" w:rsidRDefault="00B703B2" w:rsidP="00901C14">
            <w:pPr>
              <w:pStyle w:val="CommentText"/>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CommentText"/>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CommentText"/>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CommentText"/>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r>
              <w:rPr>
                <w:rFonts w:eastAsia="Malgun Gothic"/>
                <w:lang w:eastAsia="ko-KR"/>
              </w:rPr>
              <w:t>InterDigital</w:t>
            </w:r>
          </w:p>
        </w:tc>
        <w:tc>
          <w:tcPr>
            <w:tcW w:w="1981" w:type="dxa"/>
          </w:tcPr>
          <w:p w14:paraId="057A2F8E" w14:textId="4CFD10D4" w:rsidR="00EE7D2D" w:rsidRDefault="00EE7D2D" w:rsidP="00DA263B">
            <w:pPr>
              <w:pStyle w:val="CommentText"/>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CommentText"/>
              <w:rPr>
                <w:rFonts w:eastAsia="Malgun Gothic"/>
                <w:lang w:eastAsia="ko-KR"/>
              </w:rPr>
            </w:pP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w:t>
            </w:r>
            <w:proofErr w:type="gramStart"/>
            <w:r w:rsidRPr="00C923CC">
              <w:rPr>
                <w:rFonts w:eastAsia="Malgun Gothic"/>
                <w:lang w:eastAsia="ko-KR"/>
              </w:rPr>
              <w:t>e.g.</w:t>
            </w:r>
            <w:proofErr w:type="gramEnd"/>
            <w:r w:rsidRPr="00C923CC">
              <w:rPr>
                <w:rFonts w:eastAsia="Malgun Gothic"/>
                <w:lang w:eastAsia="ko-KR"/>
              </w:rPr>
              <w:t xml:space="preserve"> initial tx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 xml:space="preserve">dynamic uplink grant for HARQ process different from the one used for initial CG-SDT transmission as </w:t>
            </w:r>
            <w:r>
              <w:lastRenderedPageBreak/>
              <w:t>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w:t>
            </w:r>
            <w:proofErr w:type="gramStart"/>
            <w:r>
              <w:rPr>
                <w:rFonts w:eastAsiaTheme="minorEastAsia"/>
                <w:lang w:eastAsia="zh-CN"/>
              </w:rPr>
              <w:t>has to</w:t>
            </w:r>
            <w:proofErr w:type="gramEnd"/>
            <w:r>
              <w:rPr>
                <w:rFonts w:eastAsiaTheme="minorEastAsia"/>
                <w:lang w:eastAsia="zh-CN"/>
              </w:rPr>
              <w:t xml:space="preserve"> have the same HARQ process id as the initial 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his is </w:t>
            </w:r>
            <w:proofErr w:type="gramStart"/>
            <w:r>
              <w:rPr>
                <w:rFonts w:eastAsiaTheme="minorEastAsia"/>
                <w:lang w:eastAsia="zh-CN"/>
              </w:rPr>
              <w:t>exactly the same</w:t>
            </w:r>
            <w:proofErr w:type="gramEnd"/>
            <w:r>
              <w:rPr>
                <w:rFonts w:eastAsiaTheme="minorEastAsia"/>
                <w:lang w:eastAsia="zh-CN"/>
              </w:rPr>
              <w:t xml:space="preserv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806DF9">
            <w:pPr>
              <w:rPr>
                <w:rFonts w:eastAsia="Malgun Gothic"/>
                <w:lang w:eastAsia="ko-KR"/>
              </w:rPr>
            </w:pPr>
            <w:r>
              <w:rPr>
                <w:rFonts w:eastAsia="Malgun Gothic"/>
                <w:lang w:eastAsia="ko-KR"/>
              </w:rPr>
              <w:t>Nokia</w:t>
            </w:r>
          </w:p>
        </w:tc>
        <w:tc>
          <w:tcPr>
            <w:tcW w:w="1981" w:type="dxa"/>
          </w:tcPr>
          <w:p w14:paraId="38D5F7F5" w14:textId="77777777" w:rsidR="00DA263B" w:rsidRDefault="00DA263B" w:rsidP="00806DF9">
            <w:pPr>
              <w:pStyle w:val="CommentText"/>
              <w:rPr>
                <w:rFonts w:eastAsia="Malgun Gothic"/>
                <w:lang w:eastAsia="ko-KR"/>
              </w:rPr>
            </w:pPr>
            <w:r>
              <w:rPr>
                <w:rFonts w:eastAsia="Malgun Gothic"/>
                <w:lang w:eastAsia="ko-KR"/>
              </w:rPr>
              <w:t>Unclear</w:t>
            </w:r>
          </w:p>
        </w:tc>
        <w:tc>
          <w:tcPr>
            <w:tcW w:w="6521" w:type="dxa"/>
          </w:tcPr>
          <w:p w14:paraId="03963572" w14:textId="77777777" w:rsidR="00DA263B" w:rsidRDefault="00DA263B" w:rsidP="00806DF9">
            <w:pPr>
              <w:pStyle w:val="CommentText"/>
              <w:rPr>
                <w:rFonts w:eastAsia="Malgun Gothic"/>
                <w:lang w:eastAsia="ko-KR"/>
              </w:rPr>
            </w:pPr>
            <w:r>
              <w:rPr>
                <w:rFonts w:eastAsia="Malgun Gothic"/>
                <w:lang w:eastAsia="ko-KR"/>
              </w:rPr>
              <w:t>It serves similarly as NW response for the initial transmission but ACK happens only with new UL tx for the same HARQ process.</w:t>
            </w:r>
          </w:p>
          <w:p w14:paraId="348CF5CF" w14:textId="77777777" w:rsidR="00DA263B" w:rsidRDefault="00DA263B" w:rsidP="00806DF9">
            <w:pPr>
              <w:pStyle w:val="CommentText"/>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CommentText"/>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CommentText"/>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r>
              <w:rPr>
                <w:rFonts w:eastAsia="Malgun Gothic"/>
                <w:lang w:eastAsia="ko-KR"/>
              </w:rPr>
              <w:t>InterDigital</w:t>
            </w:r>
          </w:p>
        </w:tc>
        <w:tc>
          <w:tcPr>
            <w:tcW w:w="1981" w:type="dxa"/>
          </w:tcPr>
          <w:p w14:paraId="52293165" w14:textId="461E39DA" w:rsidR="00574073" w:rsidRDefault="00574073" w:rsidP="00A8439F">
            <w:pPr>
              <w:pStyle w:val="CommentText"/>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CommentText"/>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CommentText"/>
              <w:rPr>
                <w:rFonts w:eastAsia="Malgun Gothic"/>
                <w:lang w:eastAsia="ko-KR"/>
              </w:rPr>
            </w:pPr>
            <w:r>
              <w:rPr>
                <w:rFonts w:eastAsia="Malgun Gothic"/>
                <w:lang w:eastAsia="ko-KR"/>
              </w:rPr>
              <w:t>This is enough, and no reason to deviate from the agreement.</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r>
              <w:rPr>
                <w:i/>
              </w:rPr>
              <w:t>Bj</w:t>
            </w:r>
            <w:r>
              <w:t xml:space="preserve"> for each logical channel to </w:t>
            </w:r>
            <w:proofErr w:type="gramStart"/>
            <w:r>
              <w:t>zero;</w:t>
            </w:r>
            <w:proofErr w:type="gramEnd"/>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Sidelink resource allocation mode 1 is configured by </w:t>
            </w:r>
            <w:proofErr w:type="gramStart"/>
            <w:r>
              <w:rPr>
                <w:lang w:eastAsia="fr-FR"/>
              </w:rPr>
              <w:t>RRC;</w:t>
            </w:r>
            <w:proofErr w:type="gramEnd"/>
          </w:p>
          <w:p w14:paraId="67748D9F" w14:textId="77777777" w:rsidR="00996A9A" w:rsidRDefault="00C94E42">
            <w:pPr>
              <w:pStyle w:val="B1"/>
              <w:spacing w:after="0" w:line="360" w:lineRule="auto"/>
            </w:pPr>
            <w:r>
              <w:t>1&gt;</w:t>
            </w:r>
            <w:r>
              <w:tab/>
              <w:t xml:space="preserve">stop (if running) all </w:t>
            </w:r>
            <w:proofErr w:type="gramStart"/>
            <w:r>
              <w:t>timers;</w:t>
            </w:r>
            <w:proofErr w:type="gramEnd"/>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w:t>
            </w:r>
            <w:proofErr w:type="gramStart"/>
            <w:r>
              <w:rPr>
                <w:highlight w:val="yellow"/>
              </w:rPr>
              <w:t>5.2;</w:t>
            </w:r>
            <w:proofErr w:type="gramEnd"/>
          </w:p>
          <w:p w14:paraId="654CF642" w14:textId="77777777" w:rsidR="00996A9A" w:rsidRDefault="00C94E42">
            <w:pPr>
              <w:pStyle w:val="B1"/>
              <w:spacing w:after="0" w:line="360" w:lineRule="auto"/>
            </w:pPr>
            <w:r>
              <w:t>1&gt;</w:t>
            </w:r>
            <w:r>
              <w:tab/>
              <w:t xml:space="preserve">set the NDIs for all uplink HARQ processes to the value </w:t>
            </w:r>
            <w:proofErr w:type="gramStart"/>
            <w:r>
              <w:t>0;</w:t>
            </w:r>
            <w:proofErr w:type="gramEnd"/>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r>
              <w:t xml:space="preserve">Sidelink resource allocation mode </w:t>
            </w:r>
            <w:proofErr w:type="gramStart"/>
            <w:r>
              <w:t>1;</w:t>
            </w:r>
            <w:proofErr w:type="gramEnd"/>
          </w:p>
          <w:p w14:paraId="3B030A82" w14:textId="77777777" w:rsidR="00996A9A" w:rsidRDefault="00C94E42">
            <w:pPr>
              <w:pStyle w:val="B1"/>
              <w:spacing w:after="0" w:line="360" w:lineRule="auto"/>
            </w:pPr>
            <w:r>
              <w:t>1&gt;</w:t>
            </w:r>
            <w:r>
              <w:tab/>
              <w:t xml:space="preserve">stop, if any, ongoing Random Access </w:t>
            </w:r>
            <w:proofErr w:type="gramStart"/>
            <w:r>
              <w:t>procedure;</w:t>
            </w:r>
            <w:proofErr w:type="gramEnd"/>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 xml:space="preserve">flush Msg3 </w:t>
            </w:r>
            <w:proofErr w:type="gramStart"/>
            <w:r>
              <w:t>buffer;</w:t>
            </w:r>
            <w:proofErr w:type="gramEnd"/>
          </w:p>
          <w:p w14:paraId="2690E7DE" w14:textId="77777777" w:rsidR="00996A9A" w:rsidRDefault="00C94E42">
            <w:pPr>
              <w:pStyle w:val="B1"/>
              <w:spacing w:after="0" w:line="360" w:lineRule="auto"/>
            </w:pPr>
            <w:r>
              <w:t>1&gt;</w:t>
            </w:r>
            <w:r>
              <w:tab/>
              <w:t xml:space="preserve">flush MSGA </w:t>
            </w:r>
            <w:proofErr w:type="gramStart"/>
            <w:r>
              <w:t>buffer;</w:t>
            </w:r>
            <w:proofErr w:type="gramEnd"/>
          </w:p>
          <w:p w14:paraId="201BF63C" w14:textId="77777777" w:rsidR="00996A9A" w:rsidRDefault="00C94E42">
            <w:pPr>
              <w:pStyle w:val="B1"/>
              <w:spacing w:after="0" w:line="360" w:lineRule="auto"/>
            </w:pPr>
            <w:r>
              <w:t>1&gt;</w:t>
            </w:r>
            <w:r>
              <w:tab/>
              <w:t xml:space="preserve">cancel, if any, triggered Scheduling Request </w:t>
            </w:r>
            <w:proofErr w:type="gramStart"/>
            <w:r>
              <w:t>procedure;</w:t>
            </w:r>
            <w:proofErr w:type="gramEnd"/>
          </w:p>
          <w:p w14:paraId="6BC21351" w14:textId="77777777" w:rsidR="00996A9A" w:rsidRDefault="00C94E42">
            <w:pPr>
              <w:pStyle w:val="B1"/>
              <w:spacing w:after="0" w:line="360" w:lineRule="auto"/>
            </w:pPr>
            <w:r>
              <w:t>1&gt;</w:t>
            </w:r>
            <w:r>
              <w:tab/>
              <w:t xml:space="preserve">cancel, if any, triggered Buffer Status Reporting </w:t>
            </w:r>
            <w:proofErr w:type="gramStart"/>
            <w:r>
              <w:t>procedure;</w:t>
            </w:r>
            <w:proofErr w:type="gramEnd"/>
          </w:p>
          <w:p w14:paraId="0F6BFB1F" w14:textId="77777777" w:rsidR="00996A9A" w:rsidRDefault="00C94E42">
            <w:pPr>
              <w:pStyle w:val="B1"/>
              <w:spacing w:after="0" w:line="360" w:lineRule="auto"/>
            </w:pPr>
            <w:r>
              <w:t>1&gt;</w:t>
            </w:r>
            <w:r>
              <w:tab/>
              <w:t xml:space="preserve">cancel, if any, triggered Power Headroom Reporting </w:t>
            </w:r>
            <w:proofErr w:type="gramStart"/>
            <w:r>
              <w:t>procedure;</w:t>
            </w:r>
            <w:proofErr w:type="gramEnd"/>
          </w:p>
          <w:p w14:paraId="3C8D8EEE" w14:textId="77777777" w:rsidR="00996A9A" w:rsidRDefault="00C94E42">
            <w:pPr>
              <w:pStyle w:val="B1"/>
              <w:spacing w:after="0" w:line="360" w:lineRule="auto"/>
            </w:pPr>
            <w:r>
              <w:t>1&gt;</w:t>
            </w:r>
            <w:r>
              <w:tab/>
              <w:t xml:space="preserve">cancel, if any, triggered consistent LBT </w:t>
            </w:r>
            <w:proofErr w:type="gramStart"/>
            <w:r>
              <w:t>failure;</w:t>
            </w:r>
            <w:proofErr w:type="gramEnd"/>
          </w:p>
          <w:p w14:paraId="1DB122EB" w14:textId="77777777" w:rsidR="00996A9A" w:rsidRDefault="00C94E42">
            <w:pPr>
              <w:pStyle w:val="B1"/>
              <w:spacing w:after="0" w:line="360" w:lineRule="auto"/>
            </w:pPr>
            <w:r>
              <w:t>1&gt;</w:t>
            </w:r>
            <w:r>
              <w:tab/>
              <w:t xml:space="preserve">cancel, if any, triggered </w:t>
            </w:r>
            <w:proofErr w:type="gramStart"/>
            <w:r>
              <w:t>BFR;</w:t>
            </w:r>
            <w:proofErr w:type="gramEnd"/>
          </w:p>
          <w:p w14:paraId="2F955EC6" w14:textId="77777777" w:rsidR="00996A9A" w:rsidRDefault="00C94E42">
            <w:pPr>
              <w:pStyle w:val="B1"/>
              <w:spacing w:after="0" w:line="360" w:lineRule="auto"/>
            </w:pPr>
            <w:r>
              <w:t>1&gt;</w:t>
            </w:r>
            <w:r>
              <w:tab/>
              <w:t xml:space="preserve">cancel, if any, triggered Sidelink Buffer Status Reporting </w:t>
            </w:r>
            <w:proofErr w:type="gramStart"/>
            <w:r>
              <w:t>procedure;</w:t>
            </w:r>
            <w:proofErr w:type="gramEnd"/>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w:t>
            </w:r>
            <w:proofErr w:type="gramStart"/>
            <w:r>
              <w:t>procedure;</w:t>
            </w:r>
            <w:proofErr w:type="gramEnd"/>
          </w:p>
          <w:p w14:paraId="0BEDEE6D" w14:textId="77777777" w:rsidR="00996A9A" w:rsidRDefault="00C94E42">
            <w:pPr>
              <w:pStyle w:val="B1"/>
              <w:spacing w:after="0" w:line="360" w:lineRule="auto"/>
            </w:pPr>
            <w:r>
              <w:t>1&gt;</w:t>
            </w:r>
            <w:r>
              <w:tab/>
              <w:t xml:space="preserve">cancel, if any, triggered Recommended bit rate query </w:t>
            </w:r>
            <w:proofErr w:type="gramStart"/>
            <w:r>
              <w:t>procedure;</w:t>
            </w:r>
            <w:proofErr w:type="gramEnd"/>
          </w:p>
          <w:p w14:paraId="41E081FF" w14:textId="77777777" w:rsidR="00996A9A" w:rsidRDefault="00C94E42">
            <w:pPr>
              <w:pStyle w:val="B1"/>
              <w:spacing w:after="0" w:line="360" w:lineRule="auto"/>
            </w:pPr>
            <w:r>
              <w:t>1&gt;</w:t>
            </w:r>
            <w:r>
              <w:tab/>
              <w:t xml:space="preserve">cancel, if any, triggered </w:t>
            </w:r>
            <w:r>
              <w:rPr>
                <w:lang w:eastAsia="ko-KR"/>
              </w:rPr>
              <w:t xml:space="preserve">Configured uplink grant </w:t>
            </w:r>
            <w:proofErr w:type="gramStart"/>
            <w:r>
              <w:rPr>
                <w:lang w:eastAsia="ko-KR"/>
              </w:rPr>
              <w:t>confirmation</w:t>
            </w:r>
            <w:r>
              <w:t>;</w:t>
            </w:r>
            <w:proofErr w:type="gramEnd"/>
          </w:p>
          <w:p w14:paraId="5CE7E887" w14:textId="77777777" w:rsidR="00996A9A" w:rsidRDefault="00C94E42">
            <w:pPr>
              <w:pStyle w:val="B1"/>
              <w:spacing w:after="0" w:line="360" w:lineRule="auto"/>
            </w:pPr>
            <w:r>
              <w:t>1&gt;</w:t>
            </w:r>
            <w:r>
              <w:tab/>
              <w:t xml:space="preserve">cancel, if any, triggered </w:t>
            </w:r>
            <w:r>
              <w:rPr>
                <w:lang w:eastAsia="ko-KR"/>
              </w:rPr>
              <w:t xml:space="preserve">configured sidelink grant </w:t>
            </w:r>
            <w:proofErr w:type="gramStart"/>
            <w:r>
              <w:rPr>
                <w:lang w:eastAsia="ko-KR"/>
              </w:rPr>
              <w:t>confirmation</w:t>
            </w:r>
            <w:r>
              <w:t>;</w:t>
            </w:r>
            <w:proofErr w:type="gramEnd"/>
          </w:p>
          <w:p w14:paraId="47D07B87" w14:textId="77777777" w:rsidR="00996A9A" w:rsidRDefault="00C94E42">
            <w:pPr>
              <w:pStyle w:val="B1"/>
              <w:spacing w:after="0" w:line="360" w:lineRule="auto"/>
            </w:pPr>
            <w:r>
              <w:t>1&gt;</w:t>
            </w:r>
            <w:r>
              <w:tab/>
              <w:t xml:space="preserve">cancel, if any, triggered </w:t>
            </w:r>
            <w:r>
              <w:rPr>
                <w:lang w:eastAsia="ko-KR"/>
              </w:rPr>
              <w:t xml:space="preserve">Desired Guard Symbol </w:t>
            </w:r>
            <w:proofErr w:type="gramStart"/>
            <w:r>
              <w:rPr>
                <w:lang w:eastAsia="ko-KR"/>
              </w:rPr>
              <w:t>query</w:t>
            </w:r>
            <w:r>
              <w:t>;</w:t>
            </w:r>
            <w:proofErr w:type="gramEnd"/>
          </w:p>
          <w:p w14:paraId="241FC6E2" w14:textId="77777777" w:rsidR="00996A9A" w:rsidRDefault="00C94E42">
            <w:pPr>
              <w:pStyle w:val="B1"/>
              <w:spacing w:after="0" w:line="360" w:lineRule="auto"/>
            </w:pPr>
            <w:r>
              <w:t>1&gt;</w:t>
            </w:r>
            <w:r>
              <w:tab/>
              <w:t xml:space="preserve">flush the soft buffers for all DL HARQ </w:t>
            </w:r>
            <w:proofErr w:type="gramStart"/>
            <w:r>
              <w:t>processes;</w:t>
            </w:r>
            <w:proofErr w:type="gramEnd"/>
          </w:p>
          <w:p w14:paraId="721D8199" w14:textId="77777777" w:rsidR="00996A9A" w:rsidRDefault="00C94E42">
            <w:pPr>
              <w:pStyle w:val="B1"/>
              <w:spacing w:after="0" w:line="360" w:lineRule="auto"/>
            </w:pPr>
            <w:r>
              <w:t>1&gt;</w:t>
            </w:r>
            <w:r>
              <w:tab/>
              <w:t xml:space="preserve">for each DL HARQ process, consider the next received transmission for a TB as the very first </w:t>
            </w:r>
            <w:proofErr w:type="gramStart"/>
            <w:r>
              <w:t>transmission;</w:t>
            </w:r>
            <w:proofErr w:type="gramEnd"/>
          </w:p>
          <w:p w14:paraId="7101BEF1" w14:textId="77777777" w:rsidR="00996A9A" w:rsidRDefault="00C94E42">
            <w:pPr>
              <w:pStyle w:val="B1"/>
              <w:spacing w:after="0" w:line="360" w:lineRule="auto"/>
              <w:rPr>
                <w:lang w:eastAsia="ko-KR"/>
              </w:rPr>
            </w:pPr>
            <w:r>
              <w:t>1&gt;</w:t>
            </w:r>
            <w:r>
              <w:tab/>
              <w:t>release, if any, Temporary C-</w:t>
            </w:r>
            <w:proofErr w:type="gramStart"/>
            <w:r>
              <w:t>RNTI</w:t>
            </w:r>
            <w:r>
              <w:rPr>
                <w:lang w:eastAsia="ko-KR"/>
              </w:rPr>
              <w:t>;</w:t>
            </w:r>
            <w:proofErr w:type="gramEnd"/>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Sidelink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Sidelink processes for all TB(s) associated to the PC5-RRC </w:t>
            </w:r>
            <w:proofErr w:type="gramStart"/>
            <w:r>
              <w:rPr>
                <w:lang w:eastAsia="ko-KR"/>
              </w:rPr>
              <w:t>connection;</w:t>
            </w:r>
            <w:proofErr w:type="gramEnd"/>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w:t>
            </w:r>
            <w:proofErr w:type="gramStart"/>
            <w:r>
              <w:rPr>
                <w:lang w:eastAsia="ko-KR"/>
              </w:rPr>
              <w:t>unoccupied;</w:t>
            </w:r>
            <w:proofErr w:type="gramEnd"/>
          </w:p>
          <w:p w14:paraId="0BB4F7F4" w14:textId="77777777" w:rsidR="00996A9A" w:rsidRDefault="00C94E42">
            <w:pPr>
              <w:pStyle w:val="B1"/>
              <w:spacing w:after="0" w:line="360" w:lineRule="auto"/>
              <w:rPr>
                <w:lang w:eastAsia="ko-KR"/>
              </w:rPr>
            </w:pPr>
            <w:r>
              <w:rPr>
                <w:lang w:eastAsia="ko-KR"/>
              </w:rPr>
              <w:t>1&gt;</w:t>
            </w:r>
            <w:r>
              <w:rPr>
                <w:lang w:eastAsia="ko-KR"/>
              </w:rPr>
              <w:tab/>
              <w:t xml:space="preserve">cancel, if any, triggered Scheduling Request procedure only associated to the PC5-RRC </w:t>
            </w:r>
            <w:proofErr w:type="gramStart"/>
            <w:r>
              <w:rPr>
                <w:lang w:eastAsia="ko-KR"/>
              </w:rPr>
              <w:t>connection;</w:t>
            </w:r>
            <w:proofErr w:type="gramEnd"/>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w:t>
            </w:r>
            <w:proofErr w:type="gramStart"/>
            <w:r>
              <w:rPr>
                <w:lang w:eastAsia="ko-KR"/>
              </w:rPr>
              <w:t>connection;</w:t>
            </w:r>
            <w:proofErr w:type="gramEnd"/>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Sidelink CSI Reporting procedure associated to the PC5-RRC </w:t>
            </w:r>
            <w:proofErr w:type="gramStart"/>
            <w:r>
              <w:rPr>
                <w:lang w:eastAsia="ko-KR"/>
              </w:rPr>
              <w:t>connection;</w:t>
            </w:r>
            <w:proofErr w:type="gramEnd"/>
          </w:p>
          <w:p w14:paraId="142EA45D" w14:textId="77777777" w:rsidR="00996A9A" w:rsidRDefault="00C94E42">
            <w:pPr>
              <w:pStyle w:val="B1"/>
              <w:spacing w:after="0" w:line="360" w:lineRule="auto"/>
              <w:rPr>
                <w:lang w:eastAsia="ko-KR"/>
              </w:rPr>
            </w:pPr>
            <w:r>
              <w:rPr>
                <w:lang w:eastAsia="ko-KR"/>
              </w:rPr>
              <w:t>1&gt;</w:t>
            </w:r>
            <w:r>
              <w:rPr>
                <w:lang w:eastAsia="ko-KR"/>
              </w:rPr>
              <w:tab/>
              <w:t xml:space="preserve">stop (if running) all timers associated to the PC5-RRC </w:t>
            </w:r>
            <w:proofErr w:type="gramStart"/>
            <w:r>
              <w:rPr>
                <w:lang w:eastAsia="ko-KR"/>
              </w:rPr>
              <w:t>connection;</w:t>
            </w:r>
            <w:proofErr w:type="gramEnd"/>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w:t>
            </w:r>
            <w:proofErr w:type="gramStart"/>
            <w:r>
              <w:rPr>
                <w:lang w:eastAsia="ko-KR"/>
              </w:rPr>
              <w:t>connection;</w:t>
            </w:r>
            <w:proofErr w:type="gramEnd"/>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w:t>
      </w:r>
      <w:proofErr w:type="gramStart"/>
      <w:r>
        <w:rPr>
          <w:lang w:eastAsia="zh-CN"/>
        </w:rPr>
        <w:t>similar to</w:t>
      </w:r>
      <w:proofErr w:type="gramEnd"/>
      <w:r>
        <w:rPr>
          <w:lang w:eastAsia="zh-CN"/>
        </w:rPr>
        <w:t xml:space="preserve">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proofErr w:type="gramStart"/>
            <w:r>
              <w:rPr>
                <w:rFonts w:eastAsia="PMingLiU"/>
                <w:lang w:eastAsia="zh-TW"/>
              </w:rPr>
              <w:t>Similar</w:t>
            </w:r>
            <w:r>
              <w:rPr>
                <w:rFonts w:eastAsia="PMingLiU" w:hint="eastAsia"/>
                <w:lang w:eastAsia="zh-TW"/>
              </w:rPr>
              <w:t xml:space="preserve"> </w:t>
            </w:r>
            <w:r>
              <w:rPr>
                <w:rFonts w:eastAsia="PMingLiU"/>
                <w:lang w:eastAsia="zh-TW"/>
              </w:rPr>
              <w:t>to</w:t>
            </w:r>
            <w:proofErr w:type="gramEnd"/>
            <w:r>
              <w:rPr>
                <w:rFonts w:eastAsia="PMingLiU"/>
                <w:lang w:eastAsia="zh-TW"/>
              </w:rPr>
              <w:t xml:space="preserve">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 xml:space="preserve">reset MAC and release the default MAC Cell Group configuration, if </w:t>
            </w:r>
            <w:proofErr w:type="gramStart"/>
            <w:r w:rsidRPr="0084274B">
              <w:rPr>
                <w:highlight w:val="yellow"/>
              </w:rPr>
              <w:t>any;</w:t>
            </w:r>
            <w:proofErr w:type="gramEnd"/>
          </w:p>
          <w:p w14:paraId="30BDC01C" w14:textId="77777777" w:rsidR="00ED5E72" w:rsidRPr="00D27132" w:rsidRDefault="00ED5E72" w:rsidP="00ED5E72">
            <w:pPr>
              <w:pStyle w:val="B2"/>
            </w:pPr>
            <w:r w:rsidRPr="0084274B">
              <w:rPr>
                <w:highlight w:val="yellow"/>
              </w:rPr>
              <w:t>2&gt;</w:t>
            </w:r>
            <w:r w:rsidRPr="0084274B">
              <w:rPr>
                <w:highlight w:val="yellow"/>
              </w:rPr>
              <w:tab/>
              <w:t xml:space="preserve">re-establish RLC entities for </w:t>
            </w:r>
            <w:proofErr w:type="gramStart"/>
            <w:r w:rsidRPr="0084274B">
              <w:rPr>
                <w:highlight w:val="yellow"/>
              </w:rPr>
              <w:t>SRB1;</w:t>
            </w:r>
            <w:proofErr w:type="gramEnd"/>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 xml:space="preserve">stop the timer T319 if </w:t>
            </w:r>
            <w:proofErr w:type="gramStart"/>
            <w:r w:rsidRPr="00D27132">
              <w:t>running;</w:t>
            </w:r>
            <w:proofErr w:type="gramEnd"/>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w:t>
            </w:r>
            <w:proofErr w:type="gramStart"/>
            <w:r w:rsidRPr="00D27132">
              <w:t>keys;</w:t>
            </w:r>
            <w:proofErr w:type="gramEnd"/>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w:t>
            </w:r>
            <w:proofErr w:type="gramStart"/>
            <w:r w:rsidRPr="00D27132">
              <w:t>message;</w:t>
            </w:r>
            <w:proofErr w:type="gramEnd"/>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w:t>
            </w:r>
            <w:proofErr w:type="gramStart"/>
            <w:r w:rsidRPr="00D27132">
              <w:t>message;</w:t>
            </w:r>
            <w:proofErr w:type="gramEnd"/>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proofErr w:type="gramStart"/>
            <w:r>
              <w:rPr>
                <w:szCs w:val="22"/>
              </w:rPr>
              <w:t>Also</w:t>
            </w:r>
            <w:proofErr w:type="gramEnd"/>
            <w:r>
              <w:rPr>
                <w:szCs w:val="22"/>
              </w:rPr>
              <w:t xml:space="preserve">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CommentText"/>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r>
              <w:rPr>
                <w:rFonts w:eastAsia="Malgun Gothic"/>
                <w:lang w:eastAsia="ko-KR"/>
              </w:rPr>
              <w:t>InterDigital</w:t>
            </w:r>
          </w:p>
        </w:tc>
        <w:tc>
          <w:tcPr>
            <w:tcW w:w="1981" w:type="dxa"/>
          </w:tcPr>
          <w:p w14:paraId="53CEFF02" w14:textId="3BF66147" w:rsidR="00574073" w:rsidRDefault="00574073" w:rsidP="00DA263B">
            <w:pPr>
              <w:pStyle w:val="CommentText"/>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112BAE3B" w14:textId="77777777" w:rsidR="00996A9A" w:rsidRDefault="00C94E42">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77777777" w:rsidR="00996A9A" w:rsidRDefault="00C94E42">
            <w:pPr>
              <w:pStyle w:val="PL"/>
            </w:pPr>
            <w:r>
              <w:t xml:space="preserve">    cg-DMRS-Configuration               DMRS-</w:t>
            </w:r>
            <w:proofErr w:type="spellStart"/>
            <w:r>
              <w:t>UplinkConfig</w:t>
            </w:r>
            <w:proofErr w:type="spellEnd"/>
            <w:r>
              <w:t>,</w:t>
            </w:r>
          </w:p>
          <w:p w14:paraId="32DB89D3" w14:textId="77777777" w:rsidR="00996A9A" w:rsidRDefault="00C94E42">
            <w:pPr>
              <w:pStyle w:val="PL"/>
            </w:pPr>
            <w:r>
              <w:t xml:space="preserve">    </w:t>
            </w:r>
            <w:proofErr w:type="spellStart"/>
            <w:r>
              <w:t>mcs</w:t>
            </w:r>
            <w:proofErr w:type="spellEnd"/>
            <w:r>
              <w:t>-Table                           ENUMERATED {qam256, qam64</w:t>
            </w:r>
            <w:proofErr w:type="gramStart"/>
            <w:r>
              <w:t xml:space="preserve">LowSE}   </w:t>
            </w:r>
            <w:proofErr w:type="gramEnd"/>
            <w:r>
              <w:t xml:space="preserve">                                      OPTIONAL,   -- Need S</w:t>
            </w:r>
          </w:p>
          <w:p w14:paraId="2B432F2F" w14:textId="77777777" w:rsidR="00996A9A" w:rsidRDefault="00C94E42">
            <w:pPr>
              <w:pStyle w:val="PL"/>
            </w:pPr>
            <w:r>
              <w:lastRenderedPageBreak/>
              <w:t xml:space="preserve">    </w:t>
            </w: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77777777" w:rsidR="00996A9A" w:rsidRDefault="00C94E42">
            <w:pPr>
              <w:pStyle w:val="PL"/>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027ED9B1" w14:textId="77777777" w:rsidR="00996A9A" w:rsidRDefault="00C94E42">
            <w:pPr>
              <w:pStyle w:val="PL"/>
            </w:pPr>
            <w:r>
              <w:t xml:space="preserve">    </w:t>
            </w: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77777777" w:rsidR="00996A9A" w:rsidRDefault="00C94E42">
            <w:pPr>
              <w:pStyle w:val="PL"/>
            </w:pPr>
            <w:r>
              <w:t xml:space="preserve">    </w:t>
            </w:r>
            <w:proofErr w:type="spellStart"/>
            <w:r>
              <w:t>rbg</w:t>
            </w:r>
            <w:proofErr w:type="spellEnd"/>
            <w:r>
              <w:t xml:space="preserve">-Size                            ENUMERATED {config2}                                                    </w:t>
            </w:r>
            <w:proofErr w:type="gramStart"/>
            <w:r>
              <w:t xml:space="preserve">OPTIONAL,   </w:t>
            </w:r>
            <w:proofErr w:type="gramEnd"/>
            <w:r>
              <w:t>-- Need S</w:t>
            </w:r>
          </w:p>
          <w:p w14:paraId="4CB68517" w14:textId="77777777" w:rsidR="00996A9A" w:rsidRDefault="00C94E42">
            <w:pPr>
              <w:pStyle w:val="PL"/>
            </w:pPr>
            <w:r>
              <w:t xml:space="preserve">    </w:t>
            </w:r>
            <w:proofErr w:type="spellStart"/>
            <w:r>
              <w:t>powerControlLoopToUse</w:t>
            </w:r>
            <w:proofErr w:type="spellEnd"/>
            <w:r>
              <w:t xml:space="preserv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w:t>
            </w: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77777777" w:rsidR="00996A9A" w:rsidRDefault="00C94E42">
            <w:pPr>
              <w:pStyle w:val="PL"/>
            </w:pPr>
            <w:r>
              <w:t xml:space="preserve">    </w:t>
            </w:r>
            <w:proofErr w:type="spellStart"/>
            <w:r>
              <w:t>nrofHARQ</w:t>
            </w:r>
            <w:proofErr w:type="spellEnd"/>
            <w:r>
              <w:t xml:space="preserve">-Processes                  </w:t>
            </w:r>
            <w:proofErr w:type="gramStart"/>
            <w:r>
              <w:t>INTEGER(</w:t>
            </w:r>
            <w:proofErr w:type="gramEnd"/>
            <w:r>
              <w:t>1..16),</w:t>
            </w:r>
          </w:p>
          <w:p w14:paraId="49397B88" w14:textId="77777777" w:rsidR="00996A9A" w:rsidRDefault="00C94E42">
            <w:pPr>
              <w:pStyle w:val="PL"/>
            </w:pPr>
            <w:r>
              <w:t xml:space="preserve">    </w:t>
            </w:r>
            <w:proofErr w:type="spellStart"/>
            <w:r>
              <w:t>repK</w:t>
            </w:r>
            <w:proofErr w:type="spellEnd"/>
            <w:r>
              <w:t xml:space="preserve">                                ENUMERATED {n1, n2, n4, n8},</w:t>
            </w:r>
          </w:p>
          <w:p w14:paraId="3D44E2AE" w14:textId="77777777" w:rsidR="00996A9A" w:rsidRDefault="00C94E42">
            <w:pPr>
              <w:pStyle w:val="PL"/>
            </w:pPr>
            <w:r>
              <w:t xml:space="preserve">    </w:t>
            </w: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Heading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 xml:space="preserve">It would be simple to fix the RV value, </w:t>
            </w:r>
            <w:proofErr w:type="gramStart"/>
            <w:r>
              <w:rPr>
                <w:rFonts w:eastAsia="Malgun Gothic"/>
                <w:lang w:eastAsia="ko-KR"/>
              </w:rPr>
              <w:t>e.g.</w:t>
            </w:r>
            <w:proofErr w:type="gramEnd"/>
            <w:r>
              <w:rPr>
                <w:rFonts w:eastAsia="Malgun Gothic"/>
                <w:lang w:eastAsia="ko-KR"/>
              </w:rPr>
              <w:t xml:space="preserve">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 xml:space="preserve">cg-RetransmissionTimer </w:t>
            </w:r>
            <w:r>
              <w:rPr>
                <w:rFonts w:eastAsiaTheme="minorEastAsia" w:hint="eastAsia"/>
                <w:lang w:eastAsia="zh-CN"/>
              </w:rPr>
              <w:t xml:space="preserve">is configured, </w:t>
            </w:r>
            <w:proofErr w:type="gramStart"/>
            <w:r>
              <w:rPr>
                <w:rFonts w:eastAsiaTheme="minorEastAsia" w:hint="eastAsia"/>
                <w:lang w:eastAsia="zh-CN"/>
              </w:rPr>
              <w:t>i.e.</w:t>
            </w:r>
            <w:proofErr w:type="gramEnd"/>
            <w:r>
              <w:rPr>
                <w:rFonts w:eastAsiaTheme="minorEastAsia" w:hint="eastAsia"/>
                <w:lang w:eastAsia="zh-CN"/>
              </w:rPr>
              <w:t xml:space="preserve"> in NR-U, RV value is determined by the UE. And when </w:t>
            </w:r>
            <w:r>
              <w:rPr>
                <w:rFonts w:eastAsiaTheme="minorEastAsia" w:hint="eastAsia"/>
                <w:i/>
                <w:lang w:eastAsia="zh-CN"/>
              </w:rPr>
              <w:t xml:space="preserve">cg-RetransmissionTimer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proofErr w:type="gramStart"/>
            <w:r>
              <w:rPr>
                <w:rFonts w:eastAsiaTheme="minorEastAsia" w:hint="eastAsia"/>
                <w:lang w:eastAsia="zh-CN"/>
              </w:rPr>
              <w:t>A</w:t>
            </w:r>
            <w:r>
              <w:rPr>
                <w:rFonts w:eastAsiaTheme="minorEastAsia"/>
                <w:lang w:eastAsia="zh-CN"/>
              </w:rPr>
              <w:t>ctually, the</w:t>
            </w:r>
            <w:proofErr w:type="gramEnd"/>
            <w:r>
              <w:rPr>
                <w:rFonts w:eastAsiaTheme="minorEastAsia"/>
                <w:lang w:eastAsia="zh-CN"/>
              </w:rPr>
              <w:t xml:space="preserv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37EF0740"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lang w:eastAsia="zh-CN"/>
              </w:rPr>
            </w:pPr>
            <w:r>
              <w:rPr>
                <w:rFonts w:eastAsiaTheme="minorEastAsia"/>
                <w:lang w:eastAsia="zh-CN"/>
              </w:rPr>
              <w:t>No</w:t>
            </w:r>
          </w:p>
        </w:tc>
        <w:tc>
          <w:tcPr>
            <w:tcW w:w="6521" w:type="dxa"/>
          </w:tcPr>
          <w:p w14:paraId="48B66F28" w14:textId="20A7E0A9" w:rsidR="00D10F77" w:rsidRDefault="00D10F77" w:rsidP="00901C14">
            <w:pPr>
              <w:pStyle w:val="CommentText"/>
              <w:rPr>
                <w:rFonts w:eastAsiaTheme="minorEastAsia"/>
                <w:lang w:eastAsia="zh-CN"/>
              </w:rPr>
            </w:pPr>
            <w:r>
              <w:rPr>
                <w:rFonts w:eastAsiaTheme="minorEastAsia"/>
                <w:lang w:eastAsia="zh-CN"/>
              </w:rPr>
              <w:t>Prefer RV0 as the gNB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lastRenderedPageBreak/>
              <w:t>Nokia</w:t>
            </w:r>
          </w:p>
        </w:tc>
        <w:tc>
          <w:tcPr>
            <w:tcW w:w="1981" w:type="dxa"/>
          </w:tcPr>
          <w:p w14:paraId="5BC38BB9" w14:textId="657188A4"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CommentText"/>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CommentText"/>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CommentText"/>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r>
              <w:rPr>
                <w:rFonts w:eastAsia="Malgun Gothic"/>
                <w:lang w:eastAsia="ko-KR"/>
              </w:rPr>
              <w:t>InterDigital</w:t>
            </w:r>
          </w:p>
        </w:tc>
        <w:tc>
          <w:tcPr>
            <w:tcW w:w="1981" w:type="dxa"/>
          </w:tcPr>
          <w:p w14:paraId="32201C43" w14:textId="55009630" w:rsidR="00574073" w:rsidRDefault="00574073" w:rsidP="00A8439F">
            <w:pPr>
              <w:pStyle w:val="CommentText"/>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CommentText"/>
              <w:rPr>
                <w:rFonts w:eastAsia="Malgun Gothic"/>
                <w:lang w:eastAsia="ko-KR"/>
              </w:rPr>
            </w:pPr>
            <w:r>
              <w:rPr>
                <w:rFonts w:eastAsia="Malgun Gothic"/>
                <w:lang w:eastAsia="ko-KR"/>
              </w:rPr>
              <w:t>Agree with Ericsson. This similar logic to retransmitting MsgA using the same RV in case no response was received from the network.</w:t>
            </w:r>
          </w:p>
        </w:tc>
      </w:tr>
    </w:tbl>
    <w:p w14:paraId="72D12195" w14:textId="77777777" w:rsidR="00996A9A" w:rsidRDefault="00996A9A"/>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-RSRP-ThresholdSSB-SUL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 xml:space="preserve">-RSRP-ThresholdSSB-SUL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 xml:space="preserve">Question8 Do companies agree that </w:t>
      </w:r>
      <w:proofErr w:type="spellStart"/>
      <w:r>
        <w:t>sdt</w:t>
      </w:r>
      <w:proofErr w:type="spellEnd"/>
      <w:r>
        <w:t>-RSRP-ThresholdSSB-SUL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w:t>
            </w:r>
            <w:proofErr w:type="gramStart"/>
            <w:r>
              <w:rPr>
                <w:rFonts w:eastAsia="Malgun Gothic"/>
                <w:lang w:eastAsia="ko-KR"/>
              </w:rPr>
              <w:t>i.e.</w:t>
            </w:r>
            <w:proofErr w:type="gramEnd"/>
            <w:r>
              <w:rPr>
                <w:rFonts w:eastAsia="Malgun Gothic"/>
                <w:lang w:eastAsia="ko-KR"/>
              </w:rPr>
              <w:t xml:space="preserve"> common threshold </w:t>
            </w:r>
            <w:r>
              <w:rPr>
                <w:i/>
                <w:lang w:eastAsia="ko-KR"/>
              </w:rPr>
              <w:t>rsrp-ThresholdSSB-SUL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-RSRP-ThresholdSSB-SUL</w:t>
            </w:r>
            <w:r>
              <w:rPr>
                <w:rFonts w:eastAsiaTheme="minorEastAsia" w:hint="eastAsia"/>
                <w:lang w:eastAsia="zh-CN"/>
              </w:rPr>
              <w:t xml:space="preserve"> is defined for SDT. If the previous agreement is not reverted, we think it is not </w:t>
            </w:r>
            <w:r>
              <w:rPr>
                <w:rFonts w:eastAsiaTheme="minorEastAsia" w:hint="eastAsia"/>
                <w:lang w:eastAsia="zh-CN"/>
              </w:rPr>
              <w:lastRenderedPageBreak/>
              <w:t>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 xml:space="preserve">-RSRP-ThresholdSSB-SUL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CommentText"/>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CommentText"/>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CommentText"/>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r>
              <w:rPr>
                <w:rFonts w:eastAsia="Malgun Gothic"/>
                <w:lang w:eastAsia="ko-KR"/>
              </w:rPr>
              <w:t>InterDigital</w:t>
            </w:r>
          </w:p>
        </w:tc>
        <w:tc>
          <w:tcPr>
            <w:tcW w:w="1981" w:type="dxa"/>
          </w:tcPr>
          <w:p w14:paraId="473E0DAC" w14:textId="0916E42E" w:rsidR="00574073" w:rsidRDefault="00574073" w:rsidP="00A8439F">
            <w:pPr>
              <w:pStyle w:val="CommentText"/>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CommentText"/>
              <w:rPr>
                <w:rFonts w:eastAsia="Malgun Gothic"/>
                <w:lang w:eastAsia="ko-KR"/>
              </w:rPr>
            </w:pP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 xml:space="preserve">re-establish PDCP entities for </w:t>
            </w:r>
            <w:proofErr w:type="gramStart"/>
            <w:r>
              <w:rPr>
                <w:highlight w:val="green"/>
              </w:rPr>
              <w:t>SRB1;</w:t>
            </w:r>
            <w:proofErr w:type="gramEnd"/>
          </w:p>
          <w:p w14:paraId="5E090F1D" w14:textId="77777777" w:rsidR="00996A9A" w:rsidRDefault="00C94E42">
            <w:pPr>
              <w:pStyle w:val="B1"/>
              <w:numPr>
                <w:ilvl w:val="0"/>
                <w:numId w:val="36"/>
              </w:numPr>
            </w:pPr>
            <w:r>
              <w:rPr>
                <w:highlight w:val="green"/>
              </w:rPr>
              <w:t xml:space="preserve">resume </w:t>
            </w:r>
            <w:proofErr w:type="gramStart"/>
            <w:r>
              <w:rPr>
                <w:highlight w:val="green"/>
              </w:rPr>
              <w:t>SRB1;</w:t>
            </w:r>
            <w:proofErr w:type="gramEnd"/>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lastRenderedPageBreak/>
              <w:t xml:space="preserve">3&gt; re-establish PDCP entity for the radio bearer without triggering PDCP status </w:t>
            </w:r>
            <w:proofErr w:type="gramStart"/>
            <w:r>
              <w:rPr>
                <w:highlight w:val="yellow"/>
              </w:rPr>
              <w:t>report;</w:t>
            </w:r>
            <w:proofErr w:type="gramEnd"/>
          </w:p>
          <w:p w14:paraId="0EE4C457" w14:textId="77777777" w:rsidR="00996A9A" w:rsidRDefault="00C94E42">
            <w:pPr>
              <w:pStyle w:val="B2"/>
            </w:pPr>
            <w:r>
              <w:rPr>
                <w:highlight w:val="yellow"/>
              </w:rPr>
              <w:t xml:space="preserve">2&gt; resume all the radio bearers that are configured for </w:t>
            </w:r>
            <w:proofErr w:type="gramStart"/>
            <w:r>
              <w:rPr>
                <w:highlight w:val="yellow"/>
              </w:rPr>
              <w:t>SDT;</w:t>
            </w:r>
            <w:proofErr w:type="gramEnd"/>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lastRenderedPageBreak/>
        <w:t>H</w:t>
      </w:r>
      <w:r>
        <w:rPr>
          <w:lang w:val="en-GB" w:eastAsia="zh-CN"/>
        </w:rPr>
        <w:t xml:space="preserve">ence, </w:t>
      </w:r>
      <w:proofErr w:type="gramStart"/>
      <w:r>
        <w:rPr>
          <w:lang w:val="en-GB" w:eastAsia="zh-CN"/>
        </w:rPr>
        <w:t>it is clear that if</w:t>
      </w:r>
      <w:proofErr w:type="gramEnd"/>
      <w:r>
        <w:rPr>
          <w:lang w:val="en-GB" w:eastAsia="zh-CN"/>
        </w:rPr>
        <w:t xml:space="preserve">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w:t>
      </w:r>
      <w:proofErr w:type="gramStart"/>
      <w:r>
        <w:rPr>
          <w:lang w:val="en-GB" w:eastAsia="zh-CN"/>
        </w:rPr>
        <w:t>are</w:t>
      </w:r>
      <w:proofErr w:type="gramEnd"/>
      <w:r>
        <w:rPr>
          <w:lang w:val="en-GB" w:eastAsia="zh-CN"/>
        </w:rPr>
        <w:t xml:space="preserv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w:t>
            </w:r>
            <w:proofErr w:type="gramStart"/>
            <w:r w:rsidRPr="006B37CD">
              <w:rPr>
                <w:sz w:val="20"/>
                <w:lang w:eastAsia="zh-CN"/>
              </w:rPr>
              <w:t>In order for</w:t>
            </w:r>
            <w:proofErr w:type="gramEnd"/>
            <w:r w:rsidRPr="006B37CD">
              <w:rPr>
                <w:sz w:val="20"/>
                <w:lang w:eastAsia="zh-CN"/>
              </w:rPr>
              <w:t xml:space="preserve">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CommentText"/>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w:t>
            </w:r>
            <w:proofErr w:type="gramStart"/>
            <w:r>
              <w:rPr>
                <w:rFonts w:eastAsiaTheme="minorEastAsia" w:hint="eastAsia"/>
                <w:lang w:eastAsia="zh-CN"/>
              </w:rPr>
              <w:t>i.e.</w:t>
            </w:r>
            <w:proofErr w:type="gramEnd"/>
            <w:r>
              <w:rPr>
                <w:rFonts w:eastAsiaTheme="minorEastAsia" w:hint="eastAsia"/>
                <w:lang w:eastAsia="zh-CN"/>
              </w:rPr>
              <w:t xml:space="preserv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 (</w:t>
            </w:r>
            <w:proofErr w:type="gramStart"/>
            <w:r>
              <w:rPr>
                <w:rFonts w:eastAsiaTheme="minorEastAsia"/>
                <w:lang w:eastAsia="zh-CN"/>
              </w:rPr>
              <w:t>i.e.</w:t>
            </w:r>
            <w:proofErr w:type="gramEnd"/>
            <w:r>
              <w:rPr>
                <w:rFonts w:eastAsiaTheme="minorEastAsia"/>
                <w:lang w:eastAsia="zh-CN"/>
              </w:rPr>
              <w:t xml:space="preserv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proofErr w:type="spellStart"/>
            <w:r>
              <w:rPr>
                <w:rFonts w:eastAsiaTheme="minorEastAsia"/>
                <w:lang w:eastAsia="zh-CN"/>
              </w:rPr>
              <w:lastRenderedPageBreak/>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lastRenderedPageBreak/>
              <w:t>Xiaomi</w:t>
            </w:r>
          </w:p>
        </w:tc>
        <w:tc>
          <w:tcPr>
            <w:tcW w:w="1981" w:type="dxa"/>
          </w:tcPr>
          <w:p w14:paraId="257E4061" w14:textId="7AB2DA3C" w:rsidR="00EE20B7" w:rsidRDefault="00EE20B7" w:rsidP="00901C14">
            <w:pPr>
              <w:pStyle w:val="CommentText"/>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CommentText"/>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CommentText"/>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r>
              <w:rPr>
                <w:rFonts w:eastAsia="Malgun Gothic"/>
                <w:lang w:eastAsia="ko-KR"/>
              </w:rPr>
              <w:t>InterDigital</w:t>
            </w:r>
          </w:p>
        </w:tc>
        <w:tc>
          <w:tcPr>
            <w:tcW w:w="1981" w:type="dxa"/>
          </w:tcPr>
          <w:p w14:paraId="7BC40E4A" w14:textId="267381D6" w:rsidR="00574073" w:rsidRDefault="00574073" w:rsidP="00DA263B">
            <w:pPr>
              <w:pStyle w:val="CommentText"/>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bl>
    <w:p w14:paraId="0B75EFE5" w14:textId="77777777" w:rsidR="00996A9A" w:rsidRDefault="00996A9A">
      <w:pPr>
        <w:rPr>
          <w:lang w:eastAsia="zh-CN"/>
        </w:rPr>
      </w:pPr>
    </w:p>
    <w:p w14:paraId="4680E408" w14:textId="77777777" w:rsidR="00996A9A" w:rsidRDefault="00C94E42">
      <w:pPr>
        <w:pStyle w:val="Heading6"/>
      </w:pPr>
      <w:r>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Heading6"/>
      </w:pPr>
      <w:r>
        <w:t>Question10: Do companies agree what when the maximum number of RA-SDT transmission exceeds the threshold preambleTransMax,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We think that when the preambleTransMax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w:t>
            </w:r>
            <w:proofErr w:type="gramStart"/>
            <w:r>
              <w:rPr>
                <w:rFonts w:eastAsia="Malgun Gothic"/>
                <w:lang w:eastAsia="ko-KR"/>
              </w:rPr>
              <w:t>i.e.</w:t>
            </w:r>
            <w:proofErr w:type="gramEnd"/>
            <w:r>
              <w:rPr>
                <w:rFonts w:eastAsia="Malgun Gothic"/>
                <w:lang w:eastAsia="ko-KR"/>
              </w:rPr>
              <w:t xml:space="preserv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 xml:space="preserve">Agree with LG, </w:t>
            </w:r>
            <w:proofErr w:type="gramStart"/>
            <w:r>
              <w:rPr>
                <w:rFonts w:eastAsia="Malgun Gothic"/>
                <w:lang w:eastAsia="ko-KR"/>
              </w:rPr>
              <w:t>i.e.</w:t>
            </w:r>
            <w:proofErr w:type="gramEnd"/>
            <w:r>
              <w:rPr>
                <w:rFonts w:eastAsia="Malgun Gothic"/>
                <w:lang w:eastAsia="ko-KR"/>
              </w:rPr>
              <w:t xml:space="preserv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r>
              <w:rPr>
                <w:rFonts w:eastAsia="Malgun Gothic" w:hint="eastAsia"/>
                <w:lang w:eastAsia="ko-KR"/>
              </w:rPr>
              <w:t>preambleTransMax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lastRenderedPageBreak/>
              <w:t xml:space="preserve">Same behaviour can be applied for SDT. UE continue RACH when </w:t>
            </w:r>
            <w:r>
              <w:rPr>
                <w:rFonts w:eastAsia="Malgun Gothic" w:hint="eastAsia"/>
                <w:lang w:eastAsia="ko-KR"/>
              </w:rPr>
              <w:t>preambleTransMax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lastRenderedPageBreak/>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CommentText"/>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CommentText"/>
              <w:rPr>
                <w:rFonts w:eastAsiaTheme="minorEastAsia"/>
                <w:lang w:eastAsia="zh-CN"/>
              </w:rPr>
            </w:pPr>
          </w:p>
        </w:tc>
        <w:tc>
          <w:tcPr>
            <w:tcW w:w="6521" w:type="dxa"/>
          </w:tcPr>
          <w:p w14:paraId="46B84402" w14:textId="552DADD0" w:rsidR="00DA263B" w:rsidRDefault="00DA263B" w:rsidP="00DA263B">
            <w:pPr>
              <w:pStyle w:val="CommentText"/>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CommentText"/>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CommentText"/>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r>
              <w:rPr>
                <w:rFonts w:eastAsia="Malgun Gothic"/>
                <w:lang w:eastAsia="ko-KR"/>
              </w:rPr>
              <w:t>InterDigital</w:t>
            </w:r>
          </w:p>
        </w:tc>
        <w:tc>
          <w:tcPr>
            <w:tcW w:w="1981" w:type="dxa"/>
          </w:tcPr>
          <w:p w14:paraId="17EEC426" w14:textId="3B9B9621" w:rsidR="00FF5498" w:rsidRDefault="00FF5498" w:rsidP="00A8439F">
            <w:pPr>
              <w:pStyle w:val="CommentText"/>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CommentText"/>
              <w:rPr>
                <w:rFonts w:eastAsia="Malgun Gothic"/>
                <w:lang w:eastAsia="ko-KR"/>
              </w:rPr>
            </w:pPr>
            <w:r>
              <w:rPr>
                <w:rFonts w:eastAsia="Malgun Gothic"/>
                <w:lang w:eastAsia="ko-KR"/>
              </w:rPr>
              <w:t>No need to differentiate this failure case.</w:t>
            </w: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lastRenderedPageBreak/>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active. Currently the UE may </w:t>
            </w:r>
            <w:proofErr w:type="gramStart"/>
            <w:r>
              <w:rPr>
                <w:lang w:eastAsia="zh-CN"/>
              </w:rPr>
              <w:t>e.g.</w:t>
            </w:r>
            <w:proofErr w:type="gramEnd"/>
            <w:r>
              <w:rPr>
                <w:lang w:eastAsia="zh-CN"/>
              </w:rPr>
              <w:t xml:space="preserve">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41741A35"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cg-SDT-RetransmissionTimer</w:t>
            </w:r>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w:t>
            </w:r>
            <w:proofErr w:type="gramStart"/>
            <w:r w:rsidRPr="002F20EF">
              <w:rPr>
                <w:rFonts w:hint="eastAsia"/>
                <w:color w:val="00B050"/>
                <w:lang w:eastAsia="zh-CN"/>
              </w:rPr>
              <w:t>Because,</w:t>
            </w:r>
            <w:proofErr w:type="gramEnd"/>
            <w:r w:rsidRPr="002F20EF">
              <w:rPr>
                <w:rFonts w:hint="eastAsia"/>
                <w:color w:val="00B050"/>
                <w:lang w:eastAsia="zh-CN"/>
              </w:rPr>
              <w:t xml:space="preserv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The UE is allowed to initiate subsequent UL data transmission only after the reception of confirmation of initial transmission from the gNB</w:t>
            </w:r>
          </w:p>
          <w:p w14:paraId="3910C64D" w14:textId="45323A8B" w:rsidR="00320C90" w:rsidRDefault="00320C90" w:rsidP="00320C90">
            <w:pPr>
              <w:rPr>
                <w:lang w:eastAsia="zh-CN"/>
              </w:rPr>
            </w:pPr>
            <w:r w:rsidRPr="002F20EF">
              <w:rPr>
                <w:rFonts w:hint="eastAsia"/>
                <w:color w:val="00B050"/>
                <w:lang w:eastAsia="zh-CN"/>
              </w:rPr>
              <w:lastRenderedPageBreak/>
              <w:t xml:space="preserve">In this way, even CGT </w:t>
            </w:r>
            <w:proofErr w:type="gramStart"/>
            <w:r w:rsidRPr="002F20EF">
              <w:rPr>
                <w:rFonts w:hint="eastAsia"/>
                <w:color w:val="00B050"/>
                <w:lang w:eastAsia="zh-CN"/>
              </w:rPr>
              <w:t>expires</w:t>
            </w:r>
            <w:proofErr w:type="gramEnd"/>
            <w:r w:rsidRPr="002F20EF">
              <w:rPr>
                <w:rFonts w:hint="eastAsia"/>
                <w:color w:val="00B050"/>
                <w:lang w:eastAsia="zh-CN"/>
              </w:rPr>
              <w:t xml:space="preserve">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tc>
          <w:tcPr>
            <w:tcW w:w="2490" w:type="dxa"/>
          </w:tcPr>
          <w:p w14:paraId="7BD16435" w14:textId="1E1E3680" w:rsidR="00996A9A" w:rsidRDefault="00C94E42">
            <w:pPr>
              <w:rPr>
                <w:lang w:eastAsia="zh-CN"/>
              </w:rPr>
            </w:pPr>
            <w:r>
              <w:rPr>
                <w:rFonts w:hint="eastAsia"/>
                <w:lang w:eastAsia="zh-CN"/>
              </w:rPr>
              <w:lastRenderedPageBreak/>
              <w:t>CATT</w:t>
            </w:r>
          </w:p>
        </w:tc>
        <w:tc>
          <w:tcPr>
            <w:tcW w:w="249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proofErr w:type="gramStart"/>
            <w:r>
              <w:rPr>
                <w:rFonts w:hint="eastAsia"/>
                <w:lang w:eastAsia="zh-CN"/>
              </w:rPr>
              <w:t>A</w:t>
            </w:r>
            <w:r>
              <w:rPr>
                <w:lang w:eastAsia="zh-CN"/>
              </w:rPr>
              <w:t>ctually, in</w:t>
            </w:r>
            <w:proofErr w:type="gramEnd"/>
            <w:r>
              <w:rPr>
                <w:lang w:eastAsia="zh-CN"/>
              </w:rPr>
              <w:t xml:space="preserve"> the </w:t>
            </w:r>
            <w:proofErr w:type="spellStart"/>
            <w:r>
              <w:rPr>
                <w:lang w:eastAsia="zh-CN"/>
              </w:rPr>
              <w:t>runningCR</w:t>
            </w:r>
            <w:proofErr w:type="spellEnd"/>
            <w:r>
              <w:rPr>
                <w:lang w:eastAsia="zh-CN"/>
              </w:rPr>
              <w:t xml:space="preserve">, the name of the timer has already been changed to </w:t>
            </w:r>
            <w:r>
              <w:rPr>
                <w:i/>
                <w:lang w:eastAsia="zh-CN"/>
              </w:rPr>
              <w:t>cg-SDT-RetransmissionTimer</w:t>
            </w:r>
          </w:p>
        </w:tc>
      </w:tr>
      <w:tr w:rsidR="00996A9A" w14:paraId="126FAB9E" w14:textId="77777777">
        <w:tc>
          <w:tcPr>
            <w:tcW w:w="2490" w:type="dxa"/>
          </w:tcPr>
          <w:p w14:paraId="1474D12D" w14:textId="77777777" w:rsidR="00996A9A" w:rsidRDefault="00C94E42">
            <w:pPr>
              <w:rPr>
                <w:lang w:eastAsia="zh-CN"/>
              </w:rPr>
            </w:pPr>
            <w:r>
              <w:rPr>
                <w:lang w:eastAsia="zh-CN"/>
              </w:rPr>
              <w:t>Qualcomm</w:t>
            </w:r>
          </w:p>
        </w:tc>
        <w:tc>
          <w:tcPr>
            <w:tcW w:w="249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tc>
        <w:tc>
          <w:tcPr>
            <w:tcW w:w="2491"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9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gNB.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has not received 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91" w:type="dxa"/>
          </w:tcPr>
          <w:p w14:paraId="6D880998" w14:textId="77777777" w:rsidR="004D4853" w:rsidRDefault="004D4853">
            <w:pPr>
              <w:rPr>
                <w:highlight w:val="green"/>
                <w:lang w:eastAsia="zh-CN"/>
              </w:rPr>
            </w:pPr>
          </w:p>
        </w:tc>
      </w:tr>
      <w:tr w:rsidR="00A8439F" w14:paraId="78C0C7F2" w14:textId="77777777">
        <w:tc>
          <w:tcPr>
            <w:tcW w:w="2490" w:type="dxa"/>
          </w:tcPr>
          <w:p w14:paraId="03A0A446" w14:textId="19EB9483" w:rsidR="00A8439F" w:rsidRPr="000A3909" w:rsidRDefault="00A8439F" w:rsidP="00A8439F">
            <w:pPr>
              <w:rPr>
                <w:color w:val="FF0000"/>
                <w:u w:val="single"/>
                <w:lang w:eastAsia="zh-CN"/>
              </w:rPr>
            </w:pPr>
            <w:r>
              <w:rPr>
                <w:lang w:eastAsia="zh-CN"/>
              </w:rPr>
              <w:lastRenderedPageBreak/>
              <w:t>Lenovo/Motorola Mobility</w:t>
            </w:r>
          </w:p>
        </w:tc>
        <w:tc>
          <w:tcPr>
            <w:tcW w:w="2490" w:type="dxa"/>
          </w:tcPr>
          <w:p w14:paraId="7DAD13D1" w14:textId="77777777" w:rsidR="00A8439F" w:rsidRDefault="00A8439F" w:rsidP="00A8439F">
            <w:pPr>
              <w:spacing w:afterLines="50"/>
            </w:pP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w:t>
            </w:r>
            <w:proofErr w:type="gramStart"/>
            <w:r>
              <w:t>actually makes</w:t>
            </w:r>
            <w:proofErr w:type="gramEnd"/>
            <w:r>
              <w:t xml:space="preserve">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BodyText"/>
              <w:rPr>
                <w:color w:val="FF0000"/>
                <w:u w:val="single"/>
              </w:rPr>
            </w:pPr>
          </w:p>
        </w:tc>
        <w:tc>
          <w:tcPr>
            <w:tcW w:w="2491" w:type="dxa"/>
          </w:tcPr>
          <w:p w14:paraId="2FACD3E0" w14:textId="77777777" w:rsidR="00A8439F" w:rsidRDefault="00A8439F" w:rsidP="00A8439F">
            <w:pPr>
              <w:spacing w:afterLines="50"/>
              <w:rPr>
                <w:lang w:eastAsia="zh-CN"/>
              </w:rPr>
            </w:pPr>
            <w:r>
              <w:rPr>
                <w:lang w:eastAsia="zh-CN"/>
              </w:rPr>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91" w:type="dxa"/>
          </w:tcPr>
          <w:p w14:paraId="1D44F03B" w14:textId="77777777" w:rsidR="00A8439F" w:rsidRDefault="00A8439F" w:rsidP="00A8439F">
            <w:pPr>
              <w:rPr>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Heading1"/>
        <w:rPr>
          <w:lang w:eastAsia="zh-CN"/>
        </w:rPr>
      </w:pPr>
      <w:r>
        <w:rPr>
          <w:rFonts w:hint="eastAsia"/>
          <w:lang w:eastAsia="zh-CN"/>
        </w:rPr>
        <w:lastRenderedPageBreak/>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11"/>
      <w:footerReference w:type="even" r:id="rId12"/>
      <w:footerReference w:type="default" r:id="rId1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AF86" w14:textId="77777777" w:rsidR="00715A83" w:rsidRDefault="00715A83">
      <w:pPr>
        <w:spacing w:after="0" w:line="240" w:lineRule="auto"/>
      </w:pPr>
      <w:r>
        <w:separator/>
      </w:r>
    </w:p>
  </w:endnote>
  <w:endnote w:type="continuationSeparator" w:id="0">
    <w:p w14:paraId="4B7F1EA7" w14:textId="77777777" w:rsidR="00715A83" w:rsidRDefault="00715A83">
      <w:pPr>
        <w:spacing w:after="0" w:line="240" w:lineRule="auto"/>
      </w:pPr>
      <w:r>
        <w:continuationSeparator/>
      </w:r>
    </w:p>
  </w:endnote>
  <w:endnote w:type="continuationNotice" w:id="1">
    <w:p w14:paraId="1A4DACEF" w14:textId="77777777" w:rsidR="00715A83" w:rsidRDefault="00715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B1E" w14:textId="77777777" w:rsidR="00901C14" w:rsidRDefault="00901C1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01C14" w:rsidRDefault="00901C1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8BB" w14:textId="5C033613" w:rsidR="00901C14" w:rsidRDefault="00901C1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C0C73">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C0C73">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057C" w14:textId="77777777" w:rsidR="00715A83" w:rsidRDefault="00715A83">
      <w:pPr>
        <w:spacing w:after="0" w:line="240" w:lineRule="auto"/>
      </w:pPr>
      <w:r>
        <w:separator/>
      </w:r>
    </w:p>
  </w:footnote>
  <w:footnote w:type="continuationSeparator" w:id="0">
    <w:p w14:paraId="25899C00" w14:textId="77777777" w:rsidR="00715A83" w:rsidRDefault="00715A83">
      <w:pPr>
        <w:spacing w:after="0" w:line="240" w:lineRule="auto"/>
      </w:pPr>
      <w:r>
        <w:continuationSeparator/>
      </w:r>
    </w:p>
  </w:footnote>
  <w:footnote w:type="continuationNotice" w:id="1">
    <w:p w14:paraId="498ADA34" w14:textId="77777777" w:rsidR="00715A83" w:rsidRDefault="00715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DAF" w14:textId="77777777" w:rsidR="00901C14" w:rsidRDefault="00901C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77450"/>
    <w:rsid w:val="000819DD"/>
    <w:rsid w:val="00086C85"/>
    <w:rsid w:val="000A3909"/>
    <w:rsid w:val="000B1F22"/>
    <w:rsid w:val="000C102C"/>
    <w:rsid w:val="00142781"/>
    <w:rsid w:val="00160338"/>
    <w:rsid w:val="00161F8B"/>
    <w:rsid w:val="0017259F"/>
    <w:rsid w:val="001810CF"/>
    <w:rsid w:val="002971C7"/>
    <w:rsid w:val="002C0C73"/>
    <w:rsid w:val="002D59F0"/>
    <w:rsid w:val="00320C90"/>
    <w:rsid w:val="003400E4"/>
    <w:rsid w:val="00350AC1"/>
    <w:rsid w:val="003A5AA0"/>
    <w:rsid w:val="003F4A83"/>
    <w:rsid w:val="00412A33"/>
    <w:rsid w:val="00473678"/>
    <w:rsid w:val="004D4853"/>
    <w:rsid w:val="0050523A"/>
    <w:rsid w:val="00521C3E"/>
    <w:rsid w:val="00574073"/>
    <w:rsid w:val="005A37D3"/>
    <w:rsid w:val="00696D15"/>
    <w:rsid w:val="006D2D69"/>
    <w:rsid w:val="006F3363"/>
    <w:rsid w:val="006F452B"/>
    <w:rsid w:val="00715A83"/>
    <w:rsid w:val="007238B5"/>
    <w:rsid w:val="007B5C36"/>
    <w:rsid w:val="008D03D3"/>
    <w:rsid w:val="008D3C9A"/>
    <w:rsid w:val="00901C14"/>
    <w:rsid w:val="00960102"/>
    <w:rsid w:val="00993EF2"/>
    <w:rsid w:val="009960FA"/>
    <w:rsid w:val="00996A9A"/>
    <w:rsid w:val="00A062EB"/>
    <w:rsid w:val="00A06FB2"/>
    <w:rsid w:val="00A75438"/>
    <w:rsid w:val="00A8439F"/>
    <w:rsid w:val="00A935E9"/>
    <w:rsid w:val="00AB3F5E"/>
    <w:rsid w:val="00AD49DF"/>
    <w:rsid w:val="00B40DBD"/>
    <w:rsid w:val="00B623B3"/>
    <w:rsid w:val="00B669F5"/>
    <w:rsid w:val="00B703B2"/>
    <w:rsid w:val="00B733EA"/>
    <w:rsid w:val="00C06439"/>
    <w:rsid w:val="00C36B3E"/>
    <w:rsid w:val="00C665E8"/>
    <w:rsid w:val="00C700B2"/>
    <w:rsid w:val="00C94E42"/>
    <w:rsid w:val="00CA0CD3"/>
    <w:rsid w:val="00CF7255"/>
    <w:rsid w:val="00D03B69"/>
    <w:rsid w:val="00D10F77"/>
    <w:rsid w:val="00D22BBC"/>
    <w:rsid w:val="00D841BF"/>
    <w:rsid w:val="00DA263B"/>
    <w:rsid w:val="00DB0ABE"/>
    <w:rsid w:val="00DB2BEE"/>
    <w:rsid w:val="00DC4E3A"/>
    <w:rsid w:val="00E83AE8"/>
    <w:rsid w:val="00EB1330"/>
    <w:rsid w:val="00EB2B75"/>
    <w:rsid w:val="00ED5E72"/>
    <w:rsid w:val="00EE20B7"/>
    <w:rsid w:val="00EE7D2D"/>
    <w:rsid w:val="00EF046D"/>
    <w:rsid w:val="00EF76D5"/>
    <w:rsid w:val="00F31555"/>
    <w:rsid w:val="00F5569E"/>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DA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uli.turtinen@nok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lohr@lenovo.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6219</Words>
  <Characters>35451</Characters>
  <Application>Microsoft Office Word</Application>
  <DocSecurity>0</DocSecurity>
  <Lines>295</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41587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InterDigital- Faris</cp:lastModifiedBy>
  <cp:revision>2</cp:revision>
  <dcterms:created xsi:type="dcterms:W3CDTF">2022-02-11T16:08:00Z</dcterms:created>
  <dcterms:modified xsi:type="dcterms:W3CDTF">2022-02-11T16:08:00Z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