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D21560"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D2156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D21560"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proofErr w:type="spellStart"/>
            <w:r w:rsidRPr="00D21560">
              <w:rPr>
                <w:rFonts w:ascii="Times New Roman" w:hAnsi="Times New Roman" w:hint="eastAsia"/>
                <w:lang w:val="fr-FR"/>
              </w:rPr>
              <w:t>C</w:t>
            </w:r>
            <w:r w:rsidRPr="00D21560">
              <w:rPr>
                <w:rFonts w:ascii="Times New Roman" w:hAnsi="Times New Roman"/>
                <w:lang w:val="fr-FR"/>
              </w:rPr>
              <w:t>hongming</w:t>
            </w:r>
            <w:proofErr w:type="spellEnd"/>
            <w:r w:rsidRPr="00D21560">
              <w:rPr>
                <w:rFonts w:ascii="Times New Roman" w:hAnsi="Times New Roman"/>
                <w:lang w:val="fr-FR"/>
              </w:rPr>
              <w:t xml:space="preserve"> Zhang (Chongming.zhang@cn.sharp-world.com)</w:t>
            </w:r>
          </w:p>
        </w:tc>
      </w:tr>
      <w:tr w:rsidR="00963FAC" w:rsidRPr="00D21560"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E806AE">
              <w:fldChar w:fldCharType="begin"/>
            </w:r>
            <w:r w:rsidR="00E806AE" w:rsidRPr="00B8274F">
              <w:rPr>
                <w:lang w:val="en-US"/>
              </w:rPr>
              <w:instrText xml:space="preserve"> HYPERLINK "mailto:chandrika@catt.cn" </w:instrText>
            </w:r>
            <w:r w:rsidR="00E806AE">
              <w:fldChar w:fldCharType="separate"/>
            </w:r>
            <w:r w:rsidR="007C3CF0" w:rsidRPr="007C3CF0">
              <w:rPr>
                <w:rStyle w:val="Hyperlink"/>
                <w:rFonts w:ascii="Times New Roman" w:hAnsi="Times New Roman"/>
                <w:lang w:val="de-DE"/>
              </w:rPr>
              <w:t>chandrika@catt.cn</w:t>
            </w:r>
            <w:r w:rsidR="00E806AE">
              <w:rPr>
                <w:rStyle w:val="Hyperlink"/>
                <w:rFonts w:ascii="Times New Roman" w:hAnsi="Times New Roman"/>
                <w:lang w:val="de-DE"/>
              </w:rPr>
              <w:fldChar w:fldCharType="end"/>
            </w:r>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C24D98">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C24D98">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C24D98">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C24D98">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r>
              <w:rPr>
                <w:rFonts w:ascii="Times New Roman" w:hAnsi="Times New Roman"/>
                <w:lang w:val="en-US"/>
              </w:rPr>
              <w:t>Ruiming Zheng (rzheng@qti.qualcomm.com)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lastRenderedPageBreak/>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C24D98">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C24D98">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C24D98">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C24D98">
        <w:tc>
          <w:tcPr>
            <w:tcW w:w="1226" w:type="dxa"/>
          </w:tcPr>
          <w:p w14:paraId="20515FE9" w14:textId="1B5ECE12" w:rsidR="0090063B" w:rsidRDefault="0090063B" w:rsidP="0090063B">
            <w:pPr>
              <w:rPr>
                <w:rFonts w:eastAsia="Malgun Gothic"/>
                <w:lang w:eastAsia="ko-KR"/>
              </w:rPr>
            </w:pPr>
            <w:r>
              <w:rPr>
                <w:lang w:eastAsia="zh-CN"/>
              </w:rPr>
              <w:lastRenderedPageBreak/>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C24D98">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C24D98">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w:t>
            </w:r>
            <w:proofErr w:type="gramStart"/>
            <w:r>
              <w:rPr>
                <w:lang w:eastAsia="zh-CN"/>
              </w:rPr>
              <w:t>invalid</w:t>
            </w:r>
            <w:proofErr w:type="gramEnd"/>
            <w:r>
              <w:rPr>
                <w:lang w:eastAsia="zh-CN"/>
              </w:rPr>
              <w:t xml:space="preserve">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C24D98">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C24D98">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lastRenderedPageBreak/>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lastRenderedPageBreak/>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lastRenderedPageBreak/>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t>would</w:t>
            </w:r>
            <w:proofErr w:type="gramEnd"/>
            <w:r>
              <w:rPr>
                <w:rFonts w:eastAsia="Malgun Gothic"/>
                <w:lang w:eastAsia="ko-KR"/>
              </w:rPr>
              <w:t xml:space="preserve">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C24D98">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C24D98">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C24D98">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C24D98">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lastRenderedPageBreak/>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C24D98">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C24D98">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C24D98">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C24D98">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bl>
    <w:p w14:paraId="35E0E50E" w14:textId="77777777" w:rsidR="0010032D" w:rsidRDefault="001F2426">
      <w:pPr>
        <w:pStyle w:val="Heading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w:t>
      </w:r>
      <w:proofErr w:type="gramStart"/>
      <w:r>
        <w:rPr>
          <w:lang w:eastAsia="zh-CN"/>
        </w:rPr>
        <w:t>stopped, since</w:t>
      </w:r>
      <w:proofErr w:type="gramEnd"/>
      <w:r>
        <w:rPr>
          <w:lang w:eastAsia="zh-CN"/>
        </w:rPr>
        <w:t xml:space="preserve"> it is no longer needed. </w:t>
      </w:r>
    </w:p>
    <w:p w14:paraId="1458D0C3" w14:textId="77777777" w:rsidR="0010032D" w:rsidRDefault="001F2426">
      <w:pPr>
        <w:pStyle w:val="Heading6"/>
      </w:pPr>
      <w:r>
        <w:t xml:space="preserve">Question5: Do companies agree that the CG-SDT-TAT should be </w:t>
      </w:r>
      <w:proofErr w:type="gramStart"/>
      <w:r>
        <w:t>restarted</w:t>
      </w:r>
      <w:proofErr w:type="gramEnd"/>
      <w:r>
        <w:t xml:space="preserve"> and the legacy TAT can be stopped</w:t>
      </w:r>
      <w:commentRangeStart w:id="1"/>
      <w:r>
        <w:t xml:space="preserve"> at successful RACH completion</w:t>
      </w:r>
      <w:commentRangeEnd w:id="1"/>
      <w:r>
        <w:commentReference w:id="1"/>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If CG-SDT is only used for initial UL message (</w:t>
            </w:r>
            <w:proofErr w:type="gramStart"/>
            <w:r>
              <w:rPr>
                <w:lang w:eastAsia="zh-CN"/>
              </w:rPr>
              <w:t>i.e.</w:t>
            </w:r>
            <w:proofErr w:type="gramEnd"/>
            <w:r>
              <w:rPr>
                <w:lang w:eastAsia="zh-CN"/>
              </w:rPr>
              <w:t xml:space="preserv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lastRenderedPageBreak/>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2"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2"/>
          </w:p>
        </w:tc>
      </w:tr>
      <w:tr w:rsidR="00C24D98" w14:paraId="533B5EE2" w14:textId="77777777" w:rsidTr="00C24D98">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C24D98">
        <w:tc>
          <w:tcPr>
            <w:tcW w:w="1529" w:type="dxa"/>
          </w:tcPr>
          <w:p w14:paraId="60AF272D" w14:textId="0402F50D" w:rsidR="00D21560" w:rsidRPr="00D23065" w:rsidRDefault="00D21560" w:rsidP="00D21560">
            <w:pPr>
              <w:rPr>
                <w:rFonts w:eastAsia="Malgun Gothic"/>
                <w:lang w:eastAsia="ko-KR"/>
              </w:rPr>
            </w:pPr>
            <w:r>
              <w:rPr>
                <w:lang w:eastAsia="zh-CN"/>
              </w:rPr>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C24D98">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C24D98">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 xml:space="preserve">The behaviour could be different whether UE is still in RRC_INACTIVE or </w:t>
            </w:r>
            <w:proofErr w:type="gramStart"/>
            <w:r>
              <w:rPr>
                <w:rFonts w:eastAsia="Malgun Gothic"/>
                <w:lang w:eastAsia="ko-KR"/>
              </w:rPr>
              <w:t>enters into</w:t>
            </w:r>
            <w:proofErr w:type="gramEnd"/>
            <w:r>
              <w:rPr>
                <w:rFonts w:eastAsia="Malgun Gothic"/>
                <w:lang w:eastAsia="ko-KR"/>
              </w:rPr>
              <w:t xml:space="preserve"> connected state. If UE is going to connected state, legacy TAT is used at the successful RACH completion, same as legacy.</w:t>
            </w: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 xml:space="preserve">flush all HARQ buffers for all Serving </w:t>
            </w:r>
            <w:proofErr w:type="gramStart"/>
            <w:r>
              <w:t>Cells;</w:t>
            </w:r>
            <w:proofErr w:type="gramEnd"/>
          </w:p>
          <w:p w14:paraId="2DAB2A47" w14:textId="77777777" w:rsidR="0010032D" w:rsidRDefault="001F2426">
            <w:pPr>
              <w:pStyle w:val="B3"/>
              <w:spacing w:after="120" w:line="240" w:lineRule="auto"/>
            </w:pPr>
            <w:r>
              <w:rPr>
                <w:lang w:eastAsia="ko"/>
              </w:rPr>
              <w:t>3&gt;</w:t>
            </w:r>
            <w:r>
              <w:tab/>
              <w:t xml:space="preserve">notify RRC to release PUCCH for all Serving Cells, if </w:t>
            </w:r>
            <w:proofErr w:type="gramStart"/>
            <w:r>
              <w:t>configured;</w:t>
            </w:r>
            <w:proofErr w:type="gramEnd"/>
          </w:p>
          <w:p w14:paraId="1A81A6E9" w14:textId="77777777" w:rsidR="0010032D" w:rsidRDefault="001F2426">
            <w:pPr>
              <w:pStyle w:val="B3"/>
              <w:spacing w:after="120" w:line="240" w:lineRule="auto"/>
            </w:pPr>
            <w:r>
              <w:rPr>
                <w:lang w:eastAsia="ko"/>
              </w:rPr>
              <w:t>3&gt;</w:t>
            </w:r>
            <w:r>
              <w:tab/>
              <w:t xml:space="preserve">notify RRC to release SRS for all Serving Cells, if </w:t>
            </w:r>
            <w:proofErr w:type="gramStart"/>
            <w:r>
              <w:t>configured;</w:t>
            </w:r>
            <w:proofErr w:type="gramEnd"/>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 xml:space="preserve">uplink </w:t>
            </w:r>
            <w:proofErr w:type="gramStart"/>
            <w:r>
              <w:t>grants;</w:t>
            </w:r>
            <w:proofErr w:type="gramEnd"/>
          </w:p>
          <w:p w14:paraId="6D481D26" w14:textId="77777777" w:rsidR="0010032D" w:rsidRDefault="001F2426">
            <w:pPr>
              <w:pStyle w:val="B3"/>
              <w:spacing w:after="120" w:line="240" w:lineRule="auto"/>
            </w:pPr>
            <w:r>
              <w:t>3&gt;</w:t>
            </w:r>
            <w:r>
              <w:tab/>
              <w:t xml:space="preserve">clear any PUSCH resource for semi-persistent CSI </w:t>
            </w:r>
            <w:proofErr w:type="gramStart"/>
            <w:r>
              <w:t>reporting;</w:t>
            </w:r>
            <w:proofErr w:type="gramEnd"/>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lastRenderedPageBreak/>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C24D98">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C24D98">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C24D98">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C24D98">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bl>
    <w:p w14:paraId="618C8E02" w14:textId="77777777" w:rsidR="0010032D" w:rsidRDefault="001F2426">
      <w:pPr>
        <w:pStyle w:val="Heading6"/>
      </w:pPr>
      <w:r>
        <w:rPr>
          <w:rFonts w:hint="eastAsia"/>
        </w:rPr>
        <w:lastRenderedPageBreak/>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E806AE">
            <w:pPr>
              <w:pStyle w:val="Doc-title"/>
            </w:pPr>
            <w:hyperlink r:id="rId11"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C24D98">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C24D98">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C24D98">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lastRenderedPageBreak/>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C24D98">
        <w:tc>
          <w:tcPr>
            <w:tcW w:w="1429" w:type="dxa"/>
          </w:tcPr>
          <w:p w14:paraId="517C241F" w14:textId="77777777" w:rsidR="0010032D" w:rsidRDefault="001F2426">
            <w:pPr>
              <w:rPr>
                <w:rFonts w:eastAsia="Malgun Gothic"/>
                <w:lang w:eastAsia="ko-KR"/>
              </w:rPr>
            </w:pPr>
            <w:r>
              <w:rPr>
                <w:lang w:eastAsia="zh-CN"/>
              </w:rPr>
              <w:lastRenderedPageBreak/>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w:t>
            </w:r>
            <w:proofErr w:type="gramStart"/>
            <w:r>
              <w:rPr>
                <w:lang w:eastAsia="zh-CN"/>
              </w:rPr>
              <w:t>current status</w:t>
            </w:r>
            <w:proofErr w:type="gramEnd"/>
            <w:r>
              <w:rPr>
                <w:lang w:eastAsia="zh-CN"/>
              </w:rPr>
              <w:t xml:space="preserve">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w:t>
            </w:r>
            <w:proofErr w:type="gramStart"/>
            <w:r>
              <w:rPr>
                <w:lang w:eastAsia="zh-CN"/>
              </w:rPr>
              <w:t>analysis, and</w:t>
            </w:r>
            <w:proofErr w:type="gramEnd"/>
            <w:r>
              <w:rPr>
                <w:lang w:eastAsia="zh-CN"/>
              </w:rPr>
              <w:t xml:space="preserve"> given the current situation with lack of L1 feedback, we think the best way forward is to simply use option A and this seems to significantly simplify the overall CG-SDT procedure. </w:t>
            </w:r>
          </w:p>
        </w:tc>
      </w:tr>
      <w:tr w:rsidR="00EB6F3D" w14:paraId="3230834C" w14:textId="77777777" w:rsidTr="00C24D98">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C24D98">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C24D98">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C24D98">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C24D98">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C24D98">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lastRenderedPageBreak/>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C24D98">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C24D98">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w:t>
      </w:r>
      <w:proofErr w:type="gramStart"/>
      <w:r>
        <w:rPr>
          <w:lang w:eastAsia="zh-CN"/>
        </w:rPr>
        <w:t>has to</w:t>
      </w:r>
      <w:proofErr w:type="gramEnd"/>
      <w:r>
        <w:rPr>
          <w:lang w:eastAsia="zh-CN"/>
        </w:rPr>
        <w:t xml:space="preserve">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w:t>
      </w:r>
      <w:proofErr w:type="gramStart"/>
      <w:r>
        <w:rPr>
          <w:lang w:eastAsia="zh-CN"/>
        </w:rPr>
        <w:t>in order for</w:t>
      </w:r>
      <w:proofErr w:type="gramEnd"/>
      <w:r>
        <w:rPr>
          <w:lang w:eastAsia="zh-CN"/>
        </w:rPr>
        <w:t xml:space="preserve"> the gNB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IIoT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C24D98">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C24D98">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C24D98">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C24D98">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C24D98">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C24D98">
        <w:tc>
          <w:tcPr>
            <w:tcW w:w="1429" w:type="dxa"/>
          </w:tcPr>
          <w:p w14:paraId="15A49610"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C24D98">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C24D98">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C24D98">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gramStart"/>
            <w:r>
              <w:rPr>
                <w:rFonts w:eastAsiaTheme="minorEastAsia"/>
                <w:lang w:eastAsia="zh-CN"/>
              </w:rPr>
              <w:t>a</w:t>
            </w:r>
            <w:proofErr w:type="gramEnd"/>
            <w:r>
              <w:rPr>
                <w:rFonts w:eastAsiaTheme="minorEastAsia"/>
                <w:lang w:eastAsia="zh-CN"/>
              </w:rPr>
              <w:t xml:space="preserve"> explicit ACK as discussed in Q7.</w:t>
            </w:r>
          </w:p>
        </w:tc>
      </w:tr>
      <w:tr w:rsidR="0014096F" w14:paraId="17A5ED82" w14:textId="77777777" w:rsidTr="00C24D98">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C24D98">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C24D98">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C24D98">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C24D98">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C24D98">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C24D98">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lastRenderedPageBreak/>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C24D98">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C24D98">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C24D98">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C24D98">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C24D98">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C24D98">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C24D98">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C24D98">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C24D98">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C24D98">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C24D98">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C24D98">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lastRenderedPageBreak/>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 xml:space="preserve">We think the function of the CG-SDT is to trigger autonomous retransmission, which is </w:t>
            </w:r>
            <w:proofErr w:type="gramStart"/>
            <w:r w:rsidRPr="009E0B25">
              <w:t>similar to</w:t>
            </w:r>
            <w:proofErr w:type="gramEnd"/>
            <w:r w:rsidRPr="009E0B25">
              <w:t xml:space="preserve">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C24D98">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C24D98">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C24D98">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C24D98">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w:t>
      </w:r>
      <w:proofErr w:type="gramStart"/>
      <w:r>
        <w:rPr>
          <w:lang w:eastAsia="zh-CN"/>
        </w:rPr>
        <w:t>in order to</w:t>
      </w:r>
      <w:proofErr w:type="gramEnd"/>
      <w:r>
        <w:rPr>
          <w:lang w:eastAsia="zh-CN"/>
        </w:rPr>
        <w:t xml:space="preserve">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TW"/>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lastRenderedPageBreak/>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C24D98">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C24D98">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C24D98">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C24D98">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lastRenderedPageBreak/>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C24D98">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C24D98">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C24D98">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C24D98">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lastRenderedPageBreak/>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C24D98">
        <w:tc>
          <w:tcPr>
            <w:tcW w:w="152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C24D98">
        <w:tc>
          <w:tcPr>
            <w:tcW w:w="152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301" w:type="dxa"/>
          </w:tcPr>
          <w:p w14:paraId="2E9EAF1A" w14:textId="231C0944" w:rsidR="00D21560" w:rsidRDefault="00D21560" w:rsidP="00BE01F3">
            <w:pPr>
              <w:rPr>
                <w:rFonts w:eastAsia="PMingLiU"/>
                <w:lang w:eastAsia="zh-TW"/>
              </w:rPr>
            </w:pPr>
            <w:r>
              <w:rPr>
                <w:rFonts w:eastAsia="PMingLiU"/>
                <w:lang w:eastAsia="zh-TW"/>
              </w:rPr>
              <w:t>Yes</w:t>
            </w:r>
          </w:p>
        </w:tc>
        <w:tc>
          <w:tcPr>
            <w:tcW w:w="7230"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C24D98">
        <w:tc>
          <w:tcPr>
            <w:tcW w:w="1529" w:type="dxa"/>
          </w:tcPr>
          <w:p w14:paraId="01BB04F6" w14:textId="03BF9705" w:rsidR="0039404C" w:rsidRDefault="0039404C" w:rsidP="0039404C">
            <w:pPr>
              <w:rPr>
                <w:rFonts w:eastAsia="Malgun Gothic"/>
                <w:lang w:eastAsia="ko-KR"/>
              </w:rPr>
            </w:pPr>
            <w:r>
              <w:rPr>
                <w:lang w:eastAsia="zh-CN"/>
              </w:rPr>
              <w:t>Nokia</w:t>
            </w:r>
          </w:p>
        </w:tc>
        <w:tc>
          <w:tcPr>
            <w:tcW w:w="1301" w:type="dxa"/>
          </w:tcPr>
          <w:p w14:paraId="7EB9F302" w14:textId="68114AB2" w:rsidR="0039404C" w:rsidRDefault="0039404C" w:rsidP="0039404C">
            <w:pPr>
              <w:rPr>
                <w:rFonts w:eastAsia="PMingLiU"/>
                <w:lang w:eastAsia="zh-TW"/>
              </w:rPr>
            </w:pPr>
            <w:r>
              <w:rPr>
                <w:lang w:eastAsia="zh-CN"/>
              </w:rPr>
              <w:t xml:space="preserve">No </w:t>
            </w:r>
          </w:p>
        </w:tc>
        <w:tc>
          <w:tcPr>
            <w:tcW w:w="7230" w:type="dxa"/>
          </w:tcPr>
          <w:p w14:paraId="3EAC82EC" w14:textId="7A6B6B1F" w:rsidR="0039404C" w:rsidRDefault="0039404C" w:rsidP="0039404C">
            <w:pPr>
              <w:rPr>
                <w:szCs w:val="22"/>
                <w:lang w:eastAsia="zh-CN"/>
              </w:rPr>
            </w:pPr>
            <w:r w:rsidRPr="00A53CE7">
              <w:rPr>
                <w:iCs/>
              </w:rPr>
              <w:t xml:space="preserve">Otherwise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C24D98">
        <w:tc>
          <w:tcPr>
            <w:tcW w:w="1529" w:type="dxa"/>
          </w:tcPr>
          <w:p w14:paraId="24E12EBA" w14:textId="4CE0BBB9" w:rsidR="006E74FF" w:rsidRDefault="006E74FF" w:rsidP="006E74FF">
            <w:pPr>
              <w:rPr>
                <w:lang w:eastAsia="zh-CN"/>
              </w:rPr>
            </w:pPr>
            <w:r>
              <w:rPr>
                <w:rFonts w:eastAsia="Malgun Gothic"/>
                <w:lang w:eastAsia="ko-KR"/>
              </w:rPr>
              <w:t>Qualcomm</w:t>
            </w:r>
          </w:p>
        </w:tc>
        <w:tc>
          <w:tcPr>
            <w:tcW w:w="1301" w:type="dxa"/>
          </w:tcPr>
          <w:p w14:paraId="6DCA5C3A" w14:textId="648E8424" w:rsidR="006E74FF" w:rsidRDefault="006E74FF" w:rsidP="006E74FF">
            <w:pPr>
              <w:rPr>
                <w:lang w:eastAsia="zh-CN"/>
              </w:rPr>
            </w:pPr>
            <w:r>
              <w:rPr>
                <w:rFonts w:eastAsia="PMingLiU"/>
                <w:lang w:eastAsia="zh-TW"/>
              </w:rPr>
              <w:t>Yes</w:t>
            </w:r>
          </w:p>
        </w:tc>
        <w:tc>
          <w:tcPr>
            <w:tcW w:w="7230"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bl>
    <w:p w14:paraId="00957F16" w14:textId="77777777" w:rsidR="0010032D" w:rsidRDefault="001F2426">
      <w:pPr>
        <w:pStyle w:val="Heading6"/>
      </w:pPr>
      <w:r>
        <w:rPr>
          <w:rFonts w:hint="eastAsia"/>
        </w:rPr>
        <w:lastRenderedPageBreak/>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C24D98">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C24D98">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C24D98">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C24D98">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lastRenderedPageBreak/>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lastRenderedPageBreak/>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C24D98">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C24D98">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C24D98">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C24D98">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lastRenderedPageBreak/>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C24D98">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C24D98">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C24D98">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C24D98">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 xml:space="preserve">Thus, we would like also to ask the following </w:t>
      </w:r>
      <w:proofErr w:type="gramStart"/>
      <w:r>
        <w:rPr>
          <w:lang w:val="en-GB" w:eastAsia="zh-CN"/>
        </w:rPr>
        <w:t>question</w:t>
      </w:r>
      <w:r>
        <w:rPr>
          <w:lang w:eastAsia="zh-CN"/>
        </w:rPr>
        <w:t>;</w:t>
      </w:r>
      <w:proofErr w:type="gramEnd"/>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answer should be yes. </w:t>
            </w:r>
          </w:p>
        </w:tc>
      </w:tr>
      <w:tr w:rsidR="00C24D98" w14:paraId="29138A9B" w14:textId="77777777" w:rsidTr="00C24D98">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C24D98">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C24D98">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C24D98">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lastRenderedPageBreak/>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 xml:space="preserve">or the following open question, companies are invited to input any other issues relating to CG-SDT. We may consider </w:t>
      </w:r>
      <w:proofErr w:type="gramStart"/>
      <w:r>
        <w:rPr>
          <w:lang w:val="en-GB" w:eastAsia="zh-CN"/>
        </w:rPr>
        <w:t>to address</w:t>
      </w:r>
      <w:proofErr w:type="gramEnd"/>
      <w:r>
        <w:rPr>
          <w:lang w:val="en-GB" w:eastAsia="zh-CN"/>
        </w:rPr>
        <w:t xml:space="preserve">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w:t>
            </w:r>
            <w:r w:rsidRPr="00B52079">
              <w:rPr>
                <w:rFonts w:hint="eastAsia"/>
              </w:rPr>
              <w:lastRenderedPageBreak/>
              <w:t xml:space="preserve">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bl>
    <w:p w14:paraId="0822AEAC" w14:textId="77777777" w:rsidR="0010032D" w:rsidRDefault="001F2426">
      <w:pPr>
        <w:pStyle w:val="Heading6"/>
      </w:pPr>
      <w:r>
        <w:rPr>
          <w:rFonts w:hint="eastAsia"/>
        </w:rPr>
        <w:lastRenderedPageBreak/>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 w:date="2021-12-13T21:02:00Z" w:initials="ZTE">
    <w:p w14:paraId="651F2CF5" w14:textId="77777777" w:rsidR="00D21560" w:rsidRDefault="00D21560">
      <w:pPr>
        <w:pStyle w:val="CommentText"/>
      </w:pPr>
      <w:r>
        <w:t>“</w:t>
      </w:r>
      <w:r>
        <w:rPr>
          <w:u w:val="single"/>
        </w:rPr>
        <w:t>when the timing advance command is received</w:t>
      </w:r>
      <w:r>
        <w:t>”</w:t>
      </w:r>
    </w:p>
    <w:p w14:paraId="61E62DD0" w14:textId="77777777" w:rsidR="00D21560" w:rsidRDefault="00D21560">
      <w:pPr>
        <w:pStyle w:val="CommentText"/>
      </w:pPr>
    </w:p>
    <w:p w14:paraId="57633615" w14:textId="77777777" w:rsidR="00D21560" w:rsidRDefault="00D21560">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D21560" w:rsidRDefault="00D215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F22E" w14:textId="77777777" w:rsidR="00E806AE" w:rsidRDefault="00E806AE">
      <w:pPr>
        <w:spacing w:after="0" w:line="240" w:lineRule="auto"/>
      </w:pPr>
      <w:r>
        <w:separator/>
      </w:r>
    </w:p>
  </w:endnote>
  <w:endnote w:type="continuationSeparator" w:id="0">
    <w:p w14:paraId="77D5EB51" w14:textId="77777777" w:rsidR="00E806AE" w:rsidRDefault="00E8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D21560" w:rsidRDefault="00D2156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D21560" w:rsidRDefault="00D2156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144CECD2" w:rsidR="00D21560" w:rsidRDefault="00D2156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B3DF" w14:textId="77777777" w:rsidR="00E806AE" w:rsidRDefault="00E806AE">
      <w:pPr>
        <w:spacing w:after="0" w:line="240" w:lineRule="auto"/>
      </w:pPr>
      <w:r>
        <w:separator/>
      </w:r>
    </w:p>
  </w:footnote>
  <w:footnote w:type="continuationSeparator" w:id="0">
    <w:p w14:paraId="053842CD" w14:textId="77777777" w:rsidR="00E806AE" w:rsidRDefault="00E8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D21560" w:rsidRDefault="00D2156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41BF8"/>
    <w:rsid w:val="00070E73"/>
    <w:rsid w:val="000801D1"/>
    <w:rsid w:val="000971D8"/>
    <w:rsid w:val="000B0B89"/>
    <w:rsid w:val="0010032D"/>
    <w:rsid w:val="00121BDA"/>
    <w:rsid w:val="0014096F"/>
    <w:rsid w:val="00150BE4"/>
    <w:rsid w:val="001961F7"/>
    <w:rsid w:val="001A1C92"/>
    <w:rsid w:val="001B6953"/>
    <w:rsid w:val="001B69EB"/>
    <w:rsid w:val="001C20A9"/>
    <w:rsid w:val="001F2426"/>
    <w:rsid w:val="001F252A"/>
    <w:rsid w:val="0020260C"/>
    <w:rsid w:val="002164E6"/>
    <w:rsid w:val="002207A1"/>
    <w:rsid w:val="00231603"/>
    <w:rsid w:val="00231658"/>
    <w:rsid w:val="00231F47"/>
    <w:rsid w:val="002820BA"/>
    <w:rsid w:val="00284B6A"/>
    <w:rsid w:val="002901C1"/>
    <w:rsid w:val="00293DAC"/>
    <w:rsid w:val="002C35B0"/>
    <w:rsid w:val="002E36AD"/>
    <w:rsid w:val="00311BFC"/>
    <w:rsid w:val="003401C8"/>
    <w:rsid w:val="00372317"/>
    <w:rsid w:val="0039370F"/>
    <w:rsid w:val="0039404C"/>
    <w:rsid w:val="003B22DF"/>
    <w:rsid w:val="003C564A"/>
    <w:rsid w:val="003E0624"/>
    <w:rsid w:val="00416C03"/>
    <w:rsid w:val="0045698A"/>
    <w:rsid w:val="00460C7C"/>
    <w:rsid w:val="004E0A45"/>
    <w:rsid w:val="004E79E0"/>
    <w:rsid w:val="004F1A80"/>
    <w:rsid w:val="004F4FD5"/>
    <w:rsid w:val="00502926"/>
    <w:rsid w:val="00503F7F"/>
    <w:rsid w:val="00510431"/>
    <w:rsid w:val="00512EDC"/>
    <w:rsid w:val="00533598"/>
    <w:rsid w:val="00564DC9"/>
    <w:rsid w:val="005662A8"/>
    <w:rsid w:val="005910F0"/>
    <w:rsid w:val="005C4146"/>
    <w:rsid w:val="005D3A8A"/>
    <w:rsid w:val="005F4BB8"/>
    <w:rsid w:val="00614C35"/>
    <w:rsid w:val="0062708C"/>
    <w:rsid w:val="006660DC"/>
    <w:rsid w:val="00667DD0"/>
    <w:rsid w:val="00685384"/>
    <w:rsid w:val="006937D6"/>
    <w:rsid w:val="006E74FF"/>
    <w:rsid w:val="00700554"/>
    <w:rsid w:val="00704923"/>
    <w:rsid w:val="00705562"/>
    <w:rsid w:val="00741640"/>
    <w:rsid w:val="00774B2C"/>
    <w:rsid w:val="007B2D02"/>
    <w:rsid w:val="007B3EBC"/>
    <w:rsid w:val="007C3CF0"/>
    <w:rsid w:val="007F1564"/>
    <w:rsid w:val="0081454A"/>
    <w:rsid w:val="00841185"/>
    <w:rsid w:val="0084643E"/>
    <w:rsid w:val="008503DC"/>
    <w:rsid w:val="0086056D"/>
    <w:rsid w:val="00894BD1"/>
    <w:rsid w:val="008A341F"/>
    <w:rsid w:val="008B38E9"/>
    <w:rsid w:val="0090063B"/>
    <w:rsid w:val="0091266A"/>
    <w:rsid w:val="00930A33"/>
    <w:rsid w:val="00931D62"/>
    <w:rsid w:val="0093669D"/>
    <w:rsid w:val="00954E0B"/>
    <w:rsid w:val="009625DA"/>
    <w:rsid w:val="00963FAC"/>
    <w:rsid w:val="00996B8E"/>
    <w:rsid w:val="009A5E1D"/>
    <w:rsid w:val="009B016E"/>
    <w:rsid w:val="009E3857"/>
    <w:rsid w:val="00A4618D"/>
    <w:rsid w:val="00A46D37"/>
    <w:rsid w:val="00A65F32"/>
    <w:rsid w:val="00A8071F"/>
    <w:rsid w:val="00A83402"/>
    <w:rsid w:val="00A87DE4"/>
    <w:rsid w:val="00AD1ADD"/>
    <w:rsid w:val="00AE61DF"/>
    <w:rsid w:val="00AE635B"/>
    <w:rsid w:val="00AE7C4B"/>
    <w:rsid w:val="00B104A1"/>
    <w:rsid w:val="00B1726C"/>
    <w:rsid w:val="00B52079"/>
    <w:rsid w:val="00B8274F"/>
    <w:rsid w:val="00BA037D"/>
    <w:rsid w:val="00BC3E32"/>
    <w:rsid w:val="00BE01F3"/>
    <w:rsid w:val="00BE2300"/>
    <w:rsid w:val="00C03CDE"/>
    <w:rsid w:val="00C24D98"/>
    <w:rsid w:val="00C331F4"/>
    <w:rsid w:val="00C40CEF"/>
    <w:rsid w:val="00C4267F"/>
    <w:rsid w:val="00C475D7"/>
    <w:rsid w:val="00C76B23"/>
    <w:rsid w:val="00CC48B6"/>
    <w:rsid w:val="00CC7B1E"/>
    <w:rsid w:val="00CD70F5"/>
    <w:rsid w:val="00CF26C4"/>
    <w:rsid w:val="00D21560"/>
    <w:rsid w:val="00D5391E"/>
    <w:rsid w:val="00D56A21"/>
    <w:rsid w:val="00D57BBF"/>
    <w:rsid w:val="00D631A9"/>
    <w:rsid w:val="00DC15F5"/>
    <w:rsid w:val="00DD5F82"/>
    <w:rsid w:val="00DE03BF"/>
    <w:rsid w:val="00DE5165"/>
    <w:rsid w:val="00E051AD"/>
    <w:rsid w:val="00E53BB5"/>
    <w:rsid w:val="00E806AE"/>
    <w:rsid w:val="00EB6F3D"/>
    <w:rsid w:val="00EC0709"/>
    <w:rsid w:val="00EC1FA7"/>
    <w:rsid w:val="00F01731"/>
    <w:rsid w:val="00F4114B"/>
    <w:rsid w:val="00F67A39"/>
    <w:rsid w:val="00F7169A"/>
    <w:rsid w:val="00F82E98"/>
    <w:rsid w:val="00F83B64"/>
    <w:rsid w:val="00F878E7"/>
    <w:rsid w:val="00F978E9"/>
    <w:rsid w:val="00FA1162"/>
    <w:rsid w:val="00FA29E6"/>
    <w:rsid w:val="00FC56F5"/>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styleId="UnresolvedMention">
    <w:name w:val="Unresolved Mention"/>
    <w:basedOn w:val="DefaultParagraphFont"/>
    <w:uiPriority w:val="99"/>
    <w:semiHidden/>
    <w:unhideWhenUsed/>
    <w:rsid w:val="00D2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8660</Words>
  <Characters>49368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(Ruiming)</cp:lastModifiedBy>
  <cp:revision>73</cp:revision>
  <dcterms:created xsi:type="dcterms:W3CDTF">2021-12-16T01:18:00Z</dcterms:created>
  <dcterms:modified xsi:type="dcterms:W3CDTF">2021-12-16T08:27:00Z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