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proofErr w:type="gramStart"/>
      <w:r>
        <w:rPr>
          <w:rFonts w:ascii="Arial" w:hAnsi="Arial" w:cs="Arial"/>
          <w:i/>
        </w:rPr>
        <w:t>Thus</w:t>
      </w:r>
      <w:proofErr w:type="gramEnd"/>
      <w:r>
        <w:rPr>
          <w:rFonts w:ascii="Arial" w:hAnsi="Arial" w:cs="Arial"/>
          <w:i/>
        </w:rPr>
        <w:t xml:space="preserve">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 xml:space="preserve">We could ask SA4 to describe the wanted network and UE behaviour related to mobility and release, </w:t>
            </w:r>
            <w:proofErr w:type="gramStart"/>
            <w:r>
              <w:t>e.g.</w:t>
            </w:r>
            <w:proofErr w:type="gramEnd"/>
            <w:r>
              <w:t xml:space="preserve">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t>
            </w:r>
            <w:proofErr w:type="gramStart"/>
            <w:r>
              <w:rPr>
                <w:rFonts w:eastAsia="Malgun Gothic"/>
                <w:lang w:eastAsia="ko-KR"/>
              </w:rPr>
              <w:t>whether or not</w:t>
            </w:r>
            <w:proofErr w:type="gramEnd"/>
            <w:r>
              <w:rPr>
                <w:rFonts w:eastAsia="Malgun Gothic"/>
                <w:lang w:eastAsia="ko-KR"/>
              </w:rPr>
              <w:t xml:space="preserve">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w:t>
            </w:r>
            <w:proofErr w:type="gramStart"/>
            <w:r>
              <w:t>i.e.</w:t>
            </w:r>
            <w:proofErr w:type="gramEnd"/>
            <w:r>
              <w:t xml:space="preserve"> checking area scope, and it says it should only be done when the session starts. Since the answer to this question from SA4 was simply: “Yes.”, </w:t>
            </w:r>
            <w:proofErr w:type="gramStart"/>
            <w:r>
              <w:t>it is clear that this</w:t>
            </w:r>
            <w:proofErr w:type="gramEnd"/>
            <w:r>
              <w:t xml:space="preserve">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w:t>
            </w:r>
            <w:proofErr w:type="spellStart"/>
            <w:r>
              <w:t>QoE</w:t>
            </w:r>
            <w:proofErr w:type="spellEnd"/>
            <w:r>
              <w:t xml:space="preserve"> measurement when the UE moves out of the Area Scope? </w:t>
            </w:r>
          </w:p>
          <w:p w14:paraId="38680B6F" w14:textId="77777777" w:rsidR="00142520" w:rsidRDefault="00142520" w:rsidP="00142520">
            <w:pPr>
              <w:spacing w:after="120"/>
              <w:rPr>
                <w:rFonts w:ascii="Arial" w:hAnsi="Arial" w:cs="Arial"/>
                <w:i/>
              </w:rPr>
            </w:pPr>
            <w:r>
              <w:t xml:space="preserve">2) It is noticed that SA4 specification already defines the application layer </w:t>
            </w:r>
            <w:proofErr w:type="spellStart"/>
            <w:r>
              <w:t>QoE</w:t>
            </w:r>
            <w:proofErr w:type="spellEnd"/>
            <w:r>
              <w:t xml:space="preserve"> configuration, including the location filter information will be provided to UE client, and UE client will check whether to initiate </w:t>
            </w:r>
            <w:proofErr w:type="spellStart"/>
            <w:r>
              <w:t>QoE</w:t>
            </w:r>
            <w:proofErr w:type="spellEnd"/>
            <w:r>
              <w:t xml:space="preserv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77777777" w:rsidR="00FF4F38" w:rsidRDefault="00FF4F38" w:rsidP="00FF4F38">
            <w:pPr>
              <w:spacing w:after="120"/>
            </w:pPr>
          </w:p>
        </w:tc>
        <w:tc>
          <w:tcPr>
            <w:tcW w:w="6095" w:type="dxa"/>
          </w:tcPr>
          <w:p w14:paraId="6B6D831E" w14:textId="77777777" w:rsidR="00FF4F38" w:rsidRDefault="00FF4F38" w:rsidP="00FF4F38">
            <w:pPr>
              <w:spacing w:after="120"/>
              <w:rPr>
                <w:lang w:eastAsia="zh-CN"/>
              </w:rPr>
            </w:pPr>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1" w:name="_Ref1"/>
    <w:bookmarkStart w:id="2"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1"/>
    </w:p>
    <w:bookmarkStart w:id="3"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3"/>
    </w:p>
    <w:bookmarkStart w:id="4"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4"/>
    </w:p>
    <w:bookmarkStart w:id="5"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5"/>
    </w:p>
    <w:bookmarkStart w:id="6" w:name="_Ref5"/>
    <w:p w14:paraId="6B6D833D" w14:textId="77777777" w:rsidR="0045661D" w:rsidRDefault="00AE0EF7">
      <w:pPr>
        <w:pStyle w:val="Reference"/>
      </w:pPr>
      <w:r>
        <w:lastRenderedPageBreak/>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6"/>
    </w:p>
    <w:bookmarkStart w:id="7"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7"/>
    </w:p>
    <w:bookmarkStart w:id="8"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8"/>
    </w:p>
    <w:bookmarkStart w:id="9"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9"/>
    </w:p>
    <w:bookmarkStart w:id="10"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0"/>
    </w:p>
    <w:bookmarkStart w:id="11"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1"/>
    </w:p>
    <w:bookmarkStart w:id="12"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2"/>
    </w:p>
    <w:bookmarkStart w:id="13"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3"/>
    </w:p>
    <w:bookmarkStart w:id="14"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14"/>
    </w:p>
    <w:bookmarkStart w:id="15"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5"/>
    </w:p>
    <w:bookmarkStart w:id="16"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6"/>
    </w:p>
    <w:bookmarkStart w:id="17"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2"/>
      <w:bookmarkEnd w:id="17"/>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C2E1" w14:textId="77777777" w:rsidR="00782C3E" w:rsidRDefault="00782C3E">
      <w:pPr>
        <w:spacing w:after="0" w:line="240" w:lineRule="auto"/>
      </w:pPr>
      <w:r>
        <w:separator/>
      </w:r>
    </w:p>
  </w:endnote>
  <w:endnote w:type="continuationSeparator" w:id="0">
    <w:p w14:paraId="733E59A6" w14:textId="77777777" w:rsidR="00782C3E" w:rsidRDefault="0078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3B01" w14:textId="77777777" w:rsidR="00782C3E" w:rsidRDefault="00782C3E">
      <w:pPr>
        <w:spacing w:after="0" w:line="240" w:lineRule="auto"/>
      </w:pPr>
      <w:r>
        <w:separator/>
      </w:r>
    </w:p>
  </w:footnote>
  <w:footnote w:type="continuationSeparator" w:id="0">
    <w:p w14:paraId="61808B26" w14:textId="77777777" w:rsidR="00782C3E" w:rsidRDefault="0078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E6"/>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5636F93-EF69-4E55-A2C5-60A94CC7C90E}">
  <ds:schemaRefs>
    <ds:schemaRef ds:uri="http://schemas.openxmlformats.org/officeDocument/2006/bibliography"/>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3</cp:revision>
  <cp:lastPrinted>2008-01-31T07:09:00Z</cp:lastPrinted>
  <dcterms:created xsi:type="dcterms:W3CDTF">2021-11-19T06:42:00Z</dcterms:created>
  <dcterms:modified xsi:type="dcterms:W3CDTF">2021-11-19T06:44:00Z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