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cell environments, the RACH might not be needed at all, irrespective of the usage/no-usage of 4. ‘4’ </w:t>
            </w:r>
            <w:r>
              <w:rPr>
                <w:rFonts w:eastAsia="SimSun"/>
                <w:noProof/>
                <w:lang w:eastAsia="zh-CN"/>
              </w:rPr>
              <w:lastRenderedPageBreak/>
              <w:t>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SimSun"/>
                <w:noProof/>
                <w:lang w:eastAsia="zh-CN"/>
              </w:rPr>
            </w:pPr>
            <w:r>
              <w:rPr>
                <w:rFonts w:eastAsia="SimSun"/>
                <w:noProof/>
                <w:lang w:eastAsia="zh-CN"/>
              </w:rPr>
              <w:lastRenderedPageBreak/>
              <w:t>Qualcomm</w:t>
            </w:r>
          </w:p>
        </w:tc>
        <w:tc>
          <w:tcPr>
            <w:tcW w:w="1517" w:type="dxa"/>
            <w:shd w:val="clear" w:color="auto" w:fill="auto"/>
          </w:tcPr>
          <w:p w14:paraId="58B44ECF" w14:textId="77777777" w:rsidR="00E957F9" w:rsidRDefault="00E957F9" w:rsidP="00A73326">
            <w:pPr>
              <w:rPr>
                <w:rFonts w:eastAsia="SimSun"/>
                <w:noProof/>
                <w:lang w:eastAsia="zh-CN"/>
              </w:rPr>
            </w:pPr>
            <w:r>
              <w:rPr>
                <w:rFonts w:eastAsia="SimSun"/>
                <w:noProof/>
                <w:lang w:eastAsia="zh-CN"/>
              </w:rPr>
              <w:t>1, 2</w:t>
            </w:r>
          </w:p>
        </w:tc>
        <w:tc>
          <w:tcPr>
            <w:tcW w:w="9378" w:type="dxa"/>
            <w:shd w:val="clear" w:color="auto" w:fill="auto"/>
          </w:tcPr>
          <w:p w14:paraId="184048AC" w14:textId="77777777" w:rsidR="00E957F9" w:rsidRDefault="00E957F9" w:rsidP="00A73326">
            <w:pPr>
              <w:rPr>
                <w:rFonts w:eastAsia="SimSun"/>
                <w:noProof/>
                <w:lang w:eastAsia="zh-CN"/>
              </w:rPr>
            </w:pPr>
            <w:r>
              <w:rPr>
                <w:rFonts w:eastAsia="SimSun"/>
                <w:noProof/>
                <w:lang w:eastAsia="zh-CN"/>
              </w:rPr>
              <w:t xml:space="preserve">1), 2) are the basic features. 3) is FFS.  </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SimSun"/>
                <w:noProof/>
                <w:lang w:eastAsia="zh-CN"/>
              </w:rPr>
            </w:pPr>
            <w:r>
              <w:rPr>
                <w:rFonts w:eastAsia="SimSun"/>
                <w:noProof/>
                <w:lang w:eastAsia="zh-CN"/>
              </w:rPr>
              <w:t>Qualcomm</w:t>
            </w:r>
          </w:p>
        </w:tc>
        <w:tc>
          <w:tcPr>
            <w:tcW w:w="1517" w:type="dxa"/>
            <w:shd w:val="clear" w:color="auto" w:fill="auto"/>
          </w:tcPr>
          <w:p w14:paraId="6C2F71F5" w14:textId="77777777" w:rsidR="00523237" w:rsidRDefault="00523237" w:rsidP="00A73326">
            <w:pPr>
              <w:rPr>
                <w:rFonts w:eastAsia="SimSun"/>
                <w:noProof/>
                <w:lang w:eastAsia="zh-CN"/>
              </w:rPr>
            </w:pPr>
            <w:r>
              <w:rPr>
                <w:rFonts w:eastAsia="SimSun"/>
                <w:noProof/>
                <w:lang w:eastAsia="zh-CN"/>
              </w:rPr>
              <w:t xml:space="preserve">1, 2, </w:t>
            </w:r>
          </w:p>
          <w:p w14:paraId="7333A21C" w14:textId="77777777" w:rsidR="00523237" w:rsidRDefault="00523237" w:rsidP="00A73326">
            <w:pPr>
              <w:rPr>
                <w:rFonts w:eastAsia="SimSun"/>
                <w:noProof/>
                <w:lang w:eastAsia="zh-CN"/>
              </w:rPr>
            </w:pPr>
            <w:r>
              <w:rPr>
                <w:rFonts w:eastAsia="SimSun"/>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bl>
    <w:p w14:paraId="18B10B09" w14:textId="08D1BD3E"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CC16" w14:textId="77777777" w:rsidR="00426C22" w:rsidRDefault="00426C22">
      <w:pPr>
        <w:spacing w:after="0"/>
      </w:pPr>
      <w:r>
        <w:separator/>
      </w:r>
    </w:p>
  </w:endnote>
  <w:endnote w:type="continuationSeparator" w:id="0">
    <w:p w14:paraId="2867E412" w14:textId="77777777" w:rsidR="00426C22" w:rsidRDefault="00426C22">
      <w:pPr>
        <w:spacing w:after="0"/>
      </w:pPr>
      <w:r>
        <w:continuationSeparator/>
      </w:r>
    </w:p>
  </w:endnote>
  <w:endnote w:type="continuationNotice" w:id="1">
    <w:p w14:paraId="433C2B47" w14:textId="77777777" w:rsidR="00426C22" w:rsidRDefault="00426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58A8" w14:textId="77777777" w:rsidR="003E0BF7" w:rsidRDefault="003E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846B" w14:textId="26F523E8" w:rsidR="009E4F08" w:rsidRDefault="009E4F08">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85E" w14:textId="77777777" w:rsidR="003E0BF7" w:rsidRDefault="003E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2782077" w:rsidR="009E4F08" w:rsidRDefault="009E4F08"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794D" w14:textId="77777777" w:rsidR="00426C22" w:rsidRDefault="00426C22">
      <w:pPr>
        <w:spacing w:after="0"/>
      </w:pPr>
      <w:r>
        <w:separator/>
      </w:r>
    </w:p>
  </w:footnote>
  <w:footnote w:type="continuationSeparator" w:id="0">
    <w:p w14:paraId="224CBB13" w14:textId="77777777" w:rsidR="00426C22" w:rsidRDefault="00426C22">
      <w:pPr>
        <w:spacing w:after="0"/>
      </w:pPr>
      <w:r>
        <w:continuationSeparator/>
      </w:r>
    </w:p>
  </w:footnote>
  <w:footnote w:type="continuationNotice" w:id="1">
    <w:p w14:paraId="57D14A2B" w14:textId="77777777" w:rsidR="00426C22" w:rsidRDefault="00426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60C8" w14:textId="77777777" w:rsidR="003E0BF7" w:rsidRDefault="003E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7FBB" w14:textId="77777777" w:rsidR="003E0BF7" w:rsidRDefault="003E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637A" w14:textId="77777777" w:rsidR="003E0BF7" w:rsidRDefault="003E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0B9A">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4C4DE-C218-4404-9F9E-6F9D79FA5957}">
  <ds:schemaRefs>
    <ds:schemaRef ds:uri="http://schemas.openxmlformats.org/officeDocument/2006/bibliography"/>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4</Pages>
  <Words>907</Words>
  <Characters>5172</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Qualcomm</cp:lastModifiedBy>
  <cp:revision>15</cp:revision>
  <cp:lastPrinted>2017-05-08T10:55:00Z</cp:lastPrinted>
  <dcterms:created xsi:type="dcterms:W3CDTF">2021-09-30T12:33:00Z</dcterms:created>
  <dcterms:modified xsi:type="dcterms:W3CDTF">2021-10-12T06:27:00Z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