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omments.xml" ContentType="application/vnd.openxmlformats-officedocument.wordprocessingml.comments+xml"/>
  <Override PartName="/word/commentsExtended.xml" ContentType="application/vnd.openxmlformats-officedocument.wordprocessingml.commentsExtended+xml"/>
  <Override PartName="/word/customizations.xml" ContentType="application/vnd.ms-word.keyMapCustomizations+xml"/>
  <Override PartName="/word/document.xml" ContentType="application/vnd.openxmlformats-officedocument.wordprocessingml.document.main+xml"/>
  <Override PartName="/word/embeddings/Microsoft_Visio_2003-2010___1.vsd" ContentType="application/vnd.visio"/>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0"/>
        <w:tabs>
          <w:tab w:val="right" w:pos="9639"/>
        </w:tabs>
        <w:spacing w:after="0"/>
        <w:rPr>
          <w:rFonts w:eastAsia="宋体"/>
          <w:b/>
          <w:sz w:val="24"/>
          <w:lang w:val="en-US" w:eastAsia="zh-CN"/>
        </w:rPr>
      </w:pPr>
      <w:r>
        <w:rPr>
          <w:b/>
          <w:sz w:val="24"/>
          <w:lang w:eastAsia="zh-CN"/>
        </w:rPr>
        <w:t>3GPP TSG-</w:t>
      </w:r>
      <w:r>
        <w:rPr>
          <w:rFonts w:hint="eastAsia" w:eastAsia="宋体"/>
          <w:b/>
          <w:sz w:val="24"/>
          <w:lang w:val="en-US" w:eastAsia="zh-CN"/>
        </w:rPr>
        <w:t>RAN WG</w:t>
      </w:r>
      <w:r>
        <w:rPr>
          <w:rFonts w:eastAsia="宋体"/>
          <w:b/>
          <w:sz w:val="24"/>
          <w:lang w:val="en-US" w:eastAsia="zh-CN"/>
        </w:rPr>
        <w:t>2</w:t>
      </w:r>
      <w:r>
        <w:rPr>
          <w:b/>
          <w:sz w:val="24"/>
          <w:lang w:eastAsia="zh-CN"/>
        </w:rPr>
        <w:t xml:space="preserve"> Meeting #</w:t>
      </w:r>
      <w:r>
        <w:rPr>
          <w:rFonts w:eastAsia="宋体"/>
          <w:b/>
          <w:sz w:val="24"/>
          <w:lang w:val="en-US" w:eastAsia="zh-CN"/>
        </w:rPr>
        <w:t>115</w:t>
      </w:r>
      <w:r>
        <w:rPr>
          <w:rFonts w:hint="eastAsia" w:eastAsia="宋体"/>
          <w:b/>
          <w:sz w:val="24"/>
          <w:lang w:val="en-US" w:eastAsia="zh-CN"/>
        </w:rPr>
        <w:tab/>
      </w:r>
      <w:r>
        <w:rPr>
          <w:rFonts w:eastAsia="宋体"/>
          <w:b/>
          <w:sz w:val="24"/>
          <w:lang w:val="en-US" w:eastAsia="zh-CN"/>
        </w:rPr>
        <w:t>R2-21xxxxx</w:t>
      </w:r>
    </w:p>
    <w:p>
      <w:pPr>
        <w:pStyle w:val="130"/>
        <w:outlineLvl w:val="0"/>
        <w:rPr>
          <w:rFonts w:eastAsia="宋体"/>
          <w:b/>
          <w:sz w:val="24"/>
          <w:lang w:val="en-US" w:eastAsia="zh-CN"/>
        </w:rPr>
      </w:pPr>
      <w:r>
        <w:rPr>
          <w:rFonts w:hint="eastAsia" w:eastAsia="宋体"/>
          <w:b/>
          <w:sz w:val="24"/>
          <w:lang w:val="en-US" w:eastAsia="zh-CN"/>
        </w:rPr>
        <w:t>Electronic Meeting</w:t>
      </w:r>
      <w:r>
        <w:rPr>
          <w:rFonts w:eastAsia="宋体"/>
          <w:b/>
          <w:sz w:val="24"/>
          <w:lang w:val="en-US" w:eastAsia="zh-CN"/>
        </w:rPr>
        <w:t xml:space="preserve">, </w:t>
      </w:r>
      <w:r>
        <w:rPr>
          <w:rFonts w:hint="eastAsia" w:eastAsia="宋体"/>
          <w:b/>
          <w:sz w:val="24"/>
          <w:lang w:val="en-US" w:eastAsia="zh-CN"/>
        </w:rPr>
        <w:t>Aug</w:t>
      </w:r>
      <w:r>
        <w:rPr>
          <w:rFonts w:eastAsia="宋体"/>
          <w:b/>
          <w:sz w:val="24"/>
          <w:lang w:val="en-US" w:eastAsia="zh-CN"/>
        </w:rPr>
        <w:t xml:space="preserve">ust </w:t>
      </w:r>
      <w:r>
        <w:rPr>
          <w:rFonts w:hint="eastAsia" w:eastAsia="宋体"/>
          <w:b/>
          <w:sz w:val="24"/>
          <w:lang w:val="en-US" w:eastAsia="zh-CN"/>
        </w:rPr>
        <w:t>09</w:t>
      </w:r>
      <w:r>
        <w:rPr>
          <w:rFonts w:eastAsia="宋体"/>
          <w:b/>
          <w:sz w:val="24"/>
          <w:lang w:val="en-US" w:eastAsia="zh-CN"/>
        </w:rPr>
        <w:t xml:space="preserve"> – </w:t>
      </w:r>
      <w:r>
        <w:rPr>
          <w:rFonts w:hint="eastAsia" w:eastAsia="宋体"/>
          <w:b/>
          <w:sz w:val="24"/>
          <w:lang w:val="en-US" w:eastAsia="zh-CN"/>
        </w:rPr>
        <w:t>Au</w:t>
      </w:r>
      <w:r>
        <w:rPr>
          <w:rFonts w:eastAsia="宋体"/>
          <w:b/>
          <w:sz w:val="24"/>
          <w:lang w:val="en-US" w:eastAsia="zh-CN"/>
        </w:rPr>
        <w:t>gust</w:t>
      </w:r>
      <w:r>
        <w:rPr>
          <w:rFonts w:hint="eastAsia" w:eastAsia="宋体"/>
          <w:b/>
          <w:sz w:val="24"/>
          <w:lang w:val="en-US" w:eastAsia="zh-CN"/>
        </w:rPr>
        <w:t xml:space="preserve"> 27</w:t>
      </w:r>
      <w:r>
        <w:rPr>
          <w:rFonts w:eastAsia="宋体"/>
          <w:b/>
          <w:sz w:val="24"/>
          <w:lang w:val="en-US" w:eastAsia="zh-CN"/>
        </w:rPr>
        <w:t>, 2021</w:t>
      </w:r>
    </w:p>
    <w:tbl>
      <w:tblPr>
        <w:tblStyle w:val="59"/>
        <w:tblW w:w="9641" w:type="dxa"/>
        <w:tblInd w:w="42" w:type="dxa"/>
        <w:tblLayout w:type="fixed"/>
        <w:tblCellMar>
          <w:top w:w="0" w:type="dxa"/>
          <w:left w:w="42" w:type="dxa"/>
          <w:bottom w:w="0" w:type="dxa"/>
          <w:right w:w="42" w:type="dxa"/>
        </w:tblCellMar>
      </w:tblPr>
      <w:tblGrid>
        <w:gridCol w:w="142"/>
        <w:gridCol w:w="1559"/>
        <w:gridCol w:w="709"/>
        <w:gridCol w:w="1276"/>
        <w:gridCol w:w="709"/>
        <w:gridCol w:w="992"/>
        <w:gridCol w:w="2410"/>
        <w:gridCol w:w="1701"/>
        <w:gridCol w:w="143"/>
      </w:tblGrid>
      <w:tr>
        <w:tblPrEx>
          <w:tblCellMar>
            <w:top w:w="0" w:type="dxa"/>
            <w:left w:w="42" w:type="dxa"/>
            <w:bottom w:w="0" w:type="dxa"/>
            <w:right w:w="42" w:type="dxa"/>
          </w:tblCellMar>
        </w:tblPrEx>
        <w:tc>
          <w:tcPr>
            <w:tcW w:w="9641" w:type="dxa"/>
            <w:gridSpan w:val="9"/>
            <w:tcBorders>
              <w:top w:val="single" w:color="auto" w:sz="4" w:space="0"/>
              <w:left w:val="single" w:color="auto" w:sz="4" w:space="0"/>
              <w:right w:val="single" w:color="auto" w:sz="4" w:space="0"/>
            </w:tcBorders>
          </w:tcPr>
          <w:p>
            <w:pPr>
              <w:pStyle w:val="130"/>
              <w:spacing w:after="0"/>
              <w:jc w:val="right"/>
              <w:rPr>
                <w:i/>
              </w:rPr>
            </w:pPr>
            <w:r>
              <w:rPr>
                <w:i/>
                <w:sz w:val="14"/>
              </w:rPr>
              <w:t>CR-Form-v12.1</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130"/>
              <w:spacing w:after="0"/>
              <w:jc w:val="center"/>
            </w:pPr>
            <w:r>
              <w:rPr>
                <w:b/>
                <w:sz w:val="32"/>
              </w:rPr>
              <w:t>CHANGE REQUEST</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130"/>
              <w:spacing w:after="0"/>
              <w:rPr>
                <w:sz w:val="8"/>
                <w:szCs w:val="8"/>
              </w:rPr>
            </w:pPr>
          </w:p>
        </w:tc>
      </w:tr>
      <w:tr>
        <w:tblPrEx>
          <w:tblCellMar>
            <w:top w:w="0" w:type="dxa"/>
            <w:left w:w="42" w:type="dxa"/>
            <w:bottom w:w="0" w:type="dxa"/>
            <w:right w:w="42" w:type="dxa"/>
          </w:tblCellMar>
        </w:tblPrEx>
        <w:tc>
          <w:tcPr>
            <w:tcW w:w="142" w:type="dxa"/>
            <w:tcBorders>
              <w:left w:val="single" w:color="auto" w:sz="4" w:space="0"/>
            </w:tcBorders>
          </w:tcPr>
          <w:p>
            <w:pPr>
              <w:pStyle w:val="130"/>
              <w:spacing w:after="0"/>
              <w:jc w:val="right"/>
            </w:pPr>
          </w:p>
        </w:tc>
        <w:tc>
          <w:tcPr>
            <w:tcW w:w="1559" w:type="dxa"/>
            <w:shd w:val="pct30" w:color="FFFF00" w:fill="auto"/>
          </w:tcPr>
          <w:p>
            <w:pPr>
              <w:pStyle w:val="130"/>
              <w:spacing w:after="0"/>
              <w:rPr>
                <w:rFonts w:eastAsia="宋体"/>
                <w:b/>
                <w:sz w:val="28"/>
                <w:lang w:eastAsia="zh-CN"/>
              </w:rPr>
            </w:pPr>
            <w:r>
              <w:rPr>
                <w:b/>
                <w:sz w:val="28"/>
                <w:lang w:val="en-US" w:eastAsia="zh-CN"/>
              </w:rPr>
              <w:t>38.300</w:t>
            </w:r>
          </w:p>
        </w:tc>
        <w:tc>
          <w:tcPr>
            <w:tcW w:w="709" w:type="dxa"/>
          </w:tcPr>
          <w:p>
            <w:pPr>
              <w:pStyle w:val="130"/>
              <w:spacing w:after="0"/>
              <w:jc w:val="center"/>
            </w:pPr>
            <w:r>
              <w:rPr>
                <w:b/>
                <w:sz w:val="28"/>
              </w:rPr>
              <w:t>CR</w:t>
            </w:r>
          </w:p>
        </w:tc>
        <w:tc>
          <w:tcPr>
            <w:tcW w:w="1276" w:type="dxa"/>
            <w:shd w:val="pct30" w:color="FFFF00" w:fill="auto"/>
          </w:tcPr>
          <w:p>
            <w:pPr>
              <w:pStyle w:val="130"/>
              <w:spacing w:after="0"/>
              <w:rPr>
                <w:rFonts w:eastAsiaTheme="minorEastAsia"/>
                <w:sz w:val="28"/>
                <w:szCs w:val="28"/>
                <w:lang w:eastAsia="zh-CN"/>
              </w:rPr>
            </w:pPr>
          </w:p>
        </w:tc>
        <w:tc>
          <w:tcPr>
            <w:tcW w:w="709" w:type="dxa"/>
          </w:tcPr>
          <w:p>
            <w:pPr>
              <w:pStyle w:val="130"/>
              <w:tabs>
                <w:tab w:val="right" w:pos="625"/>
              </w:tabs>
              <w:spacing w:after="0"/>
              <w:jc w:val="center"/>
            </w:pPr>
            <w:r>
              <w:rPr>
                <w:b/>
                <w:bCs/>
                <w:sz w:val="28"/>
              </w:rPr>
              <w:t>rev</w:t>
            </w:r>
          </w:p>
        </w:tc>
        <w:tc>
          <w:tcPr>
            <w:tcW w:w="992" w:type="dxa"/>
            <w:shd w:val="pct30" w:color="FFFF00" w:fill="auto"/>
          </w:tcPr>
          <w:p>
            <w:pPr>
              <w:pStyle w:val="130"/>
              <w:spacing w:after="0"/>
              <w:jc w:val="center"/>
              <w:rPr>
                <w:rFonts w:eastAsiaTheme="minorEastAsia"/>
                <w:b/>
                <w:lang w:eastAsia="zh-CN"/>
              </w:rPr>
            </w:pPr>
            <w:r>
              <w:rPr>
                <w:rFonts w:hint="eastAsia" w:eastAsiaTheme="minorEastAsia"/>
                <w:b/>
                <w:lang w:eastAsia="zh-CN"/>
              </w:rPr>
              <w:t>-</w:t>
            </w:r>
          </w:p>
        </w:tc>
        <w:tc>
          <w:tcPr>
            <w:tcW w:w="2410" w:type="dxa"/>
          </w:tcPr>
          <w:p>
            <w:pPr>
              <w:pStyle w:val="130"/>
              <w:tabs>
                <w:tab w:val="right" w:pos="1825"/>
              </w:tabs>
              <w:spacing w:after="0"/>
              <w:jc w:val="center"/>
            </w:pPr>
            <w:r>
              <w:rPr>
                <w:b/>
                <w:sz w:val="28"/>
                <w:szCs w:val="28"/>
              </w:rPr>
              <w:t>Current version:</w:t>
            </w:r>
          </w:p>
        </w:tc>
        <w:tc>
          <w:tcPr>
            <w:tcW w:w="1701" w:type="dxa"/>
            <w:shd w:val="pct30" w:color="FFFF00" w:fill="auto"/>
          </w:tcPr>
          <w:p>
            <w:pPr>
              <w:pStyle w:val="130"/>
              <w:spacing w:after="0"/>
              <w:jc w:val="center"/>
              <w:rPr>
                <w:sz w:val="28"/>
              </w:rPr>
            </w:pPr>
            <w:r>
              <w:rPr>
                <w:rFonts w:hint="eastAsia"/>
                <w:b/>
                <w:sz w:val="28"/>
                <w:lang w:val="en-US" w:eastAsia="zh-CN"/>
              </w:rPr>
              <w:t>1</w:t>
            </w:r>
            <w:r>
              <w:rPr>
                <w:b/>
                <w:sz w:val="28"/>
                <w:lang w:val="en-US" w:eastAsia="zh-CN"/>
              </w:rPr>
              <w:t>6</w:t>
            </w:r>
            <w:r>
              <w:rPr>
                <w:rFonts w:hint="eastAsia"/>
                <w:b/>
                <w:sz w:val="28"/>
                <w:lang w:val="en-US" w:eastAsia="zh-CN"/>
              </w:rPr>
              <w:t>.</w:t>
            </w:r>
            <w:r>
              <w:rPr>
                <w:rFonts w:eastAsia="宋体"/>
                <w:b/>
                <w:sz w:val="28"/>
                <w:lang w:val="en-US" w:eastAsia="zh-CN"/>
              </w:rPr>
              <w:t>6</w:t>
            </w:r>
            <w:r>
              <w:rPr>
                <w:rFonts w:hint="eastAsia"/>
                <w:b/>
                <w:sz w:val="28"/>
                <w:lang w:val="en-US" w:eastAsia="zh-CN"/>
              </w:rPr>
              <w:t>.</w:t>
            </w:r>
            <w:r>
              <w:rPr>
                <w:b/>
                <w:sz w:val="28"/>
                <w:lang w:val="en-US" w:eastAsia="zh-CN"/>
              </w:rPr>
              <w:t>0</w:t>
            </w:r>
          </w:p>
        </w:tc>
        <w:tc>
          <w:tcPr>
            <w:tcW w:w="143" w:type="dxa"/>
            <w:tcBorders>
              <w:right w:val="single" w:color="auto" w:sz="4" w:space="0"/>
            </w:tcBorders>
          </w:tcPr>
          <w:p>
            <w:pPr>
              <w:pStyle w:val="130"/>
              <w:spacing w:after="0"/>
            </w:pP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130"/>
              <w:spacing w:after="0"/>
            </w:pPr>
          </w:p>
        </w:tc>
      </w:tr>
      <w:tr>
        <w:tblPrEx>
          <w:tblCellMar>
            <w:top w:w="0" w:type="dxa"/>
            <w:left w:w="42" w:type="dxa"/>
            <w:bottom w:w="0" w:type="dxa"/>
            <w:right w:w="42" w:type="dxa"/>
          </w:tblCellMar>
        </w:tblPrEx>
        <w:tc>
          <w:tcPr>
            <w:tcW w:w="9641" w:type="dxa"/>
            <w:gridSpan w:val="9"/>
            <w:tcBorders>
              <w:top w:val="single" w:color="auto" w:sz="4" w:space="0"/>
            </w:tcBorders>
          </w:tcPr>
          <w:p>
            <w:pPr>
              <w:pStyle w:val="130"/>
              <w:spacing w:after="0"/>
              <w:jc w:val="center"/>
              <w:rPr>
                <w:rFonts w:cs="Arial"/>
                <w:i/>
              </w:rPr>
            </w:pPr>
            <w:r>
              <w:rPr>
                <w:rFonts w:cs="Arial"/>
                <w:i/>
              </w:rPr>
              <w:t xml:space="preserve">For </w:t>
            </w:r>
            <w:r>
              <w:fldChar w:fldCharType="begin"/>
            </w:r>
            <w:r>
              <w:instrText xml:space="preserve"> HYPERLINK "http://www.3gpp.org/3G_Specs/CRs.htm" \l "_blank" </w:instrText>
            </w:r>
            <w:r>
              <w:fldChar w:fldCharType="separate"/>
            </w:r>
            <w:r>
              <w:rPr>
                <w:rStyle w:val="68"/>
                <w:rFonts w:cs="Arial"/>
                <w:b/>
                <w:i/>
                <w:color w:val="FF0000"/>
              </w:rPr>
              <w:t>HELP</w:t>
            </w:r>
            <w:r>
              <w:rPr>
                <w:rStyle w:val="68"/>
                <w:rFonts w:cs="Arial"/>
                <w:b/>
                <w:i/>
                <w:color w:val="FF0000"/>
              </w:rPr>
              <w:fldChar w:fldCharType="end"/>
            </w:r>
            <w:r>
              <w:rPr>
                <w:rFonts w:cs="Arial"/>
                <w:b/>
                <w:i/>
                <w:color w:val="FF0000"/>
              </w:rPr>
              <w:t xml:space="preserve"> </w:t>
            </w:r>
            <w:r>
              <w:rPr>
                <w:rFonts w:cs="Arial"/>
                <w:i/>
              </w:rPr>
              <w:t xml:space="preserve">on using this form: comprehensive instructions can be found at </w:t>
            </w:r>
            <w:r>
              <w:rPr>
                <w:rFonts w:cs="Arial"/>
                <w:i/>
              </w:rPr>
              <w:br w:type="textWrapping"/>
            </w:r>
            <w:r>
              <w:fldChar w:fldCharType="begin"/>
            </w:r>
            <w:r>
              <w:instrText xml:space="preserve"> HYPERLINK "http://www.3gpp.org/Change-Requests" </w:instrText>
            </w:r>
            <w:r>
              <w:fldChar w:fldCharType="separate"/>
            </w:r>
            <w:r>
              <w:rPr>
                <w:rStyle w:val="68"/>
                <w:rFonts w:cs="Arial"/>
                <w:i/>
              </w:rPr>
              <w:t>http://www.3gpp.org/Change-Requests</w:t>
            </w:r>
            <w:r>
              <w:rPr>
                <w:rStyle w:val="68"/>
                <w:rFonts w:cs="Arial"/>
                <w:i/>
              </w:rPr>
              <w:fldChar w:fldCharType="end"/>
            </w:r>
            <w:r>
              <w:rPr>
                <w:rFonts w:cs="Arial"/>
                <w:i/>
              </w:rPr>
              <w:t>.</w:t>
            </w:r>
          </w:p>
        </w:tc>
      </w:tr>
      <w:tr>
        <w:tblPrEx>
          <w:tblCellMar>
            <w:top w:w="0" w:type="dxa"/>
            <w:left w:w="42" w:type="dxa"/>
            <w:bottom w:w="0" w:type="dxa"/>
            <w:right w:w="42" w:type="dxa"/>
          </w:tblCellMar>
        </w:tblPrEx>
        <w:tc>
          <w:tcPr>
            <w:tcW w:w="9641" w:type="dxa"/>
            <w:gridSpan w:val="9"/>
          </w:tcPr>
          <w:p>
            <w:pPr>
              <w:pStyle w:val="130"/>
              <w:spacing w:after="0"/>
              <w:rPr>
                <w:sz w:val="8"/>
                <w:szCs w:val="8"/>
              </w:rPr>
            </w:pPr>
          </w:p>
        </w:tc>
      </w:tr>
    </w:tbl>
    <w:p>
      <w:pPr>
        <w:rPr>
          <w:sz w:val="8"/>
          <w:szCs w:val="8"/>
        </w:rPr>
      </w:pPr>
    </w:p>
    <w:tbl>
      <w:tblPr>
        <w:tblStyle w:val="59"/>
        <w:tblW w:w="9639" w:type="dxa"/>
        <w:tblInd w:w="42" w:type="dxa"/>
        <w:tblLayout w:type="fixed"/>
        <w:tblCellMar>
          <w:top w:w="0" w:type="dxa"/>
          <w:left w:w="42" w:type="dxa"/>
          <w:bottom w:w="0" w:type="dxa"/>
          <w:right w:w="42" w:type="dxa"/>
        </w:tblCellMar>
      </w:tblPr>
      <w:tblGrid>
        <w:gridCol w:w="2835"/>
        <w:gridCol w:w="1418"/>
        <w:gridCol w:w="283"/>
        <w:gridCol w:w="709"/>
        <w:gridCol w:w="284"/>
        <w:gridCol w:w="2126"/>
        <w:gridCol w:w="283"/>
        <w:gridCol w:w="1418"/>
        <w:gridCol w:w="283"/>
      </w:tblGrid>
      <w:tr>
        <w:tblPrEx>
          <w:tblCellMar>
            <w:top w:w="0" w:type="dxa"/>
            <w:left w:w="42" w:type="dxa"/>
            <w:bottom w:w="0" w:type="dxa"/>
            <w:right w:w="42" w:type="dxa"/>
          </w:tblCellMar>
        </w:tblPrEx>
        <w:tc>
          <w:tcPr>
            <w:tcW w:w="2835" w:type="dxa"/>
          </w:tcPr>
          <w:p>
            <w:pPr>
              <w:pStyle w:val="130"/>
              <w:tabs>
                <w:tab w:val="right" w:pos="2751"/>
              </w:tabs>
              <w:spacing w:after="0"/>
              <w:rPr>
                <w:b/>
                <w:i/>
              </w:rPr>
            </w:pPr>
            <w:r>
              <w:rPr>
                <w:b/>
                <w:i/>
              </w:rPr>
              <w:t>Proposed change affects:</w:t>
            </w:r>
          </w:p>
        </w:tc>
        <w:tc>
          <w:tcPr>
            <w:tcW w:w="1418" w:type="dxa"/>
          </w:tcPr>
          <w:p>
            <w:pPr>
              <w:pStyle w:val="130"/>
              <w:spacing w:after="0"/>
              <w:jc w:val="right"/>
            </w:pPr>
            <w:r>
              <w:t>UICC apps</w:t>
            </w:r>
          </w:p>
        </w:tc>
        <w:tc>
          <w:tcPr>
            <w:tcW w:w="283" w:type="dxa"/>
            <w:tcBorders>
              <w:top w:val="single" w:color="000000" w:sz="6" w:space="0"/>
              <w:left w:val="single" w:color="000000" w:sz="6" w:space="0"/>
              <w:bottom w:val="single" w:color="000000" w:sz="6" w:space="0"/>
              <w:right w:val="single" w:color="000000" w:sz="6" w:space="0"/>
            </w:tcBorders>
            <w:shd w:val="pct25" w:color="FFFF00" w:fill="auto"/>
          </w:tcPr>
          <w:p>
            <w:pPr>
              <w:pStyle w:val="130"/>
              <w:spacing w:after="0"/>
              <w:jc w:val="center"/>
              <w:rPr>
                <w:b/>
                <w:caps/>
              </w:rPr>
            </w:pPr>
          </w:p>
        </w:tc>
        <w:tc>
          <w:tcPr>
            <w:tcW w:w="709" w:type="dxa"/>
            <w:tcBorders>
              <w:left w:val="single" w:color="auto" w:sz="4" w:space="0"/>
            </w:tcBorders>
          </w:tcPr>
          <w:p>
            <w:pPr>
              <w:pStyle w:val="130"/>
              <w:spacing w:after="0"/>
              <w:jc w:val="right"/>
              <w:rPr>
                <w:u w:val="single"/>
              </w:rPr>
            </w:pPr>
            <w:r>
              <w:t>ME</w:t>
            </w:r>
          </w:p>
        </w:tc>
        <w:tc>
          <w:tcPr>
            <w:tcW w:w="284" w:type="dxa"/>
            <w:tcBorders>
              <w:top w:val="single" w:color="auto" w:sz="6" w:space="0"/>
              <w:left w:val="single" w:color="auto" w:sz="6" w:space="0"/>
              <w:bottom w:val="single" w:color="auto" w:sz="6" w:space="0"/>
              <w:right w:val="single" w:color="auto" w:sz="6" w:space="0"/>
            </w:tcBorders>
            <w:shd w:val="pct25" w:color="FFFF00" w:fill="auto"/>
          </w:tcPr>
          <w:p>
            <w:pPr>
              <w:pStyle w:val="130"/>
              <w:spacing w:after="0"/>
              <w:jc w:val="center"/>
              <w:rPr>
                <w:b/>
                <w:caps/>
              </w:rPr>
            </w:pPr>
            <w:r>
              <w:rPr>
                <w:b/>
                <w:caps/>
              </w:rPr>
              <w:t>x</w:t>
            </w:r>
          </w:p>
        </w:tc>
        <w:tc>
          <w:tcPr>
            <w:tcW w:w="2126" w:type="dxa"/>
          </w:tcPr>
          <w:p>
            <w:pPr>
              <w:pStyle w:val="130"/>
              <w:spacing w:after="0"/>
              <w:jc w:val="right"/>
              <w:rPr>
                <w:u w:val="single"/>
              </w:rPr>
            </w:pPr>
            <w:r>
              <w:t>Radio Access Network</w:t>
            </w:r>
          </w:p>
        </w:tc>
        <w:tc>
          <w:tcPr>
            <w:tcW w:w="283" w:type="dxa"/>
            <w:tcBorders>
              <w:top w:val="single" w:color="auto" w:sz="4" w:space="0"/>
              <w:left w:val="single" w:color="auto" w:sz="4" w:space="0"/>
              <w:bottom w:val="single" w:color="auto" w:sz="4" w:space="0"/>
              <w:right w:val="single" w:color="auto" w:sz="4" w:space="0"/>
            </w:tcBorders>
            <w:shd w:val="pct25" w:color="FFFF00" w:fill="auto"/>
          </w:tcPr>
          <w:p>
            <w:pPr>
              <w:pStyle w:val="130"/>
              <w:spacing w:after="0"/>
              <w:jc w:val="center"/>
              <w:rPr>
                <w:b/>
                <w:caps/>
              </w:rPr>
            </w:pPr>
            <w:r>
              <w:rPr>
                <w:b/>
                <w:caps/>
              </w:rPr>
              <w:t>x</w:t>
            </w:r>
          </w:p>
        </w:tc>
        <w:tc>
          <w:tcPr>
            <w:tcW w:w="1418" w:type="dxa"/>
            <w:tcBorders>
              <w:left w:val="nil"/>
            </w:tcBorders>
          </w:tcPr>
          <w:p>
            <w:pPr>
              <w:pStyle w:val="130"/>
              <w:spacing w:after="0"/>
              <w:jc w:val="right"/>
            </w:pPr>
            <w:r>
              <w:t>Core Network</w:t>
            </w:r>
          </w:p>
        </w:tc>
        <w:tc>
          <w:tcPr>
            <w:tcW w:w="283" w:type="dxa"/>
            <w:tcBorders>
              <w:top w:val="single" w:color="auto" w:sz="6" w:space="0"/>
              <w:left w:val="single" w:color="auto" w:sz="6" w:space="0"/>
              <w:bottom w:val="single" w:color="auto" w:sz="6" w:space="0"/>
              <w:right w:val="single" w:color="auto" w:sz="6" w:space="0"/>
            </w:tcBorders>
            <w:shd w:val="pct25" w:color="FFFF00" w:fill="auto"/>
          </w:tcPr>
          <w:p>
            <w:pPr>
              <w:pStyle w:val="130"/>
              <w:spacing w:after="0"/>
              <w:jc w:val="center"/>
              <w:rPr>
                <w:b/>
                <w:bCs/>
                <w:caps/>
              </w:rPr>
            </w:pPr>
          </w:p>
        </w:tc>
      </w:tr>
    </w:tbl>
    <w:p>
      <w:pPr>
        <w:rPr>
          <w:sz w:val="8"/>
          <w:szCs w:val="8"/>
        </w:rPr>
      </w:pPr>
    </w:p>
    <w:tbl>
      <w:tblPr>
        <w:tblStyle w:val="59"/>
        <w:tblW w:w="9640" w:type="dxa"/>
        <w:tblInd w:w="42" w:type="dxa"/>
        <w:tblLayout w:type="fixed"/>
        <w:tblCellMar>
          <w:top w:w="0" w:type="dxa"/>
          <w:left w:w="42" w:type="dxa"/>
          <w:bottom w:w="0" w:type="dxa"/>
          <w:right w:w="42" w:type="dxa"/>
        </w:tblCellMar>
      </w:tblPr>
      <w:tblGrid>
        <w:gridCol w:w="1843"/>
        <w:gridCol w:w="851"/>
        <w:gridCol w:w="284"/>
        <w:gridCol w:w="284"/>
        <w:gridCol w:w="567"/>
        <w:gridCol w:w="1700"/>
        <w:gridCol w:w="567"/>
        <w:gridCol w:w="143"/>
        <w:gridCol w:w="281"/>
        <w:gridCol w:w="993"/>
        <w:gridCol w:w="2127"/>
      </w:tblGrid>
      <w:tr>
        <w:tblPrEx>
          <w:tblCellMar>
            <w:top w:w="0" w:type="dxa"/>
            <w:left w:w="42" w:type="dxa"/>
            <w:bottom w:w="0" w:type="dxa"/>
            <w:right w:w="42" w:type="dxa"/>
          </w:tblCellMar>
        </w:tblPrEx>
        <w:tc>
          <w:tcPr>
            <w:tcW w:w="9640" w:type="dxa"/>
            <w:gridSpan w:val="11"/>
          </w:tcPr>
          <w:p>
            <w:pPr>
              <w:pStyle w:val="130"/>
              <w:spacing w:after="0"/>
              <w:rPr>
                <w:sz w:val="8"/>
                <w:szCs w:val="8"/>
              </w:rPr>
            </w:pPr>
          </w:p>
        </w:tc>
      </w:tr>
      <w:tr>
        <w:tblPrEx>
          <w:tblCellMar>
            <w:top w:w="0" w:type="dxa"/>
            <w:left w:w="42" w:type="dxa"/>
            <w:bottom w:w="0" w:type="dxa"/>
            <w:right w:w="42" w:type="dxa"/>
          </w:tblCellMar>
        </w:tblPrEx>
        <w:tc>
          <w:tcPr>
            <w:tcW w:w="1843" w:type="dxa"/>
            <w:tcBorders>
              <w:top w:val="single" w:color="auto" w:sz="4" w:space="0"/>
              <w:left w:val="single" w:color="auto" w:sz="4" w:space="0"/>
            </w:tcBorders>
          </w:tcPr>
          <w:p>
            <w:pPr>
              <w:pStyle w:val="130"/>
              <w:tabs>
                <w:tab w:val="right" w:pos="1759"/>
              </w:tabs>
              <w:spacing w:after="0"/>
              <w:rPr>
                <w:b/>
                <w:i/>
              </w:rPr>
            </w:pPr>
            <w:r>
              <w:rPr>
                <w:b/>
                <w:i/>
              </w:rPr>
              <w:t>Title:</w:t>
            </w:r>
            <w:r>
              <w:rPr>
                <w:b/>
                <w:i/>
              </w:rPr>
              <w:tab/>
            </w:r>
          </w:p>
        </w:tc>
        <w:tc>
          <w:tcPr>
            <w:tcW w:w="7797" w:type="dxa"/>
            <w:gridSpan w:val="10"/>
            <w:tcBorders>
              <w:top w:val="single" w:color="auto" w:sz="4" w:space="0"/>
              <w:right w:val="single" w:color="auto" w:sz="4" w:space="0"/>
            </w:tcBorders>
            <w:shd w:val="pct30" w:color="FFFF00" w:fill="auto"/>
          </w:tcPr>
          <w:p>
            <w:pPr>
              <w:pStyle w:val="130"/>
              <w:spacing w:after="0"/>
              <w:rPr>
                <w:rFonts w:eastAsia="宋体"/>
                <w:lang w:eastAsia="zh-CN"/>
              </w:rPr>
            </w:pPr>
            <w:r>
              <w:rPr>
                <w:rFonts w:eastAsia="宋体"/>
                <w:lang w:eastAsia="zh-CN"/>
              </w:rPr>
              <w:t>R</w:t>
            </w:r>
            <w:r>
              <w:rPr>
                <w:rFonts w:hint="eastAsia" w:eastAsia="宋体"/>
                <w:lang w:eastAsia="zh-CN"/>
              </w:rPr>
              <w:t>unning CR to</w:t>
            </w:r>
            <w:r>
              <w:rPr>
                <w:rFonts w:eastAsia="宋体"/>
                <w:lang w:eastAsia="zh-CN"/>
              </w:rPr>
              <w:t xml:space="preserve"> 38.300 </w:t>
            </w:r>
            <w:r>
              <w:rPr>
                <w:rFonts w:hint="eastAsia" w:eastAsia="宋体"/>
                <w:lang w:eastAsia="zh-CN"/>
              </w:rPr>
              <w:t xml:space="preserve">for </w:t>
            </w:r>
            <w:r>
              <w:rPr>
                <w:rFonts w:eastAsia="宋体"/>
                <w:lang w:eastAsia="zh-CN"/>
              </w:rPr>
              <w:t>eIAB</w:t>
            </w:r>
          </w:p>
        </w:tc>
      </w:tr>
      <w:tr>
        <w:tblPrEx>
          <w:tblCellMar>
            <w:top w:w="0" w:type="dxa"/>
            <w:left w:w="42" w:type="dxa"/>
            <w:bottom w:w="0" w:type="dxa"/>
            <w:right w:w="42" w:type="dxa"/>
          </w:tblCellMar>
        </w:tblPrEx>
        <w:tc>
          <w:tcPr>
            <w:tcW w:w="1843" w:type="dxa"/>
            <w:tcBorders>
              <w:left w:val="single" w:color="auto" w:sz="4" w:space="0"/>
            </w:tcBorders>
          </w:tcPr>
          <w:p>
            <w:pPr>
              <w:pStyle w:val="130"/>
              <w:spacing w:after="0"/>
              <w:rPr>
                <w:b/>
                <w:i/>
                <w:sz w:val="8"/>
                <w:szCs w:val="8"/>
              </w:rPr>
            </w:pPr>
          </w:p>
        </w:tc>
        <w:tc>
          <w:tcPr>
            <w:tcW w:w="7797" w:type="dxa"/>
            <w:gridSpan w:val="10"/>
            <w:tcBorders>
              <w:right w:val="single" w:color="auto" w:sz="4" w:space="0"/>
            </w:tcBorders>
          </w:tcPr>
          <w:p>
            <w:pPr>
              <w:pStyle w:val="130"/>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130"/>
              <w:tabs>
                <w:tab w:val="right" w:pos="1759"/>
              </w:tabs>
              <w:spacing w:after="0"/>
              <w:rPr>
                <w:b/>
                <w:i/>
              </w:rPr>
            </w:pPr>
            <w:r>
              <w:rPr>
                <w:b/>
                <w:i/>
              </w:rPr>
              <w:t>Source to WG:</w:t>
            </w:r>
          </w:p>
        </w:tc>
        <w:tc>
          <w:tcPr>
            <w:tcW w:w="7797" w:type="dxa"/>
            <w:gridSpan w:val="10"/>
            <w:tcBorders>
              <w:right w:val="single" w:color="auto" w:sz="4" w:space="0"/>
            </w:tcBorders>
            <w:shd w:val="pct30" w:color="FFFF00" w:fill="auto"/>
          </w:tcPr>
          <w:p>
            <w:pPr>
              <w:pStyle w:val="130"/>
              <w:spacing w:after="0"/>
              <w:rPr>
                <w:lang w:eastAsia="zh-CN"/>
              </w:rPr>
            </w:pPr>
            <w:r>
              <w:rPr>
                <w:rFonts w:eastAsia="宋体"/>
                <w:lang w:val="en-US" w:eastAsia="zh-CN"/>
              </w:rPr>
              <w:t>Qualcomm</w:t>
            </w:r>
          </w:p>
        </w:tc>
      </w:tr>
      <w:tr>
        <w:tblPrEx>
          <w:tblCellMar>
            <w:top w:w="0" w:type="dxa"/>
            <w:left w:w="42" w:type="dxa"/>
            <w:bottom w:w="0" w:type="dxa"/>
            <w:right w:w="42" w:type="dxa"/>
          </w:tblCellMar>
        </w:tblPrEx>
        <w:tc>
          <w:tcPr>
            <w:tcW w:w="1843" w:type="dxa"/>
            <w:tcBorders>
              <w:left w:val="single" w:color="auto" w:sz="4" w:space="0"/>
            </w:tcBorders>
          </w:tcPr>
          <w:p>
            <w:pPr>
              <w:pStyle w:val="130"/>
              <w:tabs>
                <w:tab w:val="right" w:pos="1759"/>
              </w:tabs>
              <w:spacing w:after="0"/>
              <w:rPr>
                <w:b/>
                <w:i/>
              </w:rPr>
            </w:pPr>
            <w:r>
              <w:rPr>
                <w:b/>
                <w:i/>
              </w:rPr>
              <w:t>Source to TSG:</w:t>
            </w:r>
          </w:p>
        </w:tc>
        <w:tc>
          <w:tcPr>
            <w:tcW w:w="7797" w:type="dxa"/>
            <w:gridSpan w:val="10"/>
            <w:tcBorders>
              <w:right w:val="single" w:color="auto" w:sz="4" w:space="0"/>
            </w:tcBorders>
            <w:shd w:val="pct30" w:color="FFFF00" w:fill="auto"/>
          </w:tcPr>
          <w:p>
            <w:pPr>
              <w:pStyle w:val="130"/>
              <w:spacing w:after="0"/>
            </w:pPr>
            <w:r>
              <w:t>R2</w:t>
            </w:r>
          </w:p>
        </w:tc>
      </w:tr>
      <w:tr>
        <w:tblPrEx>
          <w:tblCellMar>
            <w:top w:w="0" w:type="dxa"/>
            <w:left w:w="42" w:type="dxa"/>
            <w:bottom w:w="0" w:type="dxa"/>
            <w:right w:w="42" w:type="dxa"/>
          </w:tblCellMar>
        </w:tblPrEx>
        <w:trPr>
          <w:trHeight w:val="130" w:hRule="atLeast"/>
        </w:trPr>
        <w:tc>
          <w:tcPr>
            <w:tcW w:w="1843" w:type="dxa"/>
            <w:tcBorders>
              <w:left w:val="single" w:color="auto" w:sz="4" w:space="0"/>
            </w:tcBorders>
          </w:tcPr>
          <w:p>
            <w:pPr>
              <w:pStyle w:val="130"/>
              <w:spacing w:after="0"/>
              <w:rPr>
                <w:b/>
                <w:i/>
                <w:sz w:val="8"/>
                <w:szCs w:val="8"/>
              </w:rPr>
            </w:pPr>
          </w:p>
        </w:tc>
        <w:tc>
          <w:tcPr>
            <w:tcW w:w="7797" w:type="dxa"/>
            <w:gridSpan w:val="10"/>
            <w:tcBorders>
              <w:right w:val="single" w:color="auto" w:sz="4" w:space="0"/>
            </w:tcBorders>
          </w:tcPr>
          <w:p>
            <w:pPr>
              <w:pStyle w:val="130"/>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130"/>
              <w:tabs>
                <w:tab w:val="right" w:pos="1759"/>
              </w:tabs>
              <w:spacing w:after="0"/>
              <w:rPr>
                <w:b/>
                <w:i/>
              </w:rPr>
            </w:pPr>
            <w:r>
              <w:rPr>
                <w:b/>
                <w:i/>
              </w:rPr>
              <w:t>Work item code:</w:t>
            </w:r>
          </w:p>
        </w:tc>
        <w:tc>
          <w:tcPr>
            <w:tcW w:w="3686" w:type="dxa"/>
            <w:gridSpan w:val="5"/>
            <w:shd w:val="pct30" w:color="FFFF00" w:fill="auto"/>
          </w:tcPr>
          <w:p>
            <w:pPr>
              <w:pStyle w:val="130"/>
              <w:spacing w:after="0"/>
            </w:pPr>
            <w:r>
              <w:t>NR_IAB_enh-Core</w:t>
            </w:r>
          </w:p>
        </w:tc>
        <w:tc>
          <w:tcPr>
            <w:tcW w:w="567" w:type="dxa"/>
            <w:tcBorders>
              <w:left w:val="nil"/>
            </w:tcBorders>
          </w:tcPr>
          <w:p>
            <w:pPr>
              <w:pStyle w:val="130"/>
              <w:spacing w:after="0"/>
              <w:ind w:right="100"/>
            </w:pPr>
          </w:p>
        </w:tc>
        <w:tc>
          <w:tcPr>
            <w:tcW w:w="1417" w:type="dxa"/>
            <w:gridSpan w:val="3"/>
            <w:tcBorders>
              <w:left w:val="nil"/>
            </w:tcBorders>
          </w:tcPr>
          <w:p>
            <w:pPr>
              <w:pStyle w:val="130"/>
              <w:spacing w:after="0"/>
              <w:jc w:val="right"/>
            </w:pPr>
            <w:r>
              <w:rPr>
                <w:b/>
                <w:i/>
              </w:rPr>
              <w:t>Date:</w:t>
            </w:r>
          </w:p>
        </w:tc>
        <w:tc>
          <w:tcPr>
            <w:tcW w:w="2127" w:type="dxa"/>
            <w:tcBorders>
              <w:right w:val="single" w:color="auto" w:sz="4" w:space="0"/>
            </w:tcBorders>
            <w:shd w:val="pct30" w:color="FFFF00" w:fill="auto"/>
          </w:tcPr>
          <w:p>
            <w:pPr>
              <w:pStyle w:val="130"/>
              <w:spacing w:after="0"/>
              <w:ind w:left="100"/>
              <w:rPr>
                <w:rFonts w:eastAsia="宋体"/>
                <w:lang w:eastAsia="zh-CN"/>
              </w:rPr>
            </w:pPr>
            <w:r>
              <w:t>20</w:t>
            </w:r>
            <w:r>
              <w:rPr>
                <w:rFonts w:hint="eastAsia"/>
                <w:lang w:eastAsia="zh-CN"/>
              </w:rPr>
              <w:t>2</w:t>
            </w:r>
            <w:r>
              <w:rPr>
                <w:rFonts w:hint="eastAsia" w:eastAsiaTheme="minorEastAsia"/>
                <w:lang w:eastAsia="zh-CN"/>
              </w:rPr>
              <w:t>1</w:t>
            </w:r>
            <w:r>
              <w:rPr>
                <w:rFonts w:hint="eastAsia"/>
                <w:lang w:eastAsia="zh-CN"/>
              </w:rPr>
              <w:t>-</w:t>
            </w:r>
            <w:r>
              <w:rPr>
                <w:rFonts w:eastAsiaTheme="minorEastAsia"/>
                <w:lang w:eastAsia="zh-CN"/>
              </w:rPr>
              <w:t>09</w:t>
            </w:r>
            <w:r>
              <w:rPr>
                <w:rFonts w:hint="eastAsia"/>
                <w:lang w:eastAsia="zh-CN"/>
              </w:rPr>
              <w:t>-</w:t>
            </w:r>
            <w:r>
              <w:rPr>
                <w:rFonts w:eastAsia="宋体"/>
                <w:lang w:eastAsia="zh-CN"/>
              </w:rPr>
              <w:t>06</w:t>
            </w:r>
          </w:p>
        </w:tc>
      </w:tr>
      <w:tr>
        <w:tblPrEx>
          <w:tblCellMar>
            <w:top w:w="0" w:type="dxa"/>
            <w:left w:w="42" w:type="dxa"/>
            <w:bottom w:w="0" w:type="dxa"/>
            <w:right w:w="42" w:type="dxa"/>
          </w:tblCellMar>
        </w:tblPrEx>
        <w:tc>
          <w:tcPr>
            <w:tcW w:w="1843" w:type="dxa"/>
            <w:tcBorders>
              <w:left w:val="single" w:color="auto" w:sz="4" w:space="0"/>
            </w:tcBorders>
          </w:tcPr>
          <w:p>
            <w:pPr>
              <w:pStyle w:val="130"/>
              <w:spacing w:after="0"/>
              <w:rPr>
                <w:b/>
                <w:i/>
                <w:sz w:val="8"/>
                <w:szCs w:val="8"/>
              </w:rPr>
            </w:pPr>
          </w:p>
        </w:tc>
        <w:tc>
          <w:tcPr>
            <w:tcW w:w="1986" w:type="dxa"/>
            <w:gridSpan w:val="4"/>
          </w:tcPr>
          <w:p>
            <w:pPr>
              <w:pStyle w:val="130"/>
              <w:spacing w:after="0"/>
              <w:rPr>
                <w:sz w:val="8"/>
                <w:szCs w:val="8"/>
              </w:rPr>
            </w:pPr>
          </w:p>
        </w:tc>
        <w:tc>
          <w:tcPr>
            <w:tcW w:w="2267" w:type="dxa"/>
            <w:gridSpan w:val="2"/>
          </w:tcPr>
          <w:p>
            <w:pPr>
              <w:pStyle w:val="130"/>
              <w:spacing w:after="0"/>
              <w:rPr>
                <w:sz w:val="8"/>
                <w:szCs w:val="8"/>
              </w:rPr>
            </w:pPr>
          </w:p>
        </w:tc>
        <w:tc>
          <w:tcPr>
            <w:tcW w:w="1417" w:type="dxa"/>
            <w:gridSpan w:val="3"/>
          </w:tcPr>
          <w:p>
            <w:pPr>
              <w:pStyle w:val="130"/>
              <w:spacing w:after="0"/>
              <w:rPr>
                <w:sz w:val="8"/>
                <w:szCs w:val="8"/>
              </w:rPr>
            </w:pPr>
          </w:p>
        </w:tc>
        <w:tc>
          <w:tcPr>
            <w:tcW w:w="2127" w:type="dxa"/>
            <w:tcBorders>
              <w:right w:val="single" w:color="auto" w:sz="4" w:space="0"/>
            </w:tcBorders>
          </w:tcPr>
          <w:p>
            <w:pPr>
              <w:pStyle w:val="130"/>
              <w:spacing w:after="0"/>
              <w:rPr>
                <w:sz w:val="8"/>
                <w:szCs w:val="8"/>
              </w:rPr>
            </w:pPr>
          </w:p>
        </w:tc>
      </w:tr>
      <w:tr>
        <w:tblPrEx>
          <w:tblCellMar>
            <w:top w:w="0" w:type="dxa"/>
            <w:left w:w="42" w:type="dxa"/>
            <w:bottom w:w="0" w:type="dxa"/>
            <w:right w:w="42" w:type="dxa"/>
          </w:tblCellMar>
        </w:tblPrEx>
        <w:trPr>
          <w:cantSplit/>
        </w:trPr>
        <w:tc>
          <w:tcPr>
            <w:tcW w:w="1843" w:type="dxa"/>
            <w:tcBorders>
              <w:left w:val="single" w:color="auto" w:sz="4" w:space="0"/>
            </w:tcBorders>
          </w:tcPr>
          <w:p>
            <w:pPr>
              <w:pStyle w:val="130"/>
              <w:tabs>
                <w:tab w:val="right" w:pos="1759"/>
              </w:tabs>
              <w:spacing w:after="0"/>
              <w:rPr>
                <w:b/>
                <w:i/>
              </w:rPr>
            </w:pPr>
            <w:r>
              <w:rPr>
                <w:b/>
                <w:i/>
              </w:rPr>
              <w:t>Category:</w:t>
            </w:r>
          </w:p>
        </w:tc>
        <w:tc>
          <w:tcPr>
            <w:tcW w:w="851" w:type="dxa"/>
            <w:shd w:val="pct30" w:color="FFFF00" w:fill="auto"/>
          </w:tcPr>
          <w:p>
            <w:pPr>
              <w:pStyle w:val="130"/>
              <w:spacing w:after="0"/>
              <w:ind w:left="100" w:right="-609"/>
              <w:rPr>
                <w:rFonts w:eastAsia="宋体"/>
                <w:bCs/>
                <w:iCs/>
                <w:lang w:eastAsia="zh-CN"/>
              </w:rPr>
            </w:pPr>
            <w:r>
              <w:rPr>
                <w:rFonts w:hint="eastAsia" w:eastAsia="宋体"/>
                <w:b/>
                <w:iCs/>
                <w:sz w:val="18"/>
                <w:lang w:eastAsia="zh-CN"/>
              </w:rPr>
              <w:t>B</w:t>
            </w:r>
          </w:p>
        </w:tc>
        <w:tc>
          <w:tcPr>
            <w:tcW w:w="3402" w:type="dxa"/>
            <w:gridSpan w:val="5"/>
            <w:tcBorders>
              <w:left w:val="nil"/>
            </w:tcBorders>
          </w:tcPr>
          <w:p>
            <w:pPr>
              <w:pStyle w:val="130"/>
              <w:spacing w:after="0"/>
            </w:pPr>
          </w:p>
        </w:tc>
        <w:tc>
          <w:tcPr>
            <w:tcW w:w="1417" w:type="dxa"/>
            <w:gridSpan w:val="3"/>
            <w:tcBorders>
              <w:left w:val="nil"/>
            </w:tcBorders>
          </w:tcPr>
          <w:p>
            <w:pPr>
              <w:pStyle w:val="130"/>
              <w:spacing w:after="0"/>
              <w:jc w:val="right"/>
              <w:rPr>
                <w:b/>
                <w:i/>
              </w:rPr>
            </w:pPr>
            <w:r>
              <w:rPr>
                <w:b/>
                <w:i/>
              </w:rPr>
              <w:t>Release:</w:t>
            </w:r>
          </w:p>
        </w:tc>
        <w:tc>
          <w:tcPr>
            <w:tcW w:w="2127" w:type="dxa"/>
            <w:tcBorders>
              <w:right w:val="single" w:color="auto" w:sz="4" w:space="0"/>
            </w:tcBorders>
            <w:shd w:val="pct30" w:color="FFFF00" w:fill="auto"/>
          </w:tcPr>
          <w:p>
            <w:pPr>
              <w:pStyle w:val="130"/>
              <w:spacing w:after="0"/>
              <w:ind w:left="100"/>
              <w:rPr>
                <w:rFonts w:eastAsia="宋体"/>
                <w:lang w:eastAsia="zh-CN"/>
              </w:rPr>
            </w:pPr>
            <w:r>
              <w:t>Rel-1</w:t>
            </w:r>
            <w:r>
              <w:rPr>
                <w:rFonts w:hint="eastAsia" w:eastAsia="宋体"/>
                <w:lang w:eastAsia="zh-CN"/>
              </w:rPr>
              <w:t>7</w:t>
            </w:r>
          </w:p>
        </w:tc>
      </w:tr>
      <w:tr>
        <w:tblPrEx>
          <w:tblCellMar>
            <w:top w:w="0" w:type="dxa"/>
            <w:left w:w="42" w:type="dxa"/>
            <w:bottom w:w="0" w:type="dxa"/>
            <w:right w:w="42" w:type="dxa"/>
          </w:tblCellMar>
        </w:tblPrEx>
        <w:tc>
          <w:tcPr>
            <w:tcW w:w="1843" w:type="dxa"/>
            <w:tcBorders>
              <w:left w:val="single" w:color="auto" w:sz="4" w:space="0"/>
              <w:bottom w:val="single" w:color="auto" w:sz="4" w:space="0"/>
            </w:tcBorders>
          </w:tcPr>
          <w:p>
            <w:pPr>
              <w:pStyle w:val="130"/>
              <w:spacing w:after="0"/>
              <w:rPr>
                <w:b/>
                <w:i/>
              </w:rPr>
            </w:pPr>
          </w:p>
        </w:tc>
        <w:tc>
          <w:tcPr>
            <w:tcW w:w="4677" w:type="dxa"/>
            <w:gridSpan w:val="8"/>
            <w:tcBorders>
              <w:bottom w:val="single" w:color="auto" w:sz="4" w:space="0"/>
            </w:tcBorders>
          </w:tcPr>
          <w:p>
            <w:pPr>
              <w:pStyle w:val="130"/>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ype="textWrapping"/>
            </w:r>
            <w:r>
              <w:rPr>
                <w:b/>
                <w:i/>
                <w:sz w:val="18"/>
              </w:rPr>
              <w:t>F</w:t>
            </w:r>
            <w:r>
              <w:rPr>
                <w:i/>
                <w:sz w:val="18"/>
              </w:rPr>
              <w:t xml:space="preserve">  (correction)</w:t>
            </w:r>
            <w:r>
              <w:rPr>
                <w:i/>
                <w:sz w:val="18"/>
              </w:rPr>
              <w:br w:type="textWrapping"/>
            </w:r>
            <w:r>
              <w:rPr>
                <w:b/>
                <w:i/>
                <w:sz w:val="18"/>
              </w:rPr>
              <w:t>A</w:t>
            </w:r>
            <w:r>
              <w:rPr>
                <w:i/>
                <w:sz w:val="18"/>
              </w:rPr>
              <w:t xml:space="preserve">  (mirror corresponding to a change in an earlier release)</w:t>
            </w:r>
            <w:r>
              <w:rPr>
                <w:i/>
                <w:sz w:val="18"/>
              </w:rPr>
              <w:br w:type="textWrapping"/>
            </w:r>
            <w:r>
              <w:rPr>
                <w:b/>
                <w:i/>
                <w:sz w:val="18"/>
              </w:rPr>
              <w:t>B</w:t>
            </w:r>
            <w:r>
              <w:rPr>
                <w:i/>
                <w:sz w:val="18"/>
              </w:rPr>
              <w:t xml:space="preserve">  (addition of feature), </w:t>
            </w:r>
            <w:r>
              <w:rPr>
                <w:i/>
                <w:sz w:val="18"/>
              </w:rPr>
              <w:br w:type="textWrapping"/>
            </w:r>
            <w:r>
              <w:rPr>
                <w:b/>
                <w:i/>
                <w:sz w:val="18"/>
              </w:rPr>
              <w:t>C</w:t>
            </w:r>
            <w:r>
              <w:rPr>
                <w:i/>
                <w:sz w:val="18"/>
              </w:rPr>
              <w:t xml:space="preserve">  (functional modification of feature)</w:t>
            </w:r>
            <w:r>
              <w:rPr>
                <w:i/>
                <w:sz w:val="18"/>
              </w:rPr>
              <w:br w:type="textWrapping"/>
            </w:r>
            <w:r>
              <w:rPr>
                <w:b/>
                <w:i/>
                <w:sz w:val="18"/>
              </w:rPr>
              <w:t>D</w:t>
            </w:r>
            <w:r>
              <w:rPr>
                <w:i/>
                <w:sz w:val="18"/>
              </w:rPr>
              <w:t xml:space="preserve">  (editorial modification)</w:t>
            </w:r>
          </w:p>
          <w:p>
            <w:pPr>
              <w:pStyle w:val="130"/>
            </w:pPr>
            <w:r>
              <w:rPr>
                <w:sz w:val="18"/>
              </w:rPr>
              <w:t>Detailed explanations of the above categories can</w:t>
            </w:r>
            <w:r>
              <w:rPr>
                <w:sz w:val="18"/>
              </w:rPr>
              <w:br w:type="textWrapping"/>
            </w:r>
            <w:r>
              <w:rPr>
                <w:sz w:val="18"/>
              </w:rPr>
              <w:t xml:space="preserve">be found in 3GPP </w:t>
            </w:r>
            <w:r>
              <w:fldChar w:fldCharType="begin"/>
            </w:r>
            <w:r>
              <w:instrText xml:space="preserve"> HYPERLINK "http://www.3gpp.org/ftp/Specs/html-info/21900.htm" </w:instrText>
            </w:r>
            <w:r>
              <w:fldChar w:fldCharType="separate"/>
            </w:r>
            <w:r>
              <w:rPr>
                <w:rStyle w:val="68"/>
                <w:sz w:val="18"/>
              </w:rPr>
              <w:t>TR 21.900</w:t>
            </w:r>
            <w:r>
              <w:rPr>
                <w:rStyle w:val="68"/>
                <w:sz w:val="18"/>
              </w:rPr>
              <w:fldChar w:fldCharType="end"/>
            </w:r>
            <w:r>
              <w:rPr>
                <w:sz w:val="18"/>
              </w:rPr>
              <w:t>.</w:t>
            </w:r>
          </w:p>
        </w:tc>
        <w:tc>
          <w:tcPr>
            <w:tcW w:w="3120" w:type="dxa"/>
            <w:gridSpan w:val="2"/>
            <w:tcBorders>
              <w:bottom w:val="single" w:color="auto" w:sz="4" w:space="0"/>
              <w:right w:val="single" w:color="auto" w:sz="4" w:space="0"/>
            </w:tcBorders>
          </w:tcPr>
          <w:p>
            <w:pPr>
              <w:pStyle w:val="130"/>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ype="textWrapping"/>
            </w:r>
            <w:r>
              <w:rPr>
                <w:i/>
                <w:sz w:val="18"/>
              </w:rPr>
              <w:t>Rel-8</w:t>
            </w:r>
            <w:r>
              <w:rPr>
                <w:i/>
                <w:sz w:val="18"/>
              </w:rPr>
              <w:tab/>
            </w:r>
            <w:r>
              <w:rPr>
                <w:i/>
                <w:sz w:val="18"/>
              </w:rPr>
              <w:t>(Release 8)</w:t>
            </w:r>
            <w:r>
              <w:rPr>
                <w:i/>
                <w:sz w:val="18"/>
              </w:rPr>
              <w:br w:type="textWrapping"/>
            </w:r>
            <w:r>
              <w:rPr>
                <w:i/>
                <w:sz w:val="18"/>
              </w:rPr>
              <w:t>Rel-9</w:t>
            </w:r>
            <w:r>
              <w:rPr>
                <w:i/>
                <w:sz w:val="18"/>
              </w:rPr>
              <w:tab/>
            </w:r>
            <w:r>
              <w:rPr>
                <w:i/>
                <w:sz w:val="18"/>
              </w:rPr>
              <w:t>(Release 9)</w:t>
            </w:r>
            <w:r>
              <w:rPr>
                <w:i/>
                <w:sz w:val="18"/>
              </w:rPr>
              <w:br w:type="textWrapping"/>
            </w:r>
            <w:r>
              <w:rPr>
                <w:i/>
                <w:sz w:val="18"/>
              </w:rPr>
              <w:t>Rel-10</w:t>
            </w:r>
            <w:r>
              <w:rPr>
                <w:i/>
                <w:sz w:val="18"/>
              </w:rPr>
              <w:tab/>
            </w:r>
            <w:r>
              <w:rPr>
                <w:i/>
                <w:sz w:val="18"/>
              </w:rPr>
              <w:t>(Release 10)</w:t>
            </w:r>
            <w:r>
              <w:rPr>
                <w:i/>
                <w:sz w:val="18"/>
              </w:rPr>
              <w:br w:type="textWrapping"/>
            </w:r>
            <w:r>
              <w:rPr>
                <w:i/>
                <w:sz w:val="18"/>
              </w:rPr>
              <w:t>Rel-11</w:t>
            </w:r>
            <w:r>
              <w:rPr>
                <w:i/>
                <w:sz w:val="18"/>
              </w:rPr>
              <w:tab/>
            </w:r>
            <w:r>
              <w:rPr>
                <w:i/>
                <w:sz w:val="18"/>
              </w:rPr>
              <w:t>(Release 11)</w:t>
            </w:r>
            <w:r>
              <w:rPr>
                <w:i/>
                <w:sz w:val="18"/>
              </w:rPr>
              <w:br w:type="textWrapping"/>
            </w:r>
            <w:r>
              <w:rPr>
                <w:i/>
                <w:sz w:val="18"/>
              </w:rPr>
              <w:t>…</w:t>
            </w:r>
            <w:r>
              <w:rPr>
                <w:i/>
                <w:sz w:val="18"/>
              </w:rPr>
              <w:br w:type="textWrapping"/>
            </w:r>
            <w:r>
              <w:rPr>
                <w:i/>
                <w:sz w:val="18"/>
              </w:rPr>
              <w:t>Rel-15</w:t>
            </w:r>
            <w:r>
              <w:rPr>
                <w:i/>
                <w:sz w:val="18"/>
              </w:rPr>
              <w:tab/>
            </w:r>
            <w:r>
              <w:rPr>
                <w:i/>
                <w:sz w:val="18"/>
              </w:rPr>
              <w:t>(Release 15)</w:t>
            </w:r>
            <w:r>
              <w:rPr>
                <w:i/>
                <w:sz w:val="18"/>
              </w:rPr>
              <w:br w:type="textWrapping"/>
            </w:r>
            <w:r>
              <w:rPr>
                <w:i/>
                <w:sz w:val="18"/>
              </w:rPr>
              <w:t>Rel-16</w:t>
            </w:r>
            <w:r>
              <w:rPr>
                <w:i/>
                <w:sz w:val="18"/>
              </w:rPr>
              <w:tab/>
            </w:r>
            <w:r>
              <w:rPr>
                <w:i/>
                <w:sz w:val="18"/>
              </w:rPr>
              <w:t>(Release 16)</w:t>
            </w:r>
            <w:r>
              <w:rPr>
                <w:i/>
                <w:sz w:val="18"/>
              </w:rPr>
              <w:br w:type="textWrapping"/>
            </w:r>
            <w:r>
              <w:rPr>
                <w:i/>
                <w:sz w:val="18"/>
              </w:rPr>
              <w:t>Rel-17</w:t>
            </w:r>
            <w:r>
              <w:rPr>
                <w:i/>
                <w:sz w:val="18"/>
              </w:rPr>
              <w:tab/>
            </w:r>
            <w:r>
              <w:rPr>
                <w:i/>
                <w:sz w:val="18"/>
              </w:rPr>
              <w:t>(Release 17)</w:t>
            </w:r>
            <w:r>
              <w:rPr>
                <w:i/>
                <w:sz w:val="18"/>
              </w:rPr>
              <w:br w:type="textWrapping"/>
            </w:r>
            <w:r>
              <w:rPr>
                <w:i/>
                <w:sz w:val="18"/>
              </w:rPr>
              <w:t>Rel-18</w:t>
            </w:r>
            <w:r>
              <w:rPr>
                <w:i/>
                <w:sz w:val="18"/>
              </w:rPr>
              <w:tab/>
            </w:r>
            <w:r>
              <w:rPr>
                <w:i/>
                <w:sz w:val="18"/>
              </w:rPr>
              <w:t>(Release 18)</w:t>
            </w:r>
          </w:p>
        </w:tc>
      </w:tr>
      <w:tr>
        <w:tblPrEx>
          <w:tblCellMar>
            <w:top w:w="0" w:type="dxa"/>
            <w:left w:w="42" w:type="dxa"/>
            <w:bottom w:w="0" w:type="dxa"/>
            <w:right w:w="42" w:type="dxa"/>
          </w:tblCellMar>
        </w:tblPrEx>
        <w:tc>
          <w:tcPr>
            <w:tcW w:w="1843" w:type="dxa"/>
          </w:tcPr>
          <w:p>
            <w:pPr>
              <w:pStyle w:val="130"/>
              <w:spacing w:after="0"/>
              <w:rPr>
                <w:b/>
                <w:i/>
                <w:sz w:val="8"/>
                <w:szCs w:val="8"/>
              </w:rPr>
            </w:pPr>
          </w:p>
        </w:tc>
        <w:tc>
          <w:tcPr>
            <w:tcW w:w="7797" w:type="dxa"/>
            <w:gridSpan w:val="10"/>
          </w:tcPr>
          <w:p>
            <w:pPr>
              <w:pStyle w:val="130"/>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130"/>
              <w:tabs>
                <w:tab w:val="right" w:pos="2184"/>
              </w:tabs>
              <w:spacing w:after="0"/>
              <w:rPr>
                <w:b/>
                <w:i/>
              </w:rPr>
            </w:pPr>
            <w:r>
              <w:rPr>
                <w:b/>
                <w:i/>
              </w:rPr>
              <w:t>Reason for change:</w:t>
            </w:r>
          </w:p>
        </w:tc>
        <w:tc>
          <w:tcPr>
            <w:tcW w:w="6946" w:type="dxa"/>
            <w:gridSpan w:val="9"/>
            <w:tcBorders>
              <w:top w:val="single" w:color="auto" w:sz="4" w:space="0"/>
              <w:right w:val="single" w:color="auto" w:sz="4" w:space="0"/>
            </w:tcBorders>
            <w:shd w:val="pct30" w:color="FFFF00" w:fill="auto"/>
          </w:tcPr>
          <w:p>
            <w:pPr>
              <w:pStyle w:val="3"/>
              <w:rPr>
                <w:b/>
                <w:bCs/>
                <w:sz w:val="24"/>
                <w:szCs w:val="24"/>
              </w:rPr>
            </w:pPr>
            <w:r>
              <w:rPr>
                <w:b/>
                <w:bCs/>
                <w:sz w:val="24"/>
                <w:szCs w:val="24"/>
              </w:rPr>
              <w:t>RLF Indication</w:t>
            </w:r>
          </w:p>
          <w:p>
            <w:pPr>
              <w:pStyle w:val="371"/>
              <w:numPr>
                <w:ilvl w:val="0"/>
                <w:numId w:val="9"/>
              </w:numPr>
              <w:rPr>
                <w:b w:val="0"/>
                <w:bCs/>
              </w:rPr>
            </w:pPr>
            <w:r>
              <w:rPr>
                <w:b w:val="0"/>
                <w:bCs/>
              </w:rPr>
              <w:t>RAN2 to discuss enhancements to RLF indication/handling with the focus on the reduction of service interruption after BH RLF.</w:t>
            </w:r>
          </w:p>
          <w:p>
            <w:pPr>
              <w:pStyle w:val="371"/>
              <w:numPr>
                <w:ilvl w:val="0"/>
                <w:numId w:val="9"/>
              </w:numPr>
              <w:rPr>
                <w:b w:val="0"/>
                <w:bCs/>
              </w:rPr>
            </w:pPr>
            <w:r>
              <w:rPr>
                <w:b w:val="0"/>
                <w:bCs/>
              </w:rPr>
              <w:t>RAN2 to support type-2/3 RLF indication (FFS specified behavior(s) TS impact, FFS details).</w:t>
            </w:r>
          </w:p>
          <w:p>
            <w:pPr>
              <w:pStyle w:val="371"/>
              <w:numPr>
                <w:ilvl w:val="0"/>
                <w:numId w:val="9"/>
              </w:numPr>
              <w:rPr>
                <w:b w:val="0"/>
                <w:bCs/>
              </w:rPr>
            </w:pPr>
            <w:r>
              <w:rPr>
                <w:b w:val="0"/>
                <w:bCs/>
              </w:rPr>
              <w:t xml:space="preserve">Type-2 RLF indication may be used to trigger local rerouting </w:t>
            </w:r>
          </w:p>
          <w:p>
            <w:pPr>
              <w:pStyle w:val="371"/>
              <w:numPr>
                <w:ilvl w:val="0"/>
                <w:numId w:val="9"/>
              </w:numPr>
              <w:rPr>
                <w:b w:val="0"/>
                <w:bCs/>
              </w:rPr>
            </w:pPr>
            <w:r>
              <w:rPr>
                <w:b w:val="0"/>
                <w:bCs/>
              </w:rPr>
              <w:t xml:space="preserve">Type-2 RLF indication may be used to trigger deactivation of IAB-supported in SIB </w:t>
            </w:r>
          </w:p>
          <w:p>
            <w:pPr>
              <w:pStyle w:val="371"/>
              <w:numPr>
                <w:ilvl w:val="0"/>
                <w:numId w:val="9"/>
              </w:numPr>
              <w:rPr>
                <w:b w:val="0"/>
                <w:bCs/>
              </w:rPr>
            </w:pPr>
            <w:r>
              <w:rPr>
                <w:b w:val="0"/>
                <w:bCs/>
              </w:rPr>
              <w:t xml:space="preserve">Type-2 RLF indication may be used to trigger deactivation or reduction of SR and/or BSR transmissions </w:t>
            </w:r>
          </w:p>
          <w:p>
            <w:pPr>
              <w:pStyle w:val="371"/>
              <w:numPr>
                <w:ilvl w:val="0"/>
                <w:numId w:val="9"/>
              </w:numPr>
              <w:rPr>
                <w:b w:val="0"/>
                <w:bCs/>
              </w:rPr>
            </w:pPr>
            <w:r>
              <w:rPr>
                <w:b w:val="0"/>
                <w:bCs/>
              </w:rPr>
              <w:t>The trigger to generate a type 2 RLF indication is at RLF detection. FFS whether for both: single and dual connection cases.</w:t>
            </w:r>
          </w:p>
          <w:p>
            <w:pPr>
              <w:pStyle w:val="371"/>
              <w:numPr>
                <w:ilvl w:val="0"/>
                <w:numId w:val="9"/>
              </w:numPr>
              <w:rPr>
                <w:b w:val="0"/>
                <w:bCs/>
              </w:rPr>
            </w:pPr>
            <w:r>
              <w:rPr>
                <w:b w:val="0"/>
                <w:bCs/>
              </w:rPr>
              <w:t>The trigger for type 3 RLF indication transmission is successful recovery after BH RLF. FFS whether for both: single and dual connection cases.</w:t>
            </w:r>
          </w:p>
          <w:p>
            <w:pPr>
              <w:pStyle w:val="371"/>
              <w:numPr>
                <w:ilvl w:val="0"/>
                <w:numId w:val="9"/>
              </w:numPr>
              <w:rPr>
                <w:b w:val="0"/>
                <w:bCs/>
              </w:rPr>
            </w:pPr>
            <w:r>
              <w:rPr>
                <w:b w:val="0"/>
                <w:bCs/>
              </w:rPr>
              <w:t>Type 2 and Type 3 BH RLF Indications are transmitted via BAP Control PDU.</w:t>
            </w:r>
          </w:p>
          <w:p>
            <w:pPr>
              <w:pStyle w:val="371"/>
              <w:numPr>
                <w:ilvl w:val="0"/>
                <w:numId w:val="9"/>
              </w:numPr>
              <w:rPr>
                <w:b w:val="0"/>
                <w:bCs/>
              </w:rPr>
            </w:pPr>
            <w:r>
              <w:rPr>
                <w:b w:val="0"/>
                <w:bCs/>
              </w:rPr>
              <w:t>Upon reception of the type-2 indication, the IAB node does not initiate RRC re-establishment.</w:t>
            </w:r>
          </w:p>
          <w:p>
            <w:pPr>
              <w:pStyle w:val="371"/>
              <w:numPr>
                <w:ilvl w:val="0"/>
                <w:numId w:val="9"/>
              </w:numPr>
              <w:rPr>
                <w:b w:val="0"/>
                <w:bCs/>
              </w:rPr>
            </w:pPr>
            <w:r>
              <w:rPr>
                <w:b w:val="0"/>
                <w:bCs/>
              </w:rPr>
              <w:t>If an IAB node with dual parents (via DC) receives type-2 BH RLF indication from one parent, IAB-node may trigger a local re-routing to the other parent. The detail of local re-routing and whether/how the action on type-2 indication is configurable is FFS.</w:t>
            </w:r>
          </w:p>
          <w:p/>
          <w:p>
            <w:pPr>
              <w:pStyle w:val="3"/>
              <w:rPr>
                <w:b/>
                <w:bCs/>
                <w:sz w:val="24"/>
                <w:szCs w:val="24"/>
              </w:rPr>
            </w:pPr>
            <w:r>
              <w:rPr>
                <w:b/>
                <w:bCs/>
                <w:sz w:val="24"/>
                <w:szCs w:val="24"/>
              </w:rPr>
              <w:t xml:space="preserve">Local rerouting </w:t>
            </w:r>
          </w:p>
          <w:p>
            <w:pPr>
              <w:pStyle w:val="371"/>
              <w:numPr>
                <w:ilvl w:val="0"/>
                <w:numId w:val="9"/>
              </w:numPr>
              <w:rPr>
                <w:b w:val="0"/>
                <w:bCs/>
              </w:rPr>
            </w:pPr>
            <w:r>
              <w:rPr>
                <w:b w:val="0"/>
                <w:bCs/>
              </w:rPr>
              <w:t>RAN2 to discuss local rerouting, including the benefits over central route determination, and on how topology-wide objectives can be addressed.</w:t>
            </w:r>
          </w:p>
          <w:p>
            <w:pPr>
              <w:pStyle w:val="371"/>
              <w:numPr>
                <w:ilvl w:val="0"/>
                <w:numId w:val="9"/>
              </w:numPr>
              <w:rPr>
                <w:b w:val="0"/>
                <w:bCs/>
              </w:rPr>
            </w:pPr>
            <w:r>
              <w:rPr>
                <w:b w:val="0"/>
                <w:bCs/>
              </w:rPr>
              <w:t>Local rerouting can be triggered by indication of hop-by-hop flow control. Further details, e.g., on trigger information, trigger conditions, role of CU configuration, are FFS.</w:t>
            </w:r>
          </w:p>
          <w:p>
            <w:pPr>
              <w:pStyle w:val="371"/>
              <w:numPr>
                <w:ilvl w:val="0"/>
                <w:numId w:val="9"/>
              </w:numPr>
              <w:rPr>
                <w:b w:val="0"/>
                <w:bCs/>
              </w:rPr>
            </w:pPr>
            <w:r>
              <w:rPr>
                <w:b w:val="0"/>
                <w:bCs/>
              </w:rPr>
              <w:t>RAN2 considers inter-donor-DU local rerouting to be in scope</w:t>
            </w:r>
          </w:p>
          <w:p>
            <w:pPr>
              <w:pStyle w:val="371"/>
              <w:numPr>
                <w:ilvl w:val="0"/>
                <w:numId w:val="9"/>
              </w:numPr>
              <w:rPr>
                <w:b w:val="0"/>
                <w:bCs/>
              </w:rPr>
            </w:pPr>
            <w:r>
              <w:rPr>
                <w:b w:val="0"/>
                <w:bCs/>
              </w:rPr>
              <w:t>Assume that the IAB-donor will configure (alternative) egress links that can be used at local re-routing (at least with same destination, FFS same routing ID)</w:t>
            </w:r>
          </w:p>
          <w:p>
            <w:pPr>
              <w:pStyle w:val="371"/>
              <w:numPr>
                <w:ilvl w:val="0"/>
                <w:numId w:val="9"/>
              </w:numPr>
              <w:rPr>
                <w:b w:val="0"/>
                <w:bCs/>
              </w:rPr>
            </w:pPr>
            <w:r>
              <w:rPr>
                <w:b w:val="0"/>
                <w:bCs/>
              </w:rPr>
              <w:t>Local re-routing based on flow control feedback is allowed based on certain value of available buffer size. FFS further details. (Current hbh fc is for DL traffic.</w:t>
            </w:r>
          </w:p>
          <w:p>
            <w:pPr>
              <w:pStyle w:val="371"/>
              <w:numPr>
                <w:ilvl w:val="0"/>
                <w:numId w:val="9"/>
              </w:numPr>
              <w:rPr>
                <w:b w:val="0"/>
                <w:bCs/>
              </w:rPr>
            </w:pPr>
            <w:r>
              <w:rPr>
                <w:b w:val="0"/>
                <w:bCs/>
              </w:rPr>
              <w:t>A configured threshold of available buffer size based on flow control feedback is used to determine the congestion, for the purpose of local re-routing.</w:t>
            </w:r>
          </w:p>
          <w:p>
            <w:pPr>
              <w:pStyle w:val="371"/>
              <w:numPr>
                <w:ilvl w:val="0"/>
                <w:numId w:val="9"/>
              </w:numPr>
              <w:rPr>
                <w:b w:val="0"/>
                <w:bCs/>
              </w:rPr>
            </w:pPr>
            <w:r>
              <w:rPr>
                <w:b w:val="0"/>
                <w:bCs/>
              </w:rPr>
              <w:t>For intra-CU cases, Support inter-donor-DU re-routing at least in the scenarios of NR-DC among donor-DUs, inter-donor-DU recovery and inter-donor-DU migration.</w:t>
            </w:r>
          </w:p>
          <w:p>
            <w:pPr>
              <w:pStyle w:val="371"/>
              <w:numPr>
                <w:ilvl w:val="0"/>
                <w:numId w:val="9"/>
              </w:numPr>
              <w:rPr>
                <w:b w:val="0"/>
                <w:bCs/>
              </w:rPr>
            </w:pPr>
            <w:r>
              <w:rPr>
                <w:b w:val="0"/>
                <w:bCs/>
              </w:rPr>
              <w:t>Support inter-CU re-routing, i.e. IAB-node re-routes the data to its original donor-CU via the alternative BAP path over the topology in target CU.</w:t>
            </w:r>
          </w:p>
          <w:p>
            <w:pPr>
              <w:pStyle w:val="371"/>
              <w:numPr>
                <w:ilvl w:val="0"/>
                <w:numId w:val="9"/>
              </w:numPr>
              <w:rPr>
                <w:b w:val="0"/>
                <w:bCs/>
              </w:rPr>
            </w:pPr>
            <w:r>
              <w:rPr>
                <w:b w:val="0"/>
                <w:bCs/>
              </w:rPr>
              <w:t>For inter-donor-DU re-routing, support the “previous routing ID to new routing ID” BAP header rewriting.</w:t>
            </w:r>
          </w:p>
          <w:p/>
          <w:p>
            <w:pPr>
              <w:pStyle w:val="3"/>
              <w:rPr>
                <w:b/>
                <w:bCs/>
                <w:sz w:val="24"/>
                <w:szCs w:val="24"/>
              </w:rPr>
            </w:pPr>
            <w:r>
              <w:rPr>
                <w:b/>
                <w:bCs/>
                <w:sz w:val="24"/>
                <w:szCs w:val="24"/>
              </w:rPr>
              <w:t>CHO</w:t>
            </w:r>
          </w:p>
          <w:p>
            <w:pPr>
              <w:pStyle w:val="371"/>
              <w:numPr>
                <w:ilvl w:val="0"/>
                <w:numId w:val="9"/>
              </w:numPr>
              <w:rPr>
                <w:b w:val="0"/>
                <w:bCs/>
              </w:rPr>
            </w:pPr>
            <w:r>
              <w:rPr>
                <w:b w:val="0"/>
                <w:bCs/>
              </w:rPr>
              <w:t xml:space="preserve">CHO and potential IAB-specific enhancements of CHO is on the table. </w:t>
            </w:r>
          </w:p>
          <w:p>
            <w:pPr>
              <w:pStyle w:val="371"/>
              <w:numPr>
                <w:ilvl w:val="0"/>
                <w:numId w:val="9"/>
              </w:numPr>
              <w:rPr>
                <w:b w:val="0"/>
                <w:bCs/>
              </w:rPr>
            </w:pPr>
            <w:r>
              <w:rPr>
                <w:b w:val="0"/>
                <w:bCs/>
              </w:rPr>
              <w:t>RAN2 to discuss CHO and start with intra-donor CHO until RAN3 has made progress on inter-donor IAB-node migration.</w:t>
            </w:r>
          </w:p>
          <w:p>
            <w:pPr>
              <w:pStyle w:val="371"/>
              <w:numPr>
                <w:ilvl w:val="0"/>
                <w:numId w:val="9"/>
              </w:numPr>
              <w:rPr>
                <w:b w:val="0"/>
                <w:bCs/>
              </w:rPr>
            </w:pPr>
            <w:r>
              <w:rPr>
                <w:b w:val="0"/>
                <w:bCs/>
              </w:rPr>
              <w:t xml:space="preserve">R2 confirm the intention Rel-16 CHO is / can be used for IAB-MT (FFS whether any modification is needed). </w:t>
            </w:r>
          </w:p>
          <w:p>
            <w:pPr>
              <w:pStyle w:val="371"/>
              <w:numPr>
                <w:ilvl w:val="0"/>
                <w:numId w:val="9"/>
              </w:numPr>
              <w:rPr>
                <w:b w:val="0"/>
                <w:bCs/>
              </w:rPr>
            </w:pPr>
            <w:r>
              <w:rPr>
                <w:b w:val="0"/>
                <w:bCs/>
              </w:rPr>
              <w:t>R2 assumes that Rel-16 specification is the baseline for the configuration of default route, IP address(es) and target path for intra-donor CHO.</w:t>
            </w:r>
          </w:p>
          <w:p>
            <w:pPr>
              <w:pStyle w:val="371"/>
              <w:numPr>
                <w:ilvl w:val="0"/>
                <w:numId w:val="9"/>
              </w:numPr>
              <w:rPr>
                <w:b w:val="0"/>
                <w:bCs/>
              </w:rPr>
            </w:pPr>
            <w:r>
              <w:rPr>
                <w:b w:val="0"/>
                <w:bCs/>
              </w:rPr>
              <w:t>The use cases for IAB-MT CHO should be</w:t>
            </w:r>
            <w:r>
              <w:rPr>
                <w:rFonts w:hint="eastAsia"/>
                <w:b w:val="0"/>
                <w:bCs/>
              </w:rPr>
              <w:t xml:space="preserve"> migration</w:t>
            </w:r>
            <w:r>
              <w:rPr>
                <w:b w:val="0"/>
                <w:bCs/>
              </w:rPr>
              <w:t xml:space="preserve"> and RLF recovery</w:t>
            </w:r>
            <w:r>
              <w:rPr>
                <w:rFonts w:hint="eastAsia"/>
                <w:b w:val="0"/>
                <w:bCs/>
              </w:rPr>
              <w:t>.</w:t>
            </w:r>
          </w:p>
          <w:p>
            <w:pPr>
              <w:pStyle w:val="371"/>
              <w:numPr>
                <w:ilvl w:val="0"/>
                <w:numId w:val="9"/>
              </w:numPr>
              <w:rPr>
                <w:b w:val="0"/>
                <w:bCs/>
              </w:rPr>
            </w:pPr>
            <w:r>
              <w:rPr>
                <w:b w:val="0"/>
                <w:bCs/>
              </w:rPr>
              <w:t>RAN2 should have a comm</w:t>
            </w:r>
            <w:r>
              <w:rPr>
                <w:rFonts w:hint="eastAsia"/>
                <w:b w:val="0"/>
                <w:bCs/>
              </w:rPr>
              <w:t>o</w:t>
            </w:r>
            <w:r>
              <w:rPr>
                <w:b w:val="0"/>
                <w:bCs/>
              </w:rPr>
              <w:t xml:space="preserve">n solution for intra-CU/intra-DU CHO and intra-CU/inter-DU CHO. </w:t>
            </w:r>
          </w:p>
          <w:p>
            <w:pPr>
              <w:pStyle w:val="371"/>
              <w:numPr>
                <w:ilvl w:val="0"/>
                <w:numId w:val="9"/>
              </w:numPr>
              <w:rPr>
                <w:b w:val="0"/>
                <w:bCs/>
              </w:rPr>
            </w:pPr>
            <w:r>
              <w:rPr>
                <w:b w:val="0"/>
                <w:bCs/>
              </w:rPr>
              <w:t>condEventA3 and condEventA5 are applicable to IAB-MT</w:t>
            </w:r>
          </w:p>
          <w:p>
            <w:pPr>
              <w:pStyle w:val="371"/>
              <w:numPr>
                <w:ilvl w:val="0"/>
                <w:numId w:val="9"/>
              </w:numPr>
              <w:rPr>
                <w:b w:val="0"/>
                <w:bCs/>
              </w:rPr>
            </w:pPr>
            <w:r>
              <w:rPr>
                <w:b w:val="0"/>
                <w:bCs/>
              </w:rPr>
              <w:t>FFS if other CHO execution condition is needed (e.g. whether type 2 RLF indication can be used as trigger)</w:t>
            </w:r>
          </w:p>
          <w:p>
            <w:pPr>
              <w:rPr>
                <w:rFonts w:eastAsiaTheme="minorEastAsia"/>
                <w:lang w:eastAsia="zh-CN"/>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130"/>
              <w:spacing w:after="0"/>
              <w:rPr>
                <w:b/>
                <w:i/>
                <w:sz w:val="8"/>
                <w:szCs w:val="8"/>
              </w:rPr>
            </w:pPr>
          </w:p>
        </w:tc>
        <w:tc>
          <w:tcPr>
            <w:tcW w:w="6946" w:type="dxa"/>
            <w:gridSpan w:val="9"/>
            <w:tcBorders>
              <w:right w:val="single" w:color="auto" w:sz="4" w:space="0"/>
            </w:tcBorders>
          </w:tcPr>
          <w:p>
            <w:pPr>
              <w:pStyle w:val="130"/>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130"/>
              <w:tabs>
                <w:tab w:val="right" w:pos="2184"/>
              </w:tabs>
              <w:spacing w:after="0"/>
              <w:rPr>
                <w:b/>
                <w:i/>
              </w:rPr>
            </w:pPr>
            <w:r>
              <w:rPr>
                <w:b/>
                <w:i/>
              </w:rPr>
              <w:t>Summary of change:</w:t>
            </w:r>
          </w:p>
        </w:tc>
        <w:tc>
          <w:tcPr>
            <w:tcW w:w="6946" w:type="dxa"/>
            <w:gridSpan w:val="9"/>
            <w:tcBorders>
              <w:right w:val="single" w:color="auto" w:sz="4" w:space="0"/>
            </w:tcBorders>
            <w:shd w:val="pct30" w:color="FFFF00" w:fill="auto"/>
          </w:tcPr>
          <w:p>
            <w:pPr>
              <w:pStyle w:val="130"/>
              <w:spacing w:after="60"/>
              <w:rPr>
                <w:b/>
                <w:bCs/>
                <w:sz w:val="24"/>
                <w:szCs w:val="24"/>
              </w:rPr>
            </w:pPr>
            <w:r>
              <w:rPr>
                <w:b/>
                <w:bCs/>
                <w:sz w:val="24"/>
                <w:szCs w:val="24"/>
              </w:rPr>
              <w:t>RLF indication:</w:t>
            </w:r>
          </w:p>
          <w:p>
            <w:pPr>
              <w:pStyle w:val="130"/>
              <w:spacing w:after="60"/>
            </w:pPr>
            <w:r>
              <w:t>Introduction of BH RLF detection indication and BH recovery indication. Renaming of Rel-16 BH RLF indication to Rel-16 BH recovery failure indication.</w:t>
            </w:r>
          </w:p>
          <w:p>
            <w:pPr>
              <w:pStyle w:val="130"/>
              <w:spacing w:after="60"/>
            </w:pPr>
            <w:r>
              <w:t>Description of conditions for transmission of BH RLF detection indication and BH recovery indication.</w:t>
            </w:r>
          </w:p>
          <w:p>
            <w:pPr>
              <w:pStyle w:val="130"/>
              <w:spacing w:after="60"/>
            </w:pPr>
            <w:r>
              <w:t>Description of potential behavior upon reception of BH RLF detection indication and BH recovery indication.</w:t>
            </w:r>
          </w:p>
          <w:p>
            <w:pPr>
              <w:pStyle w:val="130"/>
              <w:spacing w:after="60"/>
              <w:rPr>
                <w:b/>
                <w:bCs/>
                <w:sz w:val="24"/>
                <w:szCs w:val="24"/>
              </w:rPr>
            </w:pPr>
            <w:r>
              <w:rPr>
                <w:b/>
                <w:bCs/>
                <w:sz w:val="24"/>
                <w:szCs w:val="24"/>
              </w:rPr>
              <w:t>Local rerouting:</w:t>
            </w:r>
          </w:p>
          <w:p>
            <w:pPr>
              <w:pStyle w:val="130"/>
              <w:spacing w:after="60"/>
            </w:pPr>
            <w:r>
              <w:t xml:space="preserve">Addition of conditions for local rerouting: </w:t>
            </w:r>
          </w:p>
          <w:p>
            <w:pPr>
              <w:pStyle w:val="130"/>
              <w:numPr>
                <w:ilvl w:val="0"/>
                <w:numId w:val="9"/>
              </w:numPr>
              <w:spacing w:after="60"/>
            </w:pPr>
            <w:r>
              <w:t>Local rerouting based on congestion (for DL)</w:t>
            </w:r>
          </w:p>
          <w:p>
            <w:pPr>
              <w:pStyle w:val="130"/>
              <w:numPr>
                <w:ilvl w:val="0"/>
                <w:numId w:val="9"/>
              </w:numPr>
              <w:spacing w:after="60"/>
            </w:pPr>
            <w:r>
              <w:t>Local rerouting due to unavailability of the BH link due to migration or recovery.</w:t>
            </w:r>
          </w:p>
          <w:p>
            <w:pPr>
              <w:pStyle w:val="130"/>
              <w:spacing w:after="60"/>
            </w:pPr>
            <w:r>
              <w:t xml:space="preserve">Addition of BAP header rewriting in case of local rerouting in UL direction. </w:t>
            </w:r>
          </w:p>
          <w:p>
            <w:pPr>
              <w:pStyle w:val="130"/>
              <w:spacing w:after="60"/>
            </w:pPr>
          </w:p>
          <w:p>
            <w:pPr>
              <w:pStyle w:val="130"/>
              <w:spacing w:after="60"/>
              <w:rPr>
                <w:b/>
                <w:bCs/>
                <w:sz w:val="24"/>
                <w:szCs w:val="24"/>
              </w:rPr>
            </w:pPr>
            <w:r>
              <w:rPr>
                <w:b/>
                <w:bCs/>
                <w:sz w:val="24"/>
                <w:szCs w:val="24"/>
              </w:rPr>
              <w:t>CHO:</w:t>
            </w:r>
          </w:p>
          <w:p>
            <w:pPr>
              <w:pStyle w:val="130"/>
              <w:spacing w:after="60"/>
            </w:pPr>
            <w:r>
              <w:t xml:space="preserve">CHO is also appliable to IAB-MT in the context of intra/inter-donor migration and recovery. </w:t>
            </w:r>
          </w:p>
          <w:p>
            <w:pPr>
              <w:pStyle w:val="130"/>
              <w:spacing w:after="60"/>
              <w:rPr>
                <w:rFonts w:eastAsiaTheme="minorEastAsia"/>
                <w:lang w:eastAsia="zh-CN"/>
              </w:rPr>
            </w:pPr>
            <w:r>
              <w:rPr>
                <w:rFonts w:hint="eastAsia" w:eastAsiaTheme="minorEastAsia"/>
                <w:lang w:eastAsia="zh-CN"/>
              </w:rPr>
              <w:t xml:space="preserve">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30"/>
              <w:spacing w:after="0"/>
              <w:rPr>
                <w:b/>
                <w:i/>
                <w:sz w:val="8"/>
                <w:szCs w:val="8"/>
              </w:rPr>
            </w:pPr>
          </w:p>
        </w:tc>
        <w:tc>
          <w:tcPr>
            <w:tcW w:w="6946" w:type="dxa"/>
            <w:gridSpan w:val="9"/>
            <w:tcBorders>
              <w:right w:val="single" w:color="auto" w:sz="4" w:space="0"/>
            </w:tcBorders>
          </w:tcPr>
          <w:p>
            <w:pPr>
              <w:pStyle w:val="130"/>
              <w:spacing w:after="0"/>
              <w:rPr>
                <w:sz w:val="8"/>
                <w:szCs w:val="8"/>
              </w:rPr>
            </w:pPr>
          </w:p>
        </w:tc>
      </w:tr>
      <w:tr>
        <w:tblPrEx>
          <w:tblCellMar>
            <w:top w:w="0" w:type="dxa"/>
            <w:left w:w="42" w:type="dxa"/>
            <w:bottom w:w="0" w:type="dxa"/>
            <w:right w:w="42" w:type="dxa"/>
          </w:tblCellMar>
        </w:tblPrEx>
        <w:trPr>
          <w:trHeight w:val="489" w:hRule="atLeast"/>
        </w:trPr>
        <w:tc>
          <w:tcPr>
            <w:tcW w:w="2694" w:type="dxa"/>
            <w:gridSpan w:val="2"/>
            <w:tcBorders>
              <w:left w:val="single" w:color="auto" w:sz="4" w:space="0"/>
              <w:bottom w:val="single" w:color="auto" w:sz="4" w:space="0"/>
            </w:tcBorders>
          </w:tcPr>
          <w:p>
            <w:pPr>
              <w:pStyle w:val="130"/>
              <w:tabs>
                <w:tab w:val="right" w:pos="2184"/>
              </w:tabs>
              <w:spacing w:after="0"/>
              <w:rPr>
                <w:b/>
                <w:i/>
              </w:rPr>
            </w:pPr>
            <w:r>
              <w:rPr>
                <w:b/>
                <w:i/>
              </w:rPr>
              <w:t>Consequences if not approved:</w:t>
            </w:r>
          </w:p>
        </w:tc>
        <w:tc>
          <w:tcPr>
            <w:tcW w:w="6946" w:type="dxa"/>
            <w:gridSpan w:val="9"/>
            <w:tcBorders>
              <w:bottom w:val="single" w:color="auto" w:sz="4" w:space="0"/>
              <w:right w:val="single" w:color="auto" w:sz="4" w:space="0"/>
            </w:tcBorders>
            <w:shd w:val="pct30" w:color="FFFF00" w:fill="auto"/>
          </w:tcPr>
          <w:p>
            <w:pPr>
              <w:pStyle w:val="130"/>
              <w:spacing w:after="0"/>
            </w:pPr>
            <w:r>
              <w:t xml:space="preserve">Rel-17 eIAB </w:t>
            </w:r>
            <w:r>
              <w:rPr>
                <w:rFonts w:hint="eastAsia" w:eastAsia="宋体"/>
                <w:lang w:eastAsia="zh-CN"/>
              </w:rPr>
              <w:t xml:space="preserve"> </w:t>
            </w:r>
            <w:r>
              <w:t>is not supported.</w:t>
            </w:r>
          </w:p>
        </w:tc>
      </w:tr>
      <w:tr>
        <w:tblPrEx>
          <w:tblCellMar>
            <w:top w:w="0" w:type="dxa"/>
            <w:left w:w="42" w:type="dxa"/>
            <w:bottom w:w="0" w:type="dxa"/>
            <w:right w:w="42" w:type="dxa"/>
          </w:tblCellMar>
        </w:tblPrEx>
        <w:tc>
          <w:tcPr>
            <w:tcW w:w="2694" w:type="dxa"/>
            <w:gridSpan w:val="2"/>
          </w:tcPr>
          <w:p>
            <w:pPr>
              <w:pStyle w:val="130"/>
              <w:spacing w:after="0"/>
              <w:rPr>
                <w:b/>
                <w:i/>
                <w:sz w:val="8"/>
                <w:szCs w:val="8"/>
              </w:rPr>
            </w:pPr>
          </w:p>
        </w:tc>
        <w:tc>
          <w:tcPr>
            <w:tcW w:w="6946" w:type="dxa"/>
            <w:gridSpan w:val="9"/>
          </w:tcPr>
          <w:p>
            <w:pPr>
              <w:pStyle w:val="130"/>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130"/>
              <w:tabs>
                <w:tab w:val="right" w:pos="2184"/>
              </w:tabs>
              <w:spacing w:after="0"/>
              <w:rPr>
                <w:b/>
                <w:i/>
              </w:rPr>
            </w:pPr>
            <w:r>
              <w:rPr>
                <w:b/>
                <w:i/>
              </w:rPr>
              <w:t>Clauses affected:</w:t>
            </w:r>
          </w:p>
        </w:tc>
        <w:tc>
          <w:tcPr>
            <w:tcW w:w="6946" w:type="dxa"/>
            <w:gridSpan w:val="9"/>
            <w:tcBorders>
              <w:top w:val="single" w:color="auto" w:sz="4" w:space="0"/>
              <w:right w:val="single" w:color="auto" w:sz="4" w:space="0"/>
            </w:tcBorders>
            <w:shd w:val="pct30" w:color="FFFF00" w:fill="auto"/>
          </w:tcPr>
          <w:p>
            <w:pPr>
              <w:pStyle w:val="130"/>
              <w:spacing w:after="0"/>
              <w:rPr>
                <w:rFonts w:eastAsia="宋体"/>
                <w:lang w:val="en-US" w:eastAsia="zh-CN"/>
              </w:rPr>
            </w:pPr>
            <w:r>
              <w:rPr>
                <w:rFonts w:eastAsia="宋体"/>
                <w:lang w:val="en-US" w:eastAsia="zh-CN"/>
              </w:rPr>
              <w:t>6.11        Backhaul Adaptation Protocol sublayer</w:t>
            </w:r>
          </w:p>
          <w:p>
            <w:pPr>
              <w:pStyle w:val="130"/>
              <w:spacing w:after="0"/>
              <w:rPr>
                <w:rFonts w:eastAsia="宋体"/>
                <w:lang w:val="en-US" w:eastAsia="zh-CN"/>
              </w:rPr>
            </w:pPr>
            <w:r>
              <w:rPr>
                <w:rFonts w:eastAsia="宋体"/>
                <w:lang w:val="en-US" w:eastAsia="zh-CN"/>
              </w:rPr>
              <w:t xml:space="preserve">   6.11.1      S</w:t>
            </w:r>
            <w:r>
              <w:t>ervices and Functions</w:t>
            </w:r>
          </w:p>
          <w:p>
            <w:pPr>
              <w:pStyle w:val="130"/>
              <w:spacing w:after="0"/>
              <w:rPr>
                <w:rFonts w:eastAsia="宋体"/>
                <w:lang w:val="en-US" w:eastAsia="zh-CN"/>
              </w:rPr>
            </w:pPr>
            <w:r>
              <w:rPr>
                <w:rFonts w:eastAsia="宋体"/>
                <w:lang w:val="en-US" w:eastAsia="zh-CN"/>
              </w:rPr>
              <w:t xml:space="preserve">   6.11.3      </w:t>
            </w:r>
            <w:r>
              <w:t>Routing and BH-RLC-channel mapping on BAP sublayer</w:t>
            </w:r>
          </w:p>
          <w:p>
            <w:pPr>
              <w:pStyle w:val="130"/>
              <w:spacing w:after="0"/>
            </w:pPr>
            <w:r>
              <w:t>9.2.3.4     Conditions Handover</w:t>
            </w:r>
          </w:p>
          <w:p>
            <w:pPr>
              <w:pStyle w:val="130"/>
              <w:spacing w:after="0"/>
              <w:rPr>
                <w:rFonts w:eastAsia="宋体"/>
                <w:lang w:val="en-US" w:eastAsia="zh-CN"/>
              </w:rPr>
            </w:pPr>
            <w:r>
              <w:rPr>
                <w:rFonts w:eastAsia="宋体"/>
                <w:lang w:val="en-US" w:eastAsia="zh-CN"/>
              </w:rPr>
              <w:t>9.2.7        Radio link failure</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30"/>
              <w:spacing w:after="0"/>
              <w:rPr>
                <w:b/>
                <w:i/>
                <w:sz w:val="8"/>
                <w:szCs w:val="8"/>
              </w:rPr>
            </w:pPr>
          </w:p>
        </w:tc>
        <w:tc>
          <w:tcPr>
            <w:tcW w:w="6946" w:type="dxa"/>
            <w:gridSpan w:val="9"/>
            <w:tcBorders>
              <w:right w:val="single" w:color="auto" w:sz="4" w:space="0"/>
            </w:tcBorders>
          </w:tcPr>
          <w:p>
            <w:pPr>
              <w:pStyle w:val="130"/>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130"/>
              <w:tabs>
                <w:tab w:val="right" w:pos="2184"/>
              </w:tabs>
              <w:spacing w:after="0"/>
              <w:rPr>
                <w:b/>
                <w:i/>
              </w:rPr>
            </w:pPr>
          </w:p>
        </w:tc>
        <w:tc>
          <w:tcPr>
            <w:tcW w:w="284" w:type="dxa"/>
            <w:tcBorders>
              <w:top w:val="single" w:color="auto" w:sz="4" w:space="0"/>
              <w:left w:val="single" w:color="auto" w:sz="4" w:space="0"/>
              <w:bottom w:val="single" w:color="auto" w:sz="4" w:space="0"/>
            </w:tcBorders>
          </w:tcPr>
          <w:p>
            <w:pPr>
              <w:pStyle w:val="130"/>
              <w:spacing w:after="0"/>
              <w:jc w:val="center"/>
              <w:rPr>
                <w:b/>
                <w:caps/>
              </w:rPr>
            </w:pPr>
            <w:r>
              <w:rPr>
                <w:b/>
                <w:caps/>
              </w:rPr>
              <w:t>Y</w:t>
            </w:r>
          </w:p>
        </w:tc>
        <w:tc>
          <w:tcPr>
            <w:tcW w:w="284" w:type="dxa"/>
            <w:tcBorders>
              <w:top w:val="single" w:color="auto" w:sz="4" w:space="0"/>
              <w:left w:val="single" w:color="auto" w:sz="4" w:space="0"/>
              <w:bottom w:val="single" w:color="auto" w:sz="4" w:space="0"/>
              <w:right w:val="single" w:color="auto" w:sz="4" w:space="0"/>
            </w:tcBorders>
            <w:shd w:val="clear" w:color="FFFF00" w:fill="auto"/>
          </w:tcPr>
          <w:p>
            <w:pPr>
              <w:pStyle w:val="130"/>
              <w:spacing w:after="0"/>
              <w:jc w:val="center"/>
              <w:rPr>
                <w:b/>
                <w:caps/>
              </w:rPr>
            </w:pPr>
            <w:r>
              <w:rPr>
                <w:b/>
                <w:caps/>
              </w:rPr>
              <w:t>N</w:t>
            </w:r>
          </w:p>
        </w:tc>
        <w:tc>
          <w:tcPr>
            <w:tcW w:w="2977" w:type="dxa"/>
            <w:gridSpan w:val="4"/>
          </w:tcPr>
          <w:p>
            <w:pPr>
              <w:pStyle w:val="130"/>
              <w:tabs>
                <w:tab w:val="right" w:pos="2893"/>
              </w:tabs>
              <w:spacing w:after="0"/>
            </w:pPr>
          </w:p>
        </w:tc>
        <w:tc>
          <w:tcPr>
            <w:tcW w:w="3401" w:type="dxa"/>
            <w:gridSpan w:val="3"/>
            <w:tcBorders>
              <w:right w:val="single" w:color="auto" w:sz="4" w:space="0"/>
            </w:tcBorders>
            <w:shd w:val="clear" w:color="FFFF00" w:fill="auto"/>
          </w:tcPr>
          <w:p>
            <w:pPr>
              <w:pStyle w:val="130"/>
              <w:spacing w:after="0"/>
              <w:ind w:left="99"/>
            </w:pPr>
          </w:p>
        </w:tc>
      </w:tr>
      <w:tr>
        <w:tblPrEx>
          <w:tblCellMar>
            <w:top w:w="0" w:type="dxa"/>
            <w:left w:w="42" w:type="dxa"/>
            <w:bottom w:w="0" w:type="dxa"/>
            <w:right w:w="42" w:type="dxa"/>
          </w:tblCellMar>
        </w:tblPrEx>
        <w:tc>
          <w:tcPr>
            <w:tcW w:w="2694" w:type="dxa"/>
            <w:gridSpan w:val="2"/>
            <w:tcBorders>
              <w:left w:val="single" w:color="auto" w:sz="4" w:space="0"/>
            </w:tcBorders>
          </w:tcPr>
          <w:p>
            <w:pPr>
              <w:pStyle w:val="130"/>
              <w:tabs>
                <w:tab w:val="right" w:pos="2184"/>
              </w:tabs>
              <w:spacing w:after="0"/>
              <w:rPr>
                <w:b/>
                <w:i/>
              </w:rPr>
            </w:pPr>
            <w:r>
              <w:rPr>
                <w:b/>
                <w:i/>
              </w:rPr>
              <w:t>Other specs</w:t>
            </w:r>
          </w:p>
        </w:tc>
        <w:tc>
          <w:tcPr>
            <w:tcW w:w="284" w:type="dxa"/>
            <w:tcBorders>
              <w:top w:val="single" w:color="auto" w:sz="4" w:space="0"/>
              <w:left w:val="single" w:color="auto" w:sz="4" w:space="0"/>
              <w:bottom w:val="single" w:color="auto" w:sz="4" w:space="0"/>
            </w:tcBorders>
            <w:shd w:val="pct25" w:color="FFFF00" w:fill="auto"/>
          </w:tcPr>
          <w:p>
            <w:pPr>
              <w:pStyle w:val="130"/>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130"/>
              <w:spacing w:after="0"/>
              <w:jc w:val="center"/>
              <w:rPr>
                <w:b/>
                <w:caps/>
              </w:rPr>
            </w:pPr>
            <w:r>
              <w:rPr>
                <w:b/>
                <w:caps/>
              </w:rPr>
              <w:t>X</w:t>
            </w:r>
          </w:p>
        </w:tc>
        <w:tc>
          <w:tcPr>
            <w:tcW w:w="2977" w:type="dxa"/>
            <w:gridSpan w:val="4"/>
          </w:tcPr>
          <w:p>
            <w:pPr>
              <w:pStyle w:val="130"/>
              <w:tabs>
                <w:tab w:val="right" w:pos="2893"/>
              </w:tabs>
              <w:spacing w:after="0"/>
            </w:pPr>
            <w:r>
              <w:t xml:space="preserve"> Other core specifications</w:t>
            </w:r>
            <w:r>
              <w:tab/>
            </w:r>
          </w:p>
        </w:tc>
        <w:tc>
          <w:tcPr>
            <w:tcW w:w="3401" w:type="dxa"/>
            <w:gridSpan w:val="3"/>
            <w:tcBorders>
              <w:right w:val="single" w:color="auto" w:sz="4" w:space="0"/>
            </w:tcBorders>
            <w:shd w:val="pct30" w:color="FFFF00" w:fill="auto"/>
          </w:tcPr>
          <w:p>
            <w:pPr>
              <w:pStyle w:val="130"/>
              <w:spacing w:after="0"/>
              <w:ind w:left="99"/>
              <w:rPr>
                <w:rFonts w:eastAsia="宋体"/>
                <w:lang w:eastAsia="zh-CN"/>
              </w:rPr>
            </w:pPr>
            <w:r>
              <w:t>TS/TR ... CR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30"/>
              <w:spacing w:after="0"/>
              <w:rPr>
                <w:b/>
                <w:i/>
              </w:rPr>
            </w:pPr>
            <w:r>
              <w:rPr>
                <w:b/>
                <w:i/>
              </w:rPr>
              <w:t>affected:</w:t>
            </w:r>
          </w:p>
        </w:tc>
        <w:tc>
          <w:tcPr>
            <w:tcW w:w="284" w:type="dxa"/>
            <w:tcBorders>
              <w:top w:val="single" w:color="auto" w:sz="4" w:space="0"/>
              <w:left w:val="single" w:color="auto" w:sz="4" w:space="0"/>
              <w:bottom w:val="single" w:color="auto" w:sz="4" w:space="0"/>
            </w:tcBorders>
            <w:shd w:val="pct25" w:color="FFFF00" w:fill="auto"/>
          </w:tcPr>
          <w:p>
            <w:pPr>
              <w:pStyle w:val="130"/>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130"/>
              <w:spacing w:after="0"/>
              <w:jc w:val="center"/>
              <w:rPr>
                <w:b/>
                <w:caps/>
              </w:rPr>
            </w:pPr>
            <w:r>
              <w:rPr>
                <w:b/>
                <w:caps/>
              </w:rPr>
              <w:t>x</w:t>
            </w:r>
          </w:p>
        </w:tc>
        <w:tc>
          <w:tcPr>
            <w:tcW w:w="2977" w:type="dxa"/>
            <w:gridSpan w:val="4"/>
          </w:tcPr>
          <w:p>
            <w:pPr>
              <w:pStyle w:val="130"/>
              <w:spacing w:after="0"/>
            </w:pPr>
            <w:r>
              <w:t xml:space="preserve"> Test specifications</w:t>
            </w:r>
          </w:p>
        </w:tc>
        <w:tc>
          <w:tcPr>
            <w:tcW w:w="3401" w:type="dxa"/>
            <w:gridSpan w:val="3"/>
            <w:tcBorders>
              <w:right w:val="single" w:color="auto" w:sz="4" w:space="0"/>
            </w:tcBorders>
            <w:shd w:val="pct30" w:color="FFFF00" w:fill="auto"/>
          </w:tcPr>
          <w:p>
            <w:pPr>
              <w:pStyle w:val="130"/>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30"/>
              <w:spacing w:after="0"/>
              <w:rPr>
                <w:b/>
                <w:i/>
              </w:rPr>
            </w:pPr>
            <w:r>
              <w:rPr>
                <w:b/>
                <w:i/>
              </w:rPr>
              <w:t>(show related CRs)</w:t>
            </w:r>
          </w:p>
        </w:tc>
        <w:tc>
          <w:tcPr>
            <w:tcW w:w="284" w:type="dxa"/>
            <w:tcBorders>
              <w:top w:val="single" w:color="auto" w:sz="4" w:space="0"/>
              <w:left w:val="single" w:color="auto" w:sz="4" w:space="0"/>
              <w:bottom w:val="single" w:color="auto" w:sz="4" w:space="0"/>
            </w:tcBorders>
            <w:shd w:val="pct25" w:color="FFFF00" w:fill="auto"/>
          </w:tcPr>
          <w:p>
            <w:pPr>
              <w:pStyle w:val="130"/>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130"/>
              <w:spacing w:after="0"/>
              <w:jc w:val="center"/>
              <w:rPr>
                <w:b/>
                <w:caps/>
              </w:rPr>
            </w:pPr>
            <w:r>
              <w:rPr>
                <w:b/>
                <w:caps/>
              </w:rPr>
              <w:t>x</w:t>
            </w:r>
          </w:p>
        </w:tc>
        <w:tc>
          <w:tcPr>
            <w:tcW w:w="2977" w:type="dxa"/>
            <w:gridSpan w:val="4"/>
          </w:tcPr>
          <w:p>
            <w:pPr>
              <w:pStyle w:val="130"/>
              <w:spacing w:after="0"/>
            </w:pPr>
            <w:r>
              <w:t xml:space="preserve"> O&amp;M Specifications</w:t>
            </w:r>
          </w:p>
        </w:tc>
        <w:tc>
          <w:tcPr>
            <w:tcW w:w="3401" w:type="dxa"/>
            <w:gridSpan w:val="3"/>
            <w:tcBorders>
              <w:right w:val="single" w:color="auto" w:sz="4" w:space="0"/>
            </w:tcBorders>
            <w:shd w:val="pct30" w:color="FFFF00" w:fill="auto"/>
          </w:tcPr>
          <w:p>
            <w:pPr>
              <w:pStyle w:val="130"/>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30"/>
              <w:spacing w:after="0"/>
              <w:rPr>
                <w:b/>
                <w:i/>
              </w:rPr>
            </w:pPr>
          </w:p>
        </w:tc>
        <w:tc>
          <w:tcPr>
            <w:tcW w:w="6946" w:type="dxa"/>
            <w:gridSpan w:val="9"/>
            <w:tcBorders>
              <w:right w:val="single" w:color="auto" w:sz="4" w:space="0"/>
            </w:tcBorders>
          </w:tcPr>
          <w:p>
            <w:pPr>
              <w:pStyle w:val="130"/>
              <w:spacing w:after="0"/>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130"/>
              <w:tabs>
                <w:tab w:val="right" w:pos="2184"/>
              </w:tabs>
              <w:spacing w:after="0"/>
              <w:rPr>
                <w:b/>
                <w:i/>
              </w:rPr>
            </w:pPr>
            <w:r>
              <w:rPr>
                <w:b/>
                <w:i/>
              </w:rPr>
              <w:t>Other comments:</w:t>
            </w:r>
          </w:p>
        </w:tc>
        <w:tc>
          <w:tcPr>
            <w:tcW w:w="6946" w:type="dxa"/>
            <w:gridSpan w:val="9"/>
            <w:tcBorders>
              <w:bottom w:val="single" w:color="auto" w:sz="4" w:space="0"/>
              <w:right w:val="single" w:color="auto" w:sz="4" w:space="0"/>
            </w:tcBorders>
            <w:shd w:val="pct30" w:color="FFFF00" w:fill="auto"/>
          </w:tcPr>
          <w:p>
            <w:pPr>
              <w:pStyle w:val="130"/>
              <w:spacing w:after="0"/>
              <w:ind w:left="100"/>
            </w:pPr>
            <w:r>
              <w:t>This Running CR is based on the version 16.6.0 of TS 38.300</w:t>
            </w:r>
          </w:p>
        </w:tc>
      </w:tr>
      <w:tr>
        <w:tblPrEx>
          <w:tblCellMar>
            <w:top w:w="0" w:type="dxa"/>
            <w:left w:w="42" w:type="dxa"/>
            <w:bottom w:w="0" w:type="dxa"/>
            <w:right w:w="42" w:type="dxa"/>
          </w:tblCellMar>
        </w:tblPrEx>
        <w:tc>
          <w:tcPr>
            <w:tcW w:w="2694" w:type="dxa"/>
            <w:gridSpan w:val="2"/>
            <w:tcBorders>
              <w:top w:val="single" w:color="auto" w:sz="4" w:space="0"/>
              <w:bottom w:val="single" w:color="auto" w:sz="4" w:space="0"/>
            </w:tcBorders>
          </w:tcPr>
          <w:p>
            <w:pPr>
              <w:pStyle w:val="130"/>
              <w:tabs>
                <w:tab w:val="right" w:pos="2184"/>
              </w:tabs>
              <w:spacing w:after="0"/>
              <w:rPr>
                <w:b/>
                <w:i/>
                <w:sz w:val="8"/>
                <w:szCs w:val="8"/>
              </w:rPr>
            </w:pPr>
          </w:p>
        </w:tc>
        <w:tc>
          <w:tcPr>
            <w:tcW w:w="6946" w:type="dxa"/>
            <w:gridSpan w:val="9"/>
            <w:tcBorders>
              <w:top w:val="single" w:color="auto" w:sz="4" w:space="0"/>
              <w:bottom w:val="single" w:color="auto" w:sz="4" w:space="0"/>
            </w:tcBorders>
            <w:shd w:val="solid" w:color="FFFFFF" w:fill="auto"/>
          </w:tcPr>
          <w:p>
            <w:pPr>
              <w:pStyle w:val="130"/>
              <w:spacing w:after="0"/>
              <w:ind w:left="10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bottom w:val="single" w:color="auto" w:sz="4" w:space="0"/>
            </w:tcBorders>
          </w:tcPr>
          <w:p>
            <w:pPr>
              <w:pStyle w:val="130"/>
              <w:tabs>
                <w:tab w:val="right" w:pos="2184"/>
              </w:tabs>
              <w:spacing w:after="0"/>
              <w:rPr>
                <w:b/>
                <w:i/>
              </w:rPr>
            </w:pPr>
            <w:r>
              <w:rPr>
                <w:b/>
                <w:i/>
              </w:rPr>
              <w:t>This CR's revision history:</w:t>
            </w:r>
          </w:p>
        </w:tc>
        <w:tc>
          <w:tcPr>
            <w:tcW w:w="6946" w:type="dxa"/>
            <w:gridSpan w:val="9"/>
            <w:tcBorders>
              <w:top w:val="single" w:color="auto" w:sz="4" w:space="0"/>
              <w:bottom w:val="single" w:color="auto" w:sz="4" w:space="0"/>
              <w:right w:val="single" w:color="auto" w:sz="4" w:space="0"/>
            </w:tcBorders>
            <w:shd w:val="pct30" w:color="FFFF00" w:fill="auto"/>
          </w:tcPr>
          <w:p>
            <w:pPr>
              <w:pStyle w:val="130"/>
              <w:spacing w:after="0"/>
              <w:ind w:left="100"/>
            </w:pPr>
          </w:p>
        </w:tc>
      </w:tr>
    </w:tbl>
    <w:p>
      <w:pPr>
        <w:pStyle w:val="130"/>
        <w:spacing w:after="0"/>
        <w:rPr>
          <w:sz w:val="8"/>
          <w:szCs w:val="8"/>
        </w:rPr>
      </w:pPr>
    </w:p>
    <w:p>
      <w:pPr>
        <w:spacing w:after="0"/>
        <w:rPr>
          <w:rFonts w:eastAsia="宋体"/>
          <w:lang w:eastAsia="zh-CN"/>
        </w:rPr>
      </w:pPr>
      <w:r>
        <w:rPr>
          <w:rFonts w:eastAsia="宋体"/>
          <w:lang w:eastAsia="zh-CN"/>
        </w:rPr>
        <w:br w:type="page"/>
      </w:r>
    </w:p>
    <w:p>
      <w:pPr>
        <w:pBdr>
          <w:top w:val="single" w:color="auto" w:sz="4" w:space="1"/>
          <w:left w:val="single" w:color="auto" w:sz="4" w:space="4"/>
          <w:bottom w:val="single" w:color="auto" w:sz="4" w:space="1"/>
          <w:right w:val="single" w:color="auto" w:sz="4" w:space="4"/>
        </w:pBdr>
        <w:shd w:val="clear" w:color="auto" w:fill="FFFF99"/>
        <w:spacing w:before="240" w:after="240"/>
        <w:jc w:val="center"/>
        <w:rPr>
          <w:i/>
        </w:rPr>
      </w:pPr>
      <w:bookmarkStart w:id="0" w:name="_Toc500511687"/>
      <w:bookmarkStart w:id="1" w:name="_Toc501040585"/>
      <w:r>
        <w:rPr>
          <w:i/>
        </w:rPr>
        <w:t>First Modified Subclause</w:t>
      </w:r>
    </w:p>
    <w:bookmarkEnd w:id="0"/>
    <w:bookmarkEnd w:id="1"/>
    <w:p/>
    <w:p>
      <w:pPr>
        <w:pStyle w:val="4"/>
      </w:pPr>
      <w:bookmarkStart w:id="2" w:name="_Toc37231914"/>
      <w:bookmarkStart w:id="3" w:name="_Toc46501969"/>
      <w:bookmarkStart w:id="4" w:name="_Toc51971317"/>
      <w:bookmarkStart w:id="5" w:name="_Toc52551300"/>
      <w:bookmarkStart w:id="6" w:name="_Toc76504952"/>
      <w:r>
        <w:t>6.11.1</w:t>
      </w:r>
      <w:r>
        <w:tab/>
      </w:r>
      <w:r>
        <w:t>Services and Functions</w:t>
      </w:r>
      <w:bookmarkEnd w:id="2"/>
      <w:bookmarkEnd w:id="3"/>
      <w:bookmarkEnd w:id="4"/>
      <w:bookmarkEnd w:id="5"/>
      <w:bookmarkEnd w:id="6"/>
    </w:p>
    <w:p>
      <w:pPr>
        <w:rPr>
          <w:lang w:eastAsia="zh-CN"/>
        </w:rPr>
      </w:pPr>
      <w:r>
        <w:rPr>
          <w:lang w:eastAsia="zh-CN"/>
        </w:rPr>
        <w:t>The main service and functions of the BAP sublayer include:</w:t>
      </w:r>
    </w:p>
    <w:p>
      <w:pPr>
        <w:pStyle w:val="135"/>
      </w:pPr>
      <w:r>
        <w:t>-</w:t>
      </w:r>
      <w:r>
        <w:tab/>
      </w:r>
      <w:r>
        <w:t>Transfer of data;</w:t>
      </w:r>
    </w:p>
    <w:p>
      <w:pPr>
        <w:pStyle w:val="135"/>
        <w:rPr>
          <w:lang w:eastAsia="ko-KR"/>
        </w:rPr>
      </w:pPr>
      <w:r>
        <w:rPr>
          <w:lang w:eastAsia="ko-KR"/>
        </w:rPr>
        <w:t>-</w:t>
      </w:r>
      <w:r>
        <w:rPr>
          <w:lang w:eastAsia="ko-KR"/>
        </w:rPr>
        <w:tab/>
      </w:r>
      <w:r>
        <w:rPr>
          <w:lang w:eastAsia="ko-KR"/>
        </w:rPr>
        <w:t>Routing of packets to next hop;</w:t>
      </w:r>
    </w:p>
    <w:p>
      <w:pPr>
        <w:pStyle w:val="135"/>
        <w:rPr>
          <w:lang w:eastAsia="ko-KR"/>
        </w:rPr>
      </w:pPr>
      <w:r>
        <w:rPr>
          <w:lang w:eastAsia="ko-KR"/>
        </w:rPr>
        <w:t>-</w:t>
      </w:r>
      <w:r>
        <w:rPr>
          <w:lang w:eastAsia="ko-KR"/>
        </w:rPr>
        <w:tab/>
      </w:r>
      <w:r>
        <w:rPr>
          <w:lang w:eastAsia="ko-KR"/>
        </w:rPr>
        <w:t>Determination of BAP destination and BAP path for packets from upper layers;</w:t>
      </w:r>
    </w:p>
    <w:p>
      <w:pPr>
        <w:pStyle w:val="135"/>
        <w:rPr>
          <w:lang w:eastAsia="ko-KR"/>
        </w:rPr>
      </w:pPr>
      <w:r>
        <w:rPr>
          <w:lang w:eastAsia="ko-KR"/>
        </w:rPr>
        <w:t>-</w:t>
      </w:r>
      <w:r>
        <w:rPr>
          <w:lang w:eastAsia="ko-KR"/>
        </w:rPr>
        <w:tab/>
      </w:r>
      <w:r>
        <w:rPr>
          <w:lang w:eastAsia="ko-KR"/>
        </w:rPr>
        <w:t>Determination of egress BH RLC channels for packets routed to next hop;</w:t>
      </w:r>
    </w:p>
    <w:p>
      <w:pPr>
        <w:pStyle w:val="135"/>
        <w:rPr>
          <w:lang w:eastAsia="ko-KR"/>
        </w:rPr>
      </w:pPr>
      <w:r>
        <w:rPr>
          <w:lang w:eastAsia="ko-KR"/>
        </w:rPr>
        <w:t>-</w:t>
      </w:r>
      <w:r>
        <w:rPr>
          <w:lang w:eastAsia="ko-KR"/>
        </w:rPr>
        <w:tab/>
      </w:r>
      <w:r>
        <w:rPr>
          <w:lang w:eastAsia="ko-KR"/>
        </w:rPr>
        <w:t>Differentiating traffic to be delivered to upper layers from traffic to be delivered to egress link;</w:t>
      </w:r>
    </w:p>
    <w:p>
      <w:pPr>
        <w:pStyle w:val="135"/>
      </w:pPr>
      <w:r>
        <w:t>-</w:t>
      </w:r>
      <w:r>
        <w:tab/>
      </w:r>
      <w:r>
        <w:t xml:space="preserve">Flow control feedback </w:t>
      </w:r>
      <w:r>
        <w:rPr>
          <w:rFonts w:eastAsia="等线"/>
          <w:lang w:eastAsia="zh-CN"/>
        </w:rPr>
        <w:t>and polling</w:t>
      </w:r>
      <w:r>
        <w:t xml:space="preserve"> signalling;</w:t>
      </w:r>
    </w:p>
    <w:p>
      <w:pPr>
        <w:pStyle w:val="135"/>
        <w:rPr>
          <w:ins w:id="0" w:author="QC-4" w:date="2021-09-08T20:06:00Z"/>
        </w:rPr>
      </w:pPr>
      <w:commentRangeStart w:id="0"/>
      <w:commentRangeStart w:id="1"/>
      <w:commentRangeStart w:id="2"/>
      <w:commentRangeStart w:id="3"/>
      <w:commentRangeStart w:id="4"/>
      <w:r>
        <w:t>-</w:t>
      </w:r>
      <w:r>
        <w:tab/>
      </w:r>
      <w:r>
        <w:t xml:space="preserve">BH RLF </w:t>
      </w:r>
      <w:ins w:id="1" w:author="QC-3" w:date="2021-09-06T09:38:00Z">
        <w:r>
          <w:rPr/>
          <w:t xml:space="preserve">detection </w:t>
        </w:r>
      </w:ins>
      <w:r>
        <w:t>indication</w:t>
      </w:r>
      <w:ins w:id="2" w:author="QC-3" w:date="2021-09-06T11:07:00Z">
        <w:r>
          <w:rPr/>
          <w:t>,</w:t>
        </w:r>
      </w:ins>
      <w:ins w:id="3" w:author="QC-3" w:date="2021-09-06T09:38:00Z">
        <w:r>
          <w:rPr/>
          <w:t xml:space="preserve"> BH recovery indication, and BH recovery failure indication</w:t>
        </w:r>
      </w:ins>
      <w:r>
        <w:t>.</w:t>
      </w:r>
      <w:commentRangeEnd w:id="0"/>
      <w:r>
        <w:rPr>
          <w:rStyle w:val="69"/>
        </w:rPr>
        <w:commentReference w:id="0"/>
      </w:r>
      <w:commentRangeEnd w:id="1"/>
      <w:r>
        <w:rPr>
          <w:rStyle w:val="69"/>
        </w:rPr>
        <w:commentReference w:id="1"/>
      </w:r>
      <w:commentRangeEnd w:id="2"/>
      <w:r>
        <w:rPr>
          <w:rStyle w:val="69"/>
        </w:rPr>
        <w:commentReference w:id="2"/>
      </w:r>
      <w:commentRangeEnd w:id="3"/>
      <w:r>
        <w:rPr>
          <w:rStyle w:val="69"/>
        </w:rPr>
        <w:commentReference w:id="3"/>
      </w:r>
      <w:commentRangeEnd w:id="4"/>
      <w:r>
        <w:rPr>
          <w:rStyle w:val="69"/>
        </w:rPr>
        <w:commentReference w:id="4"/>
      </w:r>
    </w:p>
    <w:p>
      <w:pPr>
        <w:pStyle w:val="135"/>
        <w:rPr>
          <w:color w:val="FF0000"/>
        </w:rPr>
      </w:pPr>
      <w:ins w:id="4" w:author="QC-4" w:date="2021-09-08T20:07:00Z">
        <w:r>
          <w:rPr>
            <w:color w:val="FF0000"/>
          </w:rPr>
          <w:t xml:space="preserve">Editor’s NOTE: The terms </w:t>
        </w:r>
      </w:ins>
      <w:ins w:id="5" w:author="QC-4" w:date="2021-09-08T20:07:00Z">
        <w:r>
          <w:rPr>
            <w:i/>
            <w:iCs/>
            <w:color w:val="FF0000"/>
          </w:rPr>
          <w:t>BH RLF detection indication</w:t>
        </w:r>
      </w:ins>
      <w:ins w:id="6" w:author="QC-4" w:date="2021-09-08T20:07:00Z">
        <w:r>
          <w:rPr>
            <w:color w:val="FF0000"/>
          </w:rPr>
          <w:t xml:space="preserve">, </w:t>
        </w:r>
      </w:ins>
      <w:ins w:id="7" w:author="QC-4" w:date="2021-09-08T20:07:00Z">
        <w:r>
          <w:rPr>
            <w:i/>
            <w:iCs/>
            <w:color w:val="FF0000"/>
          </w:rPr>
          <w:t>BH recovery indication</w:t>
        </w:r>
      </w:ins>
      <w:ins w:id="8" w:author="QC-4" w:date="2021-09-08T20:07:00Z">
        <w:r>
          <w:rPr>
            <w:color w:val="FF0000"/>
          </w:rPr>
          <w:t xml:space="preserve">, and </w:t>
        </w:r>
      </w:ins>
      <w:ins w:id="9" w:author="QC-4" w:date="2021-09-08T20:07:00Z">
        <w:r>
          <w:rPr>
            <w:i/>
            <w:iCs/>
            <w:color w:val="FF0000"/>
          </w:rPr>
          <w:t>BH recovery failure indication</w:t>
        </w:r>
      </w:ins>
      <w:ins w:id="10" w:author="QC-4" w:date="2021-09-08T20:07:00Z">
        <w:r>
          <w:rPr>
            <w:color w:val="FF0000"/>
          </w:rPr>
          <w:t xml:space="preserve"> </w:t>
        </w:r>
      </w:ins>
      <w:ins w:id="11" w:author="QC-4" w:date="2021-09-08T20:12:00Z">
        <w:r>
          <w:rPr>
            <w:color w:val="FF0000"/>
          </w:rPr>
          <w:t>may have to be revised</w:t>
        </w:r>
      </w:ins>
      <w:ins w:id="12" w:author="QC-4" w:date="2021-09-08T20:08:00Z">
        <w:r>
          <w:rPr>
            <w:color w:val="FF0000"/>
          </w:rPr>
          <w:t>.</w:t>
        </w:r>
      </w:ins>
    </w:p>
    <w:p>
      <w:pPr>
        <w:pBdr>
          <w:top w:val="single" w:color="auto" w:sz="4" w:space="1"/>
          <w:left w:val="single" w:color="auto" w:sz="4" w:space="4"/>
          <w:bottom w:val="single" w:color="auto" w:sz="4" w:space="2"/>
          <w:right w:val="single" w:color="auto" w:sz="4" w:space="4"/>
        </w:pBdr>
        <w:shd w:val="clear" w:color="auto" w:fill="FFFF99"/>
        <w:spacing w:before="240" w:after="240"/>
        <w:jc w:val="center"/>
        <w:rPr>
          <w:i/>
        </w:rPr>
      </w:pPr>
      <w:r>
        <w:rPr>
          <w:i/>
        </w:rPr>
        <w:t>Next Modification</w:t>
      </w:r>
    </w:p>
    <w:p>
      <w:pPr>
        <w:pStyle w:val="4"/>
      </w:pPr>
      <w:bookmarkStart w:id="7" w:name="_Toc51971319"/>
      <w:bookmarkStart w:id="8" w:name="_Toc46501971"/>
      <w:bookmarkStart w:id="9" w:name="_Toc76504954"/>
      <w:bookmarkStart w:id="10" w:name="_Toc37231916"/>
      <w:bookmarkStart w:id="11" w:name="_Toc52551302"/>
      <w:r>
        <w:t>6.11.3</w:t>
      </w:r>
      <w:r>
        <w:tab/>
      </w:r>
      <w:r>
        <w:t>Routing and BH-RLC-channel mapping on BAP sublayer</w:t>
      </w:r>
      <w:bookmarkEnd w:id="7"/>
      <w:bookmarkEnd w:id="8"/>
      <w:bookmarkEnd w:id="9"/>
      <w:bookmarkEnd w:id="10"/>
      <w:bookmarkEnd w:id="11"/>
    </w:p>
    <w:p>
      <w:pPr>
        <w:pStyle w:val="112"/>
      </w:pPr>
      <w:r>
        <w:object>
          <v:shape id="_x0000_i1025" o:spt="75" type="#_x0000_t75" style="height:188.25pt;width:256.5pt;" o:ole="t" filled="f" o:preferrelative="t" stroked="f" coordsize="21600,21600">
            <v:path/>
            <v:fill on="f" focussize="0,0"/>
            <v:stroke on="f" joinstyle="miter"/>
            <v:imagedata r:id="rId11" o:title=""/>
            <o:lock v:ext="edit" aspectratio="t"/>
            <w10:wrap type="none"/>
            <w10:anchorlock/>
          </v:shape>
          <o:OLEObject Type="Embed" ProgID="Visio.Drawing.11" ShapeID="_x0000_i1025" DrawAspect="Content" ObjectID="_1468075725" r:id="rId10">
            <o:LockedField>false</o:LockedField>
          </o:OLEObject>
        </w:object>
      </w:r>
    </w:p>
    <w:p>
      <w:pPr>
        <w:pStyle w:val="153"/>
      </w:pPr>
      <w:r>
        <w:t>Figure 6.11.3-1: Routing and BH RLC channel selection on BAP sublayer</w:t>
      </w:r>
    </w:p>
    <w:p>
      <w:pPr>
        <w:rPr>
          <w:lang w:eastAsia="zh-CN"/>
        </w:rPr>
      </w:pPr>
      <w:r>
        <w:rPr>
          <w:lang w:eastAsia="zh-CN"/>
        </w:rPr>
        <w:t>Routing on BAP sublayer uses the BAP routing ID, which is configured by the IAB-donor-CU. The BAP routing ID consists of BAP address and BAP path ID. The BAP address is used for the following purposes:</w:t>
      </w:r>
    </w:p>
    <w:p>
      <w:pPr>
        <w:pStyle w:val="135"/>
        <w:ind w:left="576" w:hanging="288"/>
        <w:rPr>
          <w:lang w:eastAsia="en-GB"/>
        </w:rPr>
      </w:pPr>
      <w:r>
        <w:rPr>
          <w:lang w:eastAsia="en-GB"/>
        </w:rPr>
        <w:t>1.</w:t>
      </w:r>
      <w:r>
        <w:rPr>
          <w:lang w:eastAsia="en-GB"/>
        </w:rPr>
        <w:tab/>
      </w:r>
      <w:r>
        <w:rPr>
          <w:lang w:eastAsia="en-GB"/>
        </w:rPr>
        <w:t>Determination if a packet has reached the destination node, i.e. IAB-node or IAB-donor-DU, on BAP sublayer. This is the case if the BAP address in the packet's BAP header matches the BAP address configured via RRC on the IAB-node, or via F1AP on the IAB-donor-DU.</w:t>
      </w:r>
    </w:p>
    <w:p>
      <w:pPr>
        <w:pStyle w:val="135"/>
        <w:ind w:left="576" w:hanging="288"/>
        <w:rPr>
          <w:lang w:eastAsia="en-GB"/>
        </w:rPr>
      </w:pPr>
      <w:r>
        <w:rPr>
          <w:lang w:eastAsia="en-GB"/>
        </w:rPr>
        <w:t>2.</w:t>
      </w:r>
      <w:r>
        <w:rPr>
          <w:lang w:eastAsia="en-GB"/>
        </w:rPr>
        <w:tab/>
      </w:r>
      <w:r>
        <w:rPr>
          <w:lang w:eastAsia="en-GB"/>
        </w:rPr>
        <w:t>Determination of the next-hop node for packets that have not reached their destination. This applies to packets arriving from a prior hop on BAP sublayer or that have been received from IP layer.</w:t>
      </w:r>
    </w:p>
    <w:p>
      <w:pPr>
        <w:rPr>
          <w:lang w:eastAsia="zh-CN"/>
        </w:rPr>
      </w:pPr>
      <w:r>
        <w:rPr>
          <w:lang w:eastAsia="zh-CN"/>
        </w:rPr>
        <w:t>For packets arriving from a prior hop or from upper layers, the determination of the next-hop node is based on a routing configuration provided by the IAB-donor-CU via F1AP signalling or a default configuration provided by the IAB-donor-CU via RRC signalling. This F1AP configuration contains the mapping between the BAP routing ID carried in the packet's BAP header and the next-hop node's BAP address.</w:t>
      </w:r>
    </w:p>
    <w:p>
      <w:pPr>
        <w:pStyle w:val="112"/>
      </w:pPr>
      <w:r>
        <w:t>Table 6.11.3-1: Routing configuration</w:t>
      </w:r>
    </w:p>
    <w:tbl>
      <w:tblPr>
        <w:tblStyle w:val="59"/>
        <w:tblW w:w="0" w:type="auto"/>
        <w:tblInd w:w="8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780"/>
        <w:gridCol w:w="3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80" w:type="dxa"/>
            <w:shd w:val="clear" w:color="auto" w:fill="D8D8D8" w:themeFill="background1" w:themeFillShade="D9"/>
          </w:tcPr>
          <w:p>
            <w:pPr>
              <w:pStyle w:val="106"/>
            </w:pPr>
            <w:r>
              <w:t>BAP routing ID</w:t>
            </w:r>
          </w:p>
        </w:tc>
        <w:tc>
          <w:tcPr>
            <w:tcW w:w="3420" w:type="dxa"/>
            <w:shd w:val="clear" w:color="auto" w:fill="FFFFFF" w:themeFill="background1"/>
          </w:tcPr>
          <w:p>
            <w:pPr>
              <w:pStyle w:val="106"/>
            </w:pPr>
            <w:r>
              <w:t>Next-hop BAP address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80" w:type="dxa"/>
            <w:shd w:val="clear" w:color="auto" w:fill="D8D8D8" w:themeFill="background1" w:themeFillShade="D9"/>
          </w:tcPr>
          <w:p>
            <w:pPr>
              <w:pStyle w:val="107"/>
            </w:pPr>
            <w:r>
              <w:t>Derived from BAP packet's BAP header</w:t>
            </w:r>
          </w:p>
        </w:tc>
        <w:tc>
          <w:tcPr>
            <w:tcW w:w="3420" w:type="dxa"/>
            <w:shd w:val="clear" w:color="auto" w:fill="FFFFFF" w:themeFill="background1"/>
          </w:tcPr>
          <w:p>
            <w:pPr>
              <w:pStyle w:val="107"/>
            </w:pPr>
            <w:r>
              <w:t>Egress link to forward packet</w:t>
            </w:r>
          </w:p>
        </w:tc>
      </w:tr>
    </w:tbl>
    <w:p>
      <w:pPr>
        <w:rPr>
          <w:lang w:eastAsia="zh-CN"/>
        </w:rPr>
      </w:pPr>
    </w:p>
    <w:p>
      <w:pPr>
        <w:rPr>
          <w:lang w:eastAsia="zh-CN"/>
        </w:rPr>
      </w:pPr>
      <w:r>
        <w:rPr>
          <w:lang w:eastAsia="zh-CN"/>
        </w:rPr>
        <w:t>The IAB-node resolves the next-hop BAP address to a physical backhaul link. For this purpose, the IAB-donor-CU provides the IAB-node/IAB-donor-DU with its child-node's BAP address via F1AP, and it provides the IAB-node with its parent-node's BAP address via RRC.</w:t>
      </w:r>
    </w:p>
    <w:p>
      <w:pPr>
        <w:rPr>
          <w:ins w:id="13" w:author="QC-3" w:date="2021-09-06T10:12:00Z"/>
          <w:lang w:eastAsia="zh-CN"/>
        </w:rPr>
      </w:pPr>
      <w:r>
        <w:rPr>
          <w:lang w:eastAsia="zh-CN"/>
        </w:rPr>
        <w:t xml:space="preserve">The IAB-node can receive multiple routing configurations with the same destination BAP address but different BAP path IDs. These routing configurations may resolve to the same or different egress BH links. In case the BH link </w:t>
      </w:r>
      <w:del w:id="14" w:author="QC-3" w:date="2021-09-06T10:16:00Z">
        <w:r>
          <w:rPr>
            <w:lang w:eastAsia="zh-CN"/>
          </w:rPr>
          <w:delText xml:space="preserve">has </w:delText>
        </w:r>
      </w:del>
      <w:ins w:id="15" w:author="QC-3" w:date="2021-09-06T10:20:00Z">
        <w:commentRangeStart w:id="5"/>
        <w:r>
          <w:rPr>
            <w:lang w:eastAsia="zh-CN"/>
          </w:rPr>
          <w:t>resolved from the routing entry</w:t>
        </w:r>
      </w:ins>
      <w:ins w:id="16" w:author="QC-4" w:date="2021-09-08T19:31:00Z">
        <w:r>
          <w:rPr>
            <w:lang w:eastAsia="zh-CN"/>
          </w:rPr>
          <w:t xml:space="preserve"> </w:t>
        </w:r>
        <w:commentRangeEnd w:id="5"/>
      </w:ins>
      <w:r>
        <w:rPr>
          <w:rStyle w:val="69"/>
        </w:rPr>
        <w:commentReference w:id="5"/>
      </w:r>
      <w:ins w:id="17" w:author="QC-4" w:date="2021-09-08T19:31:00Z">
        <w:r>
          <w:rPr>
            <w:lang w:eastAsia="zh-CN"/>
          </w:rPr>
          <w:t>an</w:t>
        </w:r>
      </w:ins>
      <w:ins w:id="18" w:author="QC-4" w:date="2021-09-08T19:32:00Z">
        <w:r>
          <w:rPr>
            <w:lang w:eastAsia="zh-CN"/>
          </w:rPr>
          <w:t>d</w:t>
        </w:r>
      </w:ins>
      <w:ins w:id="19" w:author="QC-4" w:date="2021-09-08T19:33:00Z">
        <w:r>
          <w:rPr>
            <w:lang w:eastAsia="zh-CN"/>
          </w:rPr>
          <w:t xml:space="preserve"> the</w:t>
        </w:r>
      </w:ins>
      <w:ins w:id="20" w:author="QC-4" w:date="2021-09-08T19:32:00Z">
        <w:r>
          <w:rPr>
            <w:lang w:eastAsia="zh-CN"/>
          </w:rPr>
          <w:t xml:space="preserve"> packet’s BAP routing ID</w:t>
        </w:r>
      </w:ins>
      <w:ins w:id="21" w:author="QC-3" w:date="2021-09-06T10:20:00Z">
        <w:r>
          <w:rPr>
            <w:lang w:eastAsia="zh-CN"/>
          </w:rPr>
          <w:t xml:space="preserve"> </w:t>
        </w:r>
      </w:ins>
      <w:ins w:id="22" w:author="QC-3" w:date="2021-09-06T10:16:00Z">
        <w:r>
          <w:rPr>
            <w:lang w:eastAsia="zh-CN"/>
          </w:rPr>
          <w:t xml:space="preserve">is </w:t>
        </w:r>
      </w:ins>
      <w:ins w:id="23" w:author="QC-4" w:date="2021-09-08T19:28:00Z">
        <w:r>
          <w:rPr>
            <w:lang w:eastAsia="zh-CN"/>
          </w:rPr>
          <w:t xml:space="preserve">considered </w:t>
        </w:r>
      </w:ins>
      <w:ins w:id="24" w:author="QC-3" w:date="2021-09-06T11:12:00Z">
        <w:r>
          <w:rPr>
            <w:lang w:eastAsia="zh-CN"/>
          </w:rPr>
          <w:t>unavailable</w:t>
        </w:r>
      </w:ins>
      <w:ins w:id="25" w:author="QC-4" w:date="2021-09-08T19:40:00Z">
        <w:r>
          <w:rPr>
            <w:lang w:eastAsia="zh-CN"/>
          </w:rPr>
          <w:t xml:space="preserve"> for this packet</w:t>
        </w:r>
      </w:ins>
      <w:ins w:id="26" w:author="QC-4" w:date="2021-09-08T19:26:00Z">
        <w:r>
          <w:rPr>
            <w:lang w:eastAsia="zh-CN"/>
          </w:rPr>
          <w:t xml:space="preserve"> </w:t>
        </w:r>
      </w:ins>
      <w:ins w:id="27" w:author="QC-3" w:date="2021-09-06T10:17:00Z">
        <w:del w:id="28" w:author="QC-4" w:date="2021-09-08T19:34:00Z">
          <w:commentRangeStart w:id="6"/>
          <w:commentRangeStart w:id="7"/>
          <w:commentRangeStart w:id="8"/>
          <w:commentRangeStart w:id="9"/>
          <w:r>
            <w:rPr>
              <w:lang w:eastAsia="zh-CN"/>
            </w:rPr>
            <w:delText xml:space="preserve"> </w:delText>
          </w:r>
        </w:del>
      </w:ins>
      <w:ins w:id="29" w:author="QC-3" w:date="2021-09-06T10:17:00Z">
        <w:del w:id="30" w:author="vivo" w:date="2021-09-08T14:48:00Z">
          <w:r>
            <w:rPr>
              <w:lang w:eastAsia="zh-CN"/>
            </w:rPr>
            <w:delText>or congested</w:delText>
          </w:r>
          <w:commentRangeEnd w:id="6"/>
        </w:del>
      </w:ins>
      <w:r>
        <w:rPr>
          <w:rStyle w:val="69"/>
        </w:rPr>
        <w:commentReference w:id="6"/>
      </w:r>
      <w:commentRangeEnd w:id="7"/>
      <w:r>
        <w:rPr>
          <w:rStyle w:val="69"/>
        </w:rPr>
        <w:commentReference w:id="7"/>
      </w:r>
      <w:commentRangeEnd w:id="8"/>
      <w:r>
        <w:rPr>
          <w:rStyle w:val="69"/>
        </w:rPr>
        <w:commentReference w:id="8"/>
      </w:r>
      <w:commentRangeEnd w:id="9"/>
      <w:r>
        <w:rPr>
          <w:rStyle w:val="69"/>
        </w:rPr>
        <w:commentReference w:id="9"/>
      </w:r>
      <w:del w:id="31" w:author="QC-3" w:date="2021-09-06T10:17:00Z">
        <w:r>
          <w:rPr>
            <w:lang w:eastAsia="zh-CN"/>
          </w:rPr>
          <w:delText>RLF</w:delText>
        </w:r>
      </w:del>
      <w:r>
        <w:rPr>
          <w:lang w:eastAsia="zh-CN"/>
        </w:rPr>
        <w:t xml:space="preserve">, the IAB-node may </w:t>
      </w:r>
      <w:ins w:id="32" w:author="QC-3" w:date="2021-09-06T10:29:00Z">
        <w:r>
          <w:rPr>
            <w:lang w:eastAsia="zh-CN"/>
          </w:rPr>
          <w:t>perform local rerouting</w:t>
        </w:r>
      </w:ins>
      <w:ins w:id="33" w:author="QC-4" w:date="2021-09-08T19:38:00Z">
        <w:r>
          <w:rPr>
            <w:lang w:eastAsia="zh-CN"/>
          </w:rPr>
          <w:t xml:space="preserve"> as defined in TS38.340 [zz]</w:t>
        </w:r>
      </w:ins>
      <w:ins w:id="34" w:author="QC-4" w:date="2021-09-08T19:33:00Z">
        <w:r>
          <w:rPr>
            <w:lang w:eastAsia="zh-CN"/>
          </w:rPr>
          <w:t xml:space="preserve">, </w:t>
        </w:r>
      </w:ins>
      <w:ins w:id="35" w:author="QC-3" w:date="2021-09-06T10:29:00Z">
        <w:r>
          <w:rPr>
            <w:lang w:eastAsia="zh-CN"/>
          </w:rPr>
          <w:t xml:space="preserve">i.e., </w:t>
        </w:r>
      </w:ins>
      <w:r>
        <w:rPr>
          <w:lang w:eastAsia="zh-CN"/>
        </w:rPr>
        <w:t xml:space="preserve">select another BH link </w:t>
      </w:r>
      <w:ins w:id="36" w:author="QC-4" w:date="2021-09-08T19:35:00Z">
        <w:commentRangeStart w:id="10"/>
        <w:r>
          <w:rPr>
            <w:lang w:eastAsia="zh-CN"/>
          </w:rPr>
          <w:t xml:space="preserve">by considering only the </w:t>
        </w:r>
      </w:ins>
      <w:ins w:id="37" w:author="QC-4" w:date="2021-09-08T19:36:00Z">
        <w:r>
          <w:rPr>
            <w:lang w:eastAsia="zh-CN"/>
          </w:rPr>
          <w:t xml:space="preserve">packet’s </w:t>
        </w:r>
      </w:ins>
      <w:ins w:id="38" w:author="QC-4" w:date="2021-09-08T19:35:00Z">
        <w:r>
          <w:rPr>
            <w:lang w:eastAsia="zh-CN"/>
          </w:rPr>
          <w:t xml:space="preserve">BAP address </w:t>
        </w:r>
      </w:ins>
      <w:del w:id="39" w:author="QC-4" w:date="2021-09-08T19:36:00Z">
        <w:r>
          <w:rPr>
            <w:lang w:eastAsia="zh-CN"/>
          </w:rPr>
          <w:delText>based on routing entries with the same destination BAP address</w:delText>
        </w:r>
      </w:del>
      <w:del w:id="40" w:author="QC-4" w:date="2021-09-08T19:29:00Z">
        <w:r>
          <w:rPr>
            <w:lang w:eastAsia="zh-CN"/>
          </w:rPr>
          <w:delText>, i.e.,</w:delText>
        </w:r>
      </w:del>
      <w:del w:id="41" w:author="QC-4" w:date="2021-09-08T19:36:00Z">
        <w:r>
          <w:rPr>
            <w:lang w:eastAsia="zh-CN"/>
          </w:rPr>
          <w:delText xml:space="preserve"> by</w:delText>
        </w:r>
        <w:commentRangeEnd w:id="10"/>
      </w:del>
      <w:r>
        <w:rPr>
          <w:rStyle w:val="69"/>
        </w:rPr>
        <w:commentReference w:id="10"/>
      </w:r>
      <w:ins w:id="42" w:author="QC-4" w:date="2021-09-08T19:36:00Z">
        <w:r>
          <w:rPr>
            <w:lang w:eastAsia="zh-CN"/>
          </w:rPr>
          <w:t>and</w:t>
        </w:r>
      </w:ins>
      <w:r>
        <w:rPr>
          <w:lang w:eastAsia="zh-CN"/>
        </w:rPr>
        <w:t xml:space="preserve"> disregarding the </w:t>
      </w:r>
      <w:ins w:id="43" w:author="QC-4" w:date="2021-09-08T19:36:00Z">
        <w:r>
          <w:rPr>
            <w:lang w:eastAsia="zh-CN"/>
          </w:rPr>
          <w:t xml:space="preserve">packet’s </w:t>
        </w:r>
      </w:ins>
      <w:r>
        <w:rPr>
          <w:lang w:eastAsia="zh-CN"/>
        </w:rPr>
        <w:t xml:space="preserve">BAP path ID. In this manner, </w:t>
      </w:r>
      <w:del w:id="44" w:author="QC-4" w:date="2021-09-08T19:26:00Z">
        <w:r>
          <w:rPr>
            <w:lang w:eastAsia="zh-CN"/>
          </w:rPr>
          <w:delText xml:space="preserve">a </w:delText>
        </w:r>
      </w:del>
      <w:ins w:id="45" w:author="QC-4" w:date="2021-09-08T19:26:00Z">
        <w:r>
          <w:rPr>
            <w:lang w:eastAsia="zh-CN"/>
          </w:rPr>
          <w:t xml:space="preserve">the </w:t>
        </w:r>
      </w:ins>
      <w:r>
        <w:rPr>
          <w:lang w:eastAsia="zh-CN"/>
        </w:rPr>
        <w:t>packet can be delivered via an alternative path</w:t>
      </w:r>
      <w:del w:id="46" w:author="QC-4" w:date="2021-09-08T19:37:00Z">
        <w:commentRangeStart w:id="11"/>
        <w:r>
          <w:rPr>
            <w:lang w:eastAsia="zh-CN"/>
          </w:rPr>
          <w:delText xml:space="preserve"> in case the indicated path is not available</w:delText>
        </w:r>
        <w:commentRangeEnd w:id="11"/>
      </w:del>
      <w:r>
        <w:rPr>
          <w:rStyle w:val="69"/>
        </w:rPr>
        <w:commentReference w:id="11"/>
      </w:r>
      <w:ins w:id="47" w:author="Huawei-Yulong" w:date="2021-09-08T09:39:00Z">
        <w:del w:id="48" w:author="QC-4" w:date="2021-09-08T19:38:00Z">
          <w:commentRangeStart w:id="12"/>
          <w:commentRangeStart w:id="13"/>
          <w:r>
            <w:rPr>
              <w:lang w:eastAsia="zh-CN"/>
            </w:rPr>
            <w:delText>, as defined in TS 38.340 [zz]</w:delText>
          </w:r>
          <w:commentRangeEnd w:id="12"/>
        </w:del>
      </w:ins>
      <w:ins w:id="49" w:author="Huawei-Yulong" w:date="2021-09-08T09:40:00Z">
        <w:r>
          <w:rPr>
            <w:rStyle w:val="69"/>
          </w:rPr>
          <w:commentReference w:id="12"/>
        </w:r>
        <w:commentRangeEnd w:id="13"/>
      </w:ins>
      <w:r>
        <w:rPr>
          <w:rStyle w:val="69"/>
        </w:rPr>
        <w:commentReference w:id="13"/>
      </w:r>
      <w:r>
        <w:rPr>
          <w:lang w:eastAsia="zh-CN"/>
        </w:rPr>
        <w:t>.</w:t>
      </w:r>
      <w:ins w:id="50" w:author="QC-3" w:date="2021-09-06T09:57:00Z">
        <w:r>
          <w:rPr>
            <w:lang w:eastAsia="zh-CN"/>
          </w:rPr>
          <w:t xml:space="preserve"> </w:t>
        </w:r>
      </w:ins>
    </w:p>
    <w:p>
      <w:pPr>
        <w:rPr>
          <w:ins w:id="51" w:author="QC-3" w:date="2021-09-06T10:25:00Z"/>
          <w:lang w:eastAsia="zh-CN"/>
        </w:rPr>
      </w:pPr>
      <w:ins w:id="52" w:author="QC-3" w:date="2021-09-06T10:20:00Z">
        <w:r>
          <w:rPr>
            <w:lang w:eastAsia="zh-CN"/>
          </w:rPr>
          <w:t>A</w:t>
        </w:r>
      </w:ins>
      <w:ins w:id="53" w:author="QC-3" w:date="2021-09-06T10:17:00Z">
        <w:r>
          <w:rPr>
            <w:lang w:eastAsia="zh-CN"/>
          </w:rPr>
          <w:t xml:space="preserve"> BH link may be considered </w:t>
        </w:r>
      </w:ins>
      <w:ins w:id="54" w:author="QC-3" w:date="2021-09-06T11:12:00Z">
        <w:r>
          <w:rPr>
            <w:lang w:eastAsia="zh-CN"/>
          </w:rPr>
          <w:t>un</w:t>
        </w:r>
      </w:ins>
      <w:ins w:id="55" w:author="QC-3" w:date="2021-09-06T10:17:00Z">
        <w:r>
          <w:rPr>
            <w:lang w:eastAsia="zh-CN"/>
          </w:rPr>
          <w:t xml:space="preserve">available </w:t>
        </w:r>
      </w:ins>
      <w:ins w:id="56" w:author="QC-3" w:date="2021-09-06T10:20:00Z">
        <w:r>
          <w:rPr>
            <w:lang w:eastAsia="zh-CN"/>
          </w:rPr>
          <w:t xml:space="preserve">in case </w:t>
        </w:r>
      </w:ins>
      <w:ins w:id="57" w:author="QC-3" w:date="2021-09-06T10:22:00Z">
        <w:r>
          <w:rPr>
            <w:lang w:eastAsia="zh-CN"/>
          </w:rPr>
          <w:t>the BH link</w:t>
        </w:r>
      </w:ins>
      <w:ins w:id="58" w:author="QC-3" w:date="2021-09-06T10:20:00Z">
        <w:r>
          <w:rPr>
            <w:lang w:eastAsia="zh-CN"/>
          </w:rPr>
          <w:t xml:space="preserve"> has RLF</w:t>
        </w:r>
      </w:ins>
      <w:ins w:id="59" w:author="vivo" w:date="2021-09-08T14:49:00Z">
        <w:del w:id="60" w:author="QC-4" w:date="2021-09-08T19:27:00Z">
          <w:commentRangeStart w:id="14"/>
          <w:commentRangeStart w:id="15"/>
          <w:commentRangeStart w:id="16"/>
          <w:r>
            <w:rPr>
              <w:lang w:eastAsia="zh-CN"/>
            </w:rPr>
            <w:delText xml:space="preserve"> or is determined to be congested</w:delText>
          </w:r>
          <w:commentRangeEnd w:id="14"/>
        </w:del>
      </w:ins>
      <w:ins w:id="61" w:author="vivo" w:date="2021-09-08T14:49:00Z">
        <w:del w:id="62" w:author="QC-4" w:date="2021-09-08T19:27:00Z">
          <w:r>
            <w:rPr>
              <w:rStyle w:val="69"/>
            </w:rPr>
            <w:commentReference w:id="14"/>
          </w:r>
          <w:commentRangeEnd w:id="15"/>
        </w:del>
      </w:ins>
      <w:del w:id="63" w:author="QC-4" w:date="2021-09-08T19:27:00Z">
        <w:r>
          <w:rPr>
            <w:rStyle w:val="69"/>
          </w:rPr>
          <w:commentReference w:id="15"/>
        </w:r>
        <w:commentRangeEnd w:id="16"/>
      </w:del>
      <w:r>
        <w:rPr>
          <w:rStyle w:val="69"/>
        </w:rPr>
        <w:commentReference w:id="16"/>
      </w:r>
      <w:ins w:id="64" w:author="QC-3" w:date="2021-09-06T10:21:00Z">
        <w:r>
          <w:rPr>
            <w:lang w:eastAsia="zh-CN"/>
          </w:rPr>
          <w:t xml:space="preserve">. </w:t>
        </w:r>
        <w:commentRangeStart w:id="17"/>
        <w:commentRangeStart w:id="18"/>
        <w:commentRangeStart w:id="19"/>
        <w:commentRangeStart w:id="20"/>
        <w:commentRangeStart w:id="21"/>
        <w:commentRangeStart w:id="22"/>
        <w:r>
          <w:rPr>
            <w:lang w:eastAsia="zh-CN"/>
          </w:rPr>
          <w:t xml:space="preserve">For UL traffic, </w:t>
        </w:r>
      </w:ins>
      <w:ins w:id="65" w:author="QC-3" w:date="2021-09-06T10:22:00Z">
        <w:r>
          <w:rPr>
            <w:lang w:eastAsia="zh-CN"/>
          </w:rPr>
          <w:t>a</w:t>
        </w:r>
      </w:ins>
      <w:ins w:id="66" w:author="QC-3" w:date="2021-09-06T10:21:00Z">
        <w:r>
          <w:rPr>
            <w:lang w:eastAsia="zh-CN"/>
          </w:rPr>
          <w:t xml:space="preserve"> BH link</w:t>
        </w:r>
      </w:ins>
      <w:ins w:id="67" w:author="QC-4" w:date="2021-09-08T19:42:00Z">
        <w:r>
          <w:rPr>
            <w:lang w:eastAsia="zh-CN"/>
          </w:rPr>
          <w:t xml:space="preserve"> </w:t>
        </w:r>
      </w:ins>
      <w:ins w:id="68" w:author="QC-3" w:date="2021-09-06T10:21:00Z">
        <w:r>
          <w:rPr>
            <w:lang w:eastAsia="zh-CN"/>
          </w:rPr>
          <w:t xml:space="preserve"> may </w:t>
        </w:r>
      </w:ins>
      <w:ins w:id="69" w:author="QC-3" w:date="2021-09-06T10:24:00Z">
        <w:del w:id="70" w:author="QC-4" w:date="2021-09-08T20:14:00Z">
          <w:r>
            <w:rPr>
              <w:lang w:eastAsia="zh-CN"/>
            </w:rPr>
            <w:delText>also</w:delText>
          </w:r>
        </w:del>
      </w:ins>
      <w:ins w:id="71" w:author="QC-3" w:date="2021-09-06T10:21:00Z">
        <w:del w:id="72" w:author="QC-4" w:date="2021-09-08T20:14:00Z">
          <w:r>
            <w:rPr>
              <w:lang w:eastAsia="zh-CN"/>
            </w:rPr>
            <w:delText xml:space="preserve"> </w:delText>
          </w:r>
        </w:del>
      </w:ins>
      <w:ins w:id="73" w:author="QC-3" w:date="2021-09-06T10:21:00Z">
        <w:r>
          <w:rPr>
            <w:lang w:eastAsia="zh-CN"/>
          </w:rPr>
          <w:t xml:space="preserve">be considered </w:t>
        </w:r>
      </w:ins>
      <w:ins w:id="74" w:author="QC-3" w:date="2021-09-06T11:12:00Z">
        <w:r>
          <w:rPr>
            <w:lang w:eastAsia="zh-CN"/>
          </w:rPr>
          <w:t>un</w:t>
        </w:r>
      </w:ins>
      <w:ins w:id="75" w:author="QC-3" w:date="2021-09-06T10:21:00Z">
        <w:r>
          <w:rPr>
            <w:lang w:eastAsia="zh-CN"/>
          </w:rPr>
          <w:t xml:space="preserve">available </w:t>
        </w:r>
      </w:ins>
      <w:ins w:id="76" w:author="QC-3" w:date="2021-09-06T10:24:00Z">
        <w:r>
          <w:rPr>
            <w:lang w:eastAsia="zh-CN"/>
          </w:rPr>
          <w:t>after</w:t>
        </w:r>
      </w:ins>
      <w:ins w:id="77" w:author="QC-3" w:date="2021-09-06T10:21:00Z">
        <w:r>
          <w:rPr>
            <w:lang w:eastAsia="zh-CN"/>
          </w:rPr>
          <w:t xml:space="preserve"> the IAB-MT has migrated to</w:t>
        </w:r>
      </w:ins>
      <w:ins w:id="78" w:author="QC-3" w:date="2021-09-06T10:22:00Z">
        <w:r>
          <w:rPr>
            <w:lang w:eastAsia="zh-CN"/>
          </w:rPr>
          <w:t xml:space="preserve"> </w:t>
        </w:r>
      </w:ins>
      <w:ins w:id="79" w:author="QC-3" w:date="2021-09-06T10:21:00Z">
        <w:r>
          <w:rPr>
            <w:lang w:eastAsia="zh-CN"/>
          </w:rPr>
          <w:t xml:space="preserve">or recovered at a </w:t>
        </w:r>
      </w:ins>
      <w:ins w:id="80" w:author="QC-3" w:date="2021-09-06T10:24:00Z">
        <w:r>
          <w:rPr>
            <w:lang w:eastAsia="zh-CN"/>
          </w:rPr>
          <w:t>different</w:t>
        </w:r>
      </w:ins>
      <w:ins w:id="81" w:author="QC-3" w:date="2021-09-06T10:21:00Z">
        <w:r>
          <w:rPr>
            <w:lang w:eastAsia="zh-CN"/>
          </w:rPr>
          <w:t xml:space="preserve"> parent node.</w:t>
        </w:r>
        <w:commentRangeEnd w:id="17"/>
      </w:ins>
      <w:r>
        <w:rPr>
          <w:rStyle w:val="69"/>
        </w:rPr>
        <w:commentReference w:id="17"/>
      </w:r>
      <w:commentRangeEnd w:id="18"/>
      <w:r>
        <w:rPr>
          <w:rStyle w:val="69"/>
        </w:rPr>
        <w:commentReference w:id="18"/>
      </w:r>
      <w:commentRangeEnd w:id="19"/>
      <w:r>
        <w:rPr>
          <w:rStyle w:val="69"/>
        </w:rPr>
        <w:commentReference w:id="19"/>
      </w:r>
      <w:commentRangeEnd w:id="20"/>
      <w:r>
        <w:rPr>
          <w:rStyle w:val="69"/>
        </w:rPr>
        <w:commentReference w:id="20"/>
      </w:r>
      <w:commentRangeEnd w:id="21"/>
      <w:r>
        <w:rPr>
          <w:rStyle w:val="69"/>
        </w:rPr>
        <w:commentReference w:id="21"/>
      </w:r>
      <w:commentRangeEnd w:id="22"/>
      <w:r>
        <w:rPr>
          <w:rStyle w:val="69"/>
        </w:rPr>
        <w:commentReference w:id="22"/>
      </w:r>
    </w:p>
    <w:p>
      <w:pPr>
        <w:rPr>
          <w:ins w:id="82" w:author="QC-3" w:date="2021-09-06T10:17:00Z"/>
          <w:lang w:eastAsia="zh-CN"/>
        </w:rPr>
      </w:pPr>
      <w:ins w:id="83" w:author="QC-3" w:date="2021-09-06T10:22:00Z">
        <w:r>
          <w:rPr>
            <w:lang w:eastAsia="zh-CN"/>
          </w:rPr>
          <w:t xml:space="preserve">For DL traffic, </w:t>
        </w:r>
      </w:ins>
      <w:ins w:id="84" w:author="QC-3" w:date="2021-09-06T10:23:00Z">
        <w:r>
          <w:rPr>
            <w:lang w:eastAsia="zh-CN"/>
          </w:rPr>
          <w:t xml:space="preserve">a BH link may be considered </w:t>
        </w:r>
      </w:ins>
      <w:ins w:id="85" w:author="QC-3" w:date="2021-09-06T10:23:00Z">
        <w:del w:id="86" w:author="QC-4" w:date="2021-09-08T19:42:00Z">
          <w:r>
            <w:rPr>
              <w:lang w:eastAsia="zh-CN"/>
            </w:rPr>
            <w:delText>congested</w:delText>
          </w:r>
        </w:del>
      </w:ins>
      <w:ins w:id="87" w:author="QC-4" w:date="2021-09-08T19:42:00Z">
        <w:r>
          <w:rPr>
            <w:lang w:eastAsia="zh-CN"/>
          </w:rPr>
          <w:t>unavailable</w:t>
        </w:r>
      </w:ins>
      <w:ins w:id="88" w:author="QC-3" w:date="2021-09-06T10:23:00Z">
        <w:r>
          <w:rPr>
            <w:lang w:eastAsia="zh-CN"/>
          </w:rPr>
          <w:t xml:space="preserve"> </w:t>
        </w:r>
      </w:ins>
      <w:ins w:id="89" w:author="QC-4" w:date="2021-09-08T19:42:00Z">
        <w:commentRangeStart w:id="23"/>
        <w:r>
          <w:rPr>
            <w:lang w:eastAsia="zh-CN"/>
          </w:rPr>
          <w:t xml:space="preserve">for </w:t>
        </w:r>
      </w:ins>
      <w:ins w:id="90" w:author="QC-4" w:date="2021-09-08T19:43:00Z">
        <w:commentRangeStart w:id="24"/>
        <w:r>
          <w:rPr>
            <w:lang w:eastAsia="zh-CN"/>
          </w:rPr>
          <w:t xml:space="preserve">some </w:t>
        </w:r>
        <w:commentRangeEnd w:id="24"/>
      </w:ins>
      <w:ins w:id="91" w:author="QC-4" w:date="2021-09-08T19:56:00Z">
        <w:r>
          <w:rPr>
            <w:rStyle w:val="69"/>
          </w:rPr>
          <w:commentReference w:id="24"/>
        </w:r>
      </w:ins>
      <w:ins w:id="92" w:author="QC-4" w:date="2021-09-08T19:53:00Z">
        <w:r>
          <w:rPr>
            <w:lang w:eastAsia="zh-CN"/>
          </w:rPr>
          <w:t xml:space="preserve">or </w:t>
        </w:r>
      </w:ins>
      <w:ins w:id="93" w:author="QC-4" w:date="2021-09-08T19:56:00Z">
        <w:r>
          <w:rPr>
            <w:lang w:eastAsia="zh-CN"/>
          </w:rPr>
          <w:t xml:space="preserve">for </w:t>
        </w:r>
      </w:ins>
      <w:ins w:id="94" w:author="QC-4" w:date="2021-09-08T19:43:00Z">
        <w:r>
          <w:rPr>
            <w:lang w:eastAsia="zh-CN"/>
          </w:rPr>
          <w:t>all</w:t>
        </w:r>
      </w:ins>
      <w:ins w:id="95" w:author="QC-4" w:date="2021-09-08T19:42:00Z">
        <w:r>
          <w:rPr>
            <w:lang w:eastAsia="zh-CN"/>
          </w:rPr>
          <w:t xml:space="preserve"> packets </w:t>
        </w:r>
        <w:commentRangeEnd w:id="23"/>
      </w:ins>
      <w:r>
        <w:rPr>
          <w:rStyle w:val="69"/>
        </w:rPr>
        <w:commentReference w:id="23"/>
      </w:r>
      <w:ins w:id="96" w:author="QC-4" w:date="2021-09-08T19:43:00Z">
        <w:r>
          <w:rPr>
            <w:lang w:eastAsia="zh-CN"/>
          </w:rPr>
          <w:t>due to congestio</w:t>
        </w:r>
      </w:ins>
      <w:ins w:id="97" w:author="QC-4" w:date="2021-09-08T19:53:00Z">
        <w:r>
          <w:rPr>
            <w:lang w:eastAsia="zh-CN"/>
          </w:rPr>
          <w:t xml:space="preserve">n </w:t>
        </w:r>
      </w:ins>
      <w:ins w:id="98" w:author="QC-4" w:date="2021-09-08T19:55:00Z">
        <w:r>
          <w:rPr>
            <w:lang w:eastAsia="zh-CN"/>
          </w:rPr>
          <w:t>derived from</w:t>
        </w:r>
      </w:ins>
      <w:ins w:id="99" w:author="QC-3" w:date="2021-09-06T10:23:00Z">
        <w:del w:id="100" w:author="QC-4" w:date="2021-09-08T19:55:00Z">
          <w:r>
            <w:rPr>
              <w:lang w:eastAsia="zh-CN"/>
            </w:rPr>
            <w:delText>based on</w:delText>
          </w:r>
        </w:del>
      </w:ins>
      <w:ins w:id="101" w:author="QC-3" w:date="2021-09-06T10:23:00Z">
        <w:r>
          <w:rPr>
            <w:lang w:eastAsia="zh-CN"/>
          </w:rPr>
          <w:t xml:space="preserve"> flow-control feedback </w:t>
        </w:r>
      </w:ins>
      <w:ins w:id="102" w:author="QC-3" w:date="2021-09-06T10:25:00Z">
        <w:r>
          <w:rPr>
            <w:lang w:eastAsia="zh-CN"/>
          </w:rPr>
          <w:t>information</w:t>
        </w:r>
      </w:ins>
      <w:ins w:id="103" w:author="QC-4" w:date="2021-09-08T19:55:00Z">
        <w:r>
          <w:rPr>
            <w:lang w:eastAsia="zh-CN"/>
          </w:rPr>
          <w:t>,</w:t>
        </w:r>
      </w:ins>
      <w:ins w:id="104" w:author="QC-3" w:date="2021-09-06T10:25:00Z">
        <w:r>
          <w:rPr>
            <w:lang w:eastAsia="zh-CN"/>
          </w:rPr>
          <w:t xml:space="preserve"> </w:t>
        </w:r>
      </w:ins>
      <w:ins w:id="105" w:author="QC-3" w:date="2021-09-06T10:23:00Z">
        <w:r>
          <w:rPr>
            <w:lang w:eastAsia="zh-CN"/>
          </w:rPr>
          <w:t>as defined in TS 38.340 [zz].</w:t>
        </w:r>
      </w:ins>
    </w:p>
    <w:p>
      <w:pPr>
        <w:rPr>
          <w:ins w:id="106" w:author="QC-3" w:date="2021-09-06T10:08:00Z"/>
          <w:del w:id="107" w:author="QC-4" w:date="2021-09-08T20:02:00Z"/>
          <w:lang w:eastAsia="zh-CN"/>
        </w:rPr>
      </w:pPr>
      <w:ins w:id="108" w:author="QC-3" w:date="2021-09-06T10:09:00Z">
        <w:del w:id="109" w:author="QC-4" w:date="2021-09-08T20:02:00Z">
          <w:r>
            <w:rPr>
              <w:lang w:eastAsia="zh-CN"/>
            </w:rPr>
            <w:delText xml:space="preserve">For </w:delText>
          </w:r>
        </w:del>
      </w:ins>
      <w:ins w:id="110" w:author="QC-3" w:date="2021-09-06T10:30:00Z">
        <w:del w:id="111" w:author="QC-4" w:date="2021-09-08T20:02:00Z">
          <w:r>
            <w:rPr>
              <w:lang w:eastAsia="zh-CN"/>
            </w:rPr>
            <w:delText xml:space="preserve">local </w:delText>
          </w:r>
        </w:del>
      </w:ins>
      <w:ins w:id="112" w:author="QC-3" w:date="2021-09-06T10:28:00Z">
        <w:del w:id="113" w:author="QC-4" w:date="2021-09-08T20:02:00Z">
          <w:r>
            <w:rPr>
              <w:lang w:eastAsia="zh-CN"/>
            </w:rPr>
            <w:delText xml:space="preserve">rerouting </w:delText>
          </w:r>
        </w:del>
      </w:ins>
      <w:ins w:id="114" w:author="QC-3" w:date="2021-09-06T10:31:00Z">
        <w:del w:id="115" w:author="QC-4" w:date="2021-09-08T20:02:00Z">
          <w:r>
            <w:rPr>
              <w:lang w:eastAsia="zh-CN"/>
            </w:rPr>
            <w:delText xml:space="preserve">in UL direction, the </w:delText>
          </w:r>
        </w:del>
      </w:ins>
      <w:ins w:id="116" w:author="QC-3" w:date="2021-09-06T10:32:00Z">
        <w:del w:id="117" w:author="QC-4" w:date="2021-09-08T20:02:00Z">
          <w:r>
            <w:rPr>
              <w:lang w:eastAsia="zh-CN"/>
            </w:rPr>
            <w:delText xml:space="preserve">destination may be the same or a different IAB-donor-DU. </w:delText>
          </w:r>
          <w:commentRangeStart w:id="25"/>
          <w:commentRangeStart w:id="26"/>
          <w:r>
            <w:rPr>
              <w:lang w:eastAsia="zh-CN"/>
            </w:rPr>
            <w:delText>In case the destination is a different IAB-donor-DU</w:delText>
          </w:r>
          <w:commentRangeEnd w:id="25"/>
        </w:del>
      </w:ins>
      <w:del w:id="118" w:author="QC-4" w:date="2021-09-08T20:02:00Z">
        <w:r>
          <w:rPr>
            <w:rStyle w:val="69"/>
          </w:rPr>
          <w:commentReference w:id="25"/>
        </w:r>
        <w:commentRangeEnd w:id="26"/>
      </w:del>
      <w:del w:id="119" w:author="QC-4" w:date="2021-09-08T20:02:00Z">
        <w:r>
          <w:rPr>
            <w:rStyle w:val="69"/>
          </w:rPr>
          <w:commentReference w:id="26"/>
        </w:r>
      </w:del>
      <w:ins w:id="120" w:author="QC-3" w:date="2021-09-06T10:32:00Z">
        <w:del w:id="121" w:author="QC-4" w:date="2021-09-08T20:02:00Z">
          <w:r>
            <w:rPr>
              <w:lang w:eastAsia="zh-CN"/>
            </w:rPr>
            <w:delText xml:space="preserve">, the </w:delText>
          </w:r>
        </w:del>
      </w:ins>
      <w:ins w:id="122" w:author="QC-3" w:date="2021-09-06T10:33:00Z">
        <w:del w:id="123" w:author="QC-4" w:date="2021-09-08T20:02:00Z">
          <w:r>
            <w:rPr>
              <w:lang w:eastAsia="zh-CN"/>
            </w:rPr>
            <w:delText xml:space="preserve">IAB-node rewrites the BAP header with the destination BAP address </w:delText>
          </w:r>
        </w:del>
      </w:ins>
      <w:ins w:id="124" w:author="QC-3" w:date="2021-09-06T10:34:00Z">
        <w:del w:id="125" w:author="QC-4" w:date="2021-09-08T20:02:00Z">
          <w:r>
            <w:rPr>
              <w:lang w:eastAsia="zh-CN"/>
            </w:rPr>
            <w:delText xml:space="preserve">of the new IAB-donor-DU </w:delText>
          </w:r>
        </w:del>
      </w:ins>
      <w:ins w:id="126" w:author="QC-3" w:date="2021-09-06T10:33:00Z">
        <w:del w:id="127" w:author="QC-4" w:date="2021-09-08T20:02:00Z">
          <w:r>
            <w:rPr>
              <w:lang w:eastAsia="zh-CN"/>
            </w:rPr>
            <w:delText>and (potentially) a new BAP path ID</w:delText>
          </w:r>
        </w:del>
      </w:ins>
      <w:ins w:id="128" w:author="QC-3" w:date="2021-09-06T10:28:00Z">
        <w:del w:id="129" w:author="QC-4" w:date="2021-09-08T20:02:00Z">
          <w:r>
            <w:rPr>
              <w:lang w:eastAsia="zh-CN"/>
            </w:rPr>
            <w:delText>.</w:delText>
          </w:r>
        </w:del>
      </w:ins>
      <w:ins w:id="130" w:author="QC-3" w:date="2021-09-06T10:02:00Z">
        <w:del w:id="131" w:author="QC-4" w:date="2021-09-08T20:02:00Z">
          <w:r>
            <w:rPr>
              <w:lang w:eastAsia="zh-CN"/>
            </w:rPr>
            <w:delText xml:space="preserve"> </w:delText>
          </w:r>
        </w:del>
      </w:ins>
      <w:ins w:id="132" w:author="QC-3" w:date="2021-09-06T10:34:00Z">
        <w:del w:id="133" w:author="QC-4" w:date="2021-09-08T20:02:00Z">
          <w:r>
            <w:rPr>
              <w:lang w:eastAsia="zh-CN"/>
            </w:rPr>
            <w:delText xml:space="preserve">The mapping between initial and new BAP address and BAP path ID is configured by the </w:delText>
          </w:r>
        </w:del>
      </w:ins>
      <w:ins w:id="134" w:author="QC-3" w:date="2021-09-06T10:35:00Z">
        <w:del w:id="135" w:author="QC-4" w:date="2021-09-08T20:02:00Z">
          <w:r>
            <w:rPr>
              <w:lang w:eastAsia="zh-CN"/>
            </w:rPr>
            <w:delText>IAB-donor-CU.</w:delText>
          </w:r>
        </w:del>
      </w:ins>
    </w:p>
    <w:p>
      <w:pPr>
        <w:pStyle w:val="114"/>
        <w:rPr>
          <w:ins w:id="136" w:author="QC-4" w:date="2021-09-08T20:02:00Z"/>
          <w:rStyle w:val="337"/>
        </w:rPr>
      </w:pPr>
      <w:ins w:id="137" w:author="QC-4" w:date="2021-09-08T20:02:00Z">
        <w:r>
          <w:rPr>
            <w:rStyle w:val="337"/>
          </w:rPr>
          <w:t xml:space="preserve">Editor’s NOTE: Inter-donor-DU local rerouting needs to be captured here after </w:t>
        </w:r>
      </w:ins>
      <w:ins w:id="138" w:author="QC-4" w:date="2021-09-08T20:03:00Z">
        <w:r>
          <w:rPr>
            <w:rStyle w:val="337"/>
          </w:rPr>
          <w:t>RAN2 has agreed on the</w:t>
        </w:r>
      </w:ins>
      <w:ins w:id="139" w:author="QC-4" w:date="2021-09-08T20:02:00Z">
        <w:r>
          <w:rPr>
            <w:rStyle w:val="337"/>
          </w:rPr>
          <w:t xml:space="preserve"> </w:t>
        </w:r>
      </w:ins>
      <w:ins w:id="140" w:author="QC-4" w:date="2021-09-08T20:03:00Z">
        <w:r>
          <w:rPr>
            <w:rStyle w:val="337"/>
          </w:rPr>
          <w:t xml:space="preserve">corresponding </w:t>
        </w:r>
      </w:ins>
      <w:ins w:id="141" w:author="QC-4" w:date="2021-09-08T20:02:00Z">
        <w:r>
          <w:rPr>
            <w:rStyle w:val="337"/>
          </w:rPr>
          <w:t>BAP processing.</w:t>
        </w:r>
      </w:ins>
    </w:p>
    <w:p>
      <w:pPr>
        <w:rPr>
          <w:ins w:id="142" w:author="QC-3" w:date="2021-09-06T10:16:00Z"/>
          <w:del w:id="143" w:author="Nokia" w:date="2021-09-09T05:11:00Z"/>
          <w:color w:val="FF0000"/>
          <w:lang w:eastAsia="zh-CN"/>
        </w:rPr>
      </w:pPr>
    </w:p>
    <w:p>
      <w:pPr>
        <w:pStyle w:val="114"/>
        <w:rPr>
          <w:ins w:id="145" w:author="QC-3" w:date="2021-09-06T10:11:00Z"/>
          <w:lang w:eastAsia="zh-CN"/>
        </w:rPr>
        <w:pPrChange w:id="144" w:author="QC-3" w:date="2021-09-06T10:14:00Z">
          <w:pPr/>
        </w:pPrChange>
      </w:pPr>
      <w:ins w:id="146" w:author="QC-3" w:date="2021-09-06T10:13:00Z">
        <w:r>
          <w:rPr>
            <w:lang w:eastAsia="zh-CN"/>
          </w:rPr>
          <w:t xml:space="preserve">Editor’s NOTE: </w:t>
        </w:r>
        <w:commentRangeStart w:id="27"/>
        <w:commentRangeStart w:id="28"/>
        <w:r>
          <w:rPr>
            <w:lang w:eastAsia="zh-CN"/>
          </w:rPr>
          <w:t xml:space="preserve">It is not clear why </w:t>
        </w:r>
      </w:ins>
      <w:ins w:id="147" w:author="QC-3" w:date="2021-09-06T10:14:00Z">
        <w:r>
          <w:rPr>
            <w:lang w:eastAsia="zh-CN"/>
          </w:rPr>
          <w:t>inter-donor DU rerouting would be applied in case of NR-DC unless one parent link has RLF.</w:t>
        </w:r>
        <w:commentRangeEnd w:id="27"/>
      </w:ins>
      <w:r>
        <w:rPr>
          <w:rStyle w:val="69"/>
        </w:rPr>
        <w:commentReference w:id="27"/>
      </w:r>
      <w:commentRangeEnd w:id="28"/>
      <w:r>
        <w:commentReference w:id="28"/>
      </w:r>
    </w:p>
    <w:p>
      <w:pPr>
        <w:rPr>
          <w:ins w:id="148" w:author="QC-3" w:date="2021-09-06T10:04:00Z"/>
          <w:del w:id="149" w:author="Nokia" w:date="2021-09-09T05:11:00Z"/>
          <w:lang w:eastAsia="zh-CN"/>
        </w:rPr>
      </w:pPr>
    </w:p>
    <w:p>
      <w:pPr>
        <w:pStyle w:val="114"/>
        <w:rPr>
          <w:ins w:id="150" w:author="QC-3" w:date="2021-09-06T10:35:00Z"/>
        </w:rPr>
      </w:pPr>
      <w:ins w:id="151" w:author="QC-3" w:date="2021-09-06T10:02:00Z">
        <w:r>
          <w:rPr>
            <w:lang w:eastAsia="en-US"/>
            <w:rPrChange w:id="152" w:author="QC-3" w:date="2021-09-06T10:03:00Z">
              <w:rPr>
                <w:lang w:eastAsia="zh-CN"/>
              </w:rPr>
            </w:rPrChange>
          </w:rPr>
          <w:t>Editor</w:t>
        </w:r>
      </w:ins>
      <w:ins w:id="153" w:author="QC-3" w:date="2021-09-06T10:03:00Z">
        <w:r>
          <w:rPr>
            <w:lang w:eastAsia="en-US"/>
            <w:rPrChange w:id="154" w:author="QC-3" w:date="2021-09-06T10:03:00Z">
              <w:rPr>
                <w:lang w:eastAsia="zh-CN"/>
              </w:rPr>
            </w:rPrChange>
          </w:rPr>
          <w:t xml:space="preserve">’s NOTE: </w:t>
        </w:r>
        <w:commentRangeStart w:id="29"/>
        <w:r>
          <w:rPr>
            <w:lang w:eastAsia="en-US"/>
            <w:rPrChange w:id="154" w:author="QC-3" w:date="2021-09-06T10:03:00Z">
              <w:rPr>
                <w:lang w:eastAsia="zh-CN"/>
              </w:rPr>
            </w:rPrChange>
          </w:rPr>
          <w:t>FFS if more detail needs to be added on congestion-based rerouting.</w:t>
        </w:r>
        <w:commentRangeEnd w:id="29"/>
      </w:ins>
      <w:r>
        <w:commentReference w:id="29"/>
      </w:r>
    </w:p>
    <w:p>
      <w:pPr>
        <w:jc w:val="center"/>
        <w:rPr>
          <w:b/>
          <w:bCs/>
          <w:color w:val="FF0000"/>
          <w:lang w:eastAsia="zh-CN"/>
          <w:rPrChange w:id="156" w:author="QC-3" w:date="2021-09-06T10:03:00Z">
            <w:rPr>
              <w:lang w:eastAsia="zh-CN"/>
            </w:rPr>
          </w:rPrChange>
        </w:rPr>
        <w:pPrChange w:id="155" w:author="QC-3" w:date="2021-09-06T10:03:00Z">
          <w:pPr/>
        </w:pPrChange>
      </w:pPr>
    </w:p>
    <w:p>
      <w:pPr>
        <w:rPr>
          <w:lang w:eastAsia="zh-CN"/>
        </w:rPr>
      </w:pPr>
      <w:r>
        <w:rPr>
          <w:lang w:eastAsia="zh-CN"/>
        </w:rPr>
        <w:t>When routing a packet from an ingress to an egress BH link, the IAB-node derives the egress BH RLC channel on the egress BH link through an F1AP-configured mapping from the BH RLC channel used on the ingress BH link. The BH RLC channel IDs used for ingress and egress BH RLC channels are generated by the IAB-donor-CU. Since the BH RLC channel ID only has link-local scope, the mapping configurations also include the BAP addresses of prior and next hop:</w:t>
      </w:r>
    </w:p>
    <w:p>
      <w:pPr>
        <w:pStyle w:val="112"/>
      </w:pPr>
      <w:r>
        <w:t>Table 6.11.3-2: BH RLC channel mapping configuration</w:t>
      </w:r>
    </w:p>
    <w:tbl>
      <w:tblPr>
        <w:tblStyle w:val="59"/>
        <w:tblW w:w="0" w:type="auto"/>
        <w:tblInd w:w="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50"/>
        <w:gridCol w:w="2340"/>
        <w:gridCol w:w="2340"/>
        <w:gridCol w:w="2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0" w:type="dxa"/>
            <w:shd w:val="clear" w:color="auto" w:fill="D8D8D8" w:themeFill="background1" w:themeFillShade="D9"/>
          </w:tcPr>
          <w:p>
            <w:pPr>
              <w:pStyle w:val="106"/>
            </w:pPr>
            <w:r>
              <w:t>Next-hop BAP address</w:t>
            </w:r>
          </w:p>
        </w:tc>
        <w:tc>
          <w:tcPr>
            <w:tcW w:w="2340" w:type="dxa"/>
            <w:shd w:val="clear" w:color="auto" w:fill="D8D8D8" w:themeFill="background1" w:themeFillShade="D9"/>
          </w:tcPr>
          <w:p>
            <w:pPr>
              <w:pStyle w:val="106"/>
            </w:pPr>
            <w:r>
              <w:t>Prior-hop BAP address</w:t>
            </w:r>
          </w:p>
        </w:tc>
        <w:tc>
          <w:tcPr>
            <w:tcW w:w="2340" w:type="dxa"/>
            <w:shd w:val="clear" w:color="auto" w:fill="D8D8D8" w:themeFill="background1" w:themeFillShade="D9"/>
          </w:tcPr>
          <w:p>
            <w:pPr>
              <w:pStyle w:val="106"/>
            </w:pPr>
            <w:r>
              <w:t>Ingress RLC channel ID</w:t>
            </w:r>
          </w:p>
        </w:tc>
        <w:tc>
          <w:tcPr>
            <w:tcW w:w="2250" w:type="dxa"/>
            <w:shd w:val="clear" w:color="auto" w:fill="FFFFFF" w:themeFill="background1"/>
          </w:tcPr>
          <w:p>
            <w:pPr>
              <w:pStyle w:val="106"/>
            </w:pPr>
            <w:r>
              <w:t>Egress RLC channel 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0" w:type="dxa"/>
            <w:shd w:val="clear" w:color="auto" w:fill="D8D8D8" w:themeFill="background1" w:themeFillShade="D9"/>
          </w:tcPr>
          <w:p>
            <w:pPr>
              <w:pStyle w:val="107"/>
            </w:pPr>
            <w:r>
              <w:t>Derived from routing configuration</w:t>
            </w:r>
          </w:p>
        </w:tc>
        <w:tc>
          <w:tcPr>
            <w:tcW w:w="2340" w:type="dxa"/>
            <w:shd w:val="clear" w:color="auto" w:fill="D8D8D8" w:themeFill="background1" w:themeFillShade="D9"/>
          </w:tcPr>
          <w:p>
            <w:pPr>
              <w:pStyle w:val="107"/>
            </w:pPr>
            <w:r>
              <w:t>Derived from packet's ingress link</w:t>
            </w:r>
          </w:p>
        </w:tc>
        <w:tc>
          <w:tcPr>
            <w:tcW w:w="2340" w:type="dxa"/>
            <w:shd w:val="clear" w:color="auto" w:fill="D8D8D8" w:themeFill="background1" w:themeFillShade="D9"/>
          </w:tcPr>
          <w:p>
            <w:pPr>
              <w:pStyle w:val="107"/>
            </w:pPr>
            <w:r>
              <w:t>Derived from packet's ingress BH RLC channel</w:t>
            </w:r>
          </w:p>
        </w:tc>
        <w:tc>
          <w:tcPr>
            <w:tcW w:w="2250" w:type="dxa"/>
            <w:shd w:val="clear" w:color="auto" w:fill="FFFFFF" w:themeFill="background1"/>
          </w:tcPr>
          <w:p>
            <w:pPr>
              <w:pStyle w:val="107"/>
            </w:pPr>
            <w:r>
              <w:t>BH RLC channel on egress link to forward packet</w:t>
            </w:r>
          </w:p>
        </w:tc>
      </w:tr>
    </w:tbl>
    <w:p>
      <w:pPr>
        <w:rPr>
          <w:lang w:eastAsia="zh-CN"/>
        </w:rPr>
      </w:pPr>
    </w:p>
    <w:p>
      <w:pPr>
        <w:rPr>
          <w:lang w:eastAsia="zh-CN"/>
        </w:rPr>
      </w:pPr>
      <w:r>
        <w:rPr>
          <w:lang w:eastAsia="zh-CN"/>
        </w:rPr>
        <w:t xml:space="preserve">The IAB-node resolves the BH RLC channel IDs from logical channel IDs based on the configuration by the IAB-donor-CU. </w:t>
      </w:r>
      <w:r>
        <w:t>The IAB-MT obtains the BH RLC channel ID in the RRC configuration of the corresponding logical channel. The IAB-DU obtains the BH RLC channel ID in the F1AP configuration of the BH RLC channel.</w:t>
      </w:r>
    </w:p>
    <w:p>
      <w:pPr>
        <w:rPr>
          <w:lang w:eastAsia="en-GB"/>
        </w:rPr>
      </w:pPr>
    </w:p>
    <w:p>
      <w:pPr>
        <w:pBdr>
          <w:top w:val="single" w:color="auto" w:sz="4" w:space="1"/>
          <w:left w:val="single" w:color="auto" w:sz="4" w:space="4"/>
          <w:bottom w:val="single" w:color="auto" w:sz="4" w:space="2"/>
          <w:right w:val="single" w:color="auto" w:sz="4" w:space="4"/>
        </w:pBdr>
        <w:shd w:val="clear" w:color="auto" w:fill="FFFF99"/>
        <w:spacing w:before="240" w:after="240"/>
        <w:jc w:val="center"/>
        <w:rPr>
          <w:i/>
        </w:rPr>
      </w:pPr>
      <w:r>
        <w:rPr>
          <w:i/>
        </w:rPr>
        <w:t>Next Modification</w:t>
      </w:r>
    </w:p>
    <w:p>
      <w:pPr>
        <w:rPr>
          <w:lang w:eastAsia="en-GB"/>
        </w:rPr>
      </w:pPr>
    </w:p>
    <w:p>
      <w:pPr>
        <w:pStyle w:val="5"/>
      </w:pPr>
      <w:bookmarkStart w:id="12" w:name="_Toc51971361"/>
      <w:bookmarkStart w:id="13" w:name="_Toc52551344"/>
      <w:bookmarkStart w:id="14" w:name="_Toc46502013"/>
      <w:bookmarkStart w:id="15" w:name="_Toc76504998"/>
      <w:r>
        <w:t>9.2.3.4</w:t>
      </w:r>
      <w:r>
        <w:tab/>
      </w:r>
      <w:r>
        <w:t>Conditional Handover</w:t>
      </w:r>
      <w:bookmarkEnd w:id="12"/>
      <w:bookmarkEnd w:id="13"/>
      <w:bookmarkEnd w:id="14"/>
      <w:bookmarkEnd w:id="15"/>
    </w:p>
    <w:p>
      <w:pPr>
        <w:pStyle w:val="6"/>
      </w:pPr>
      <w:bookmarkStart w:id="16" w:name="_Toc76504999"/>
      <w:bookmarkStart w:id="17" w:name="_Toc51971362"/>
      <w:bookmarkStart w:id="18" w:name="_Toc46502014"/>
      <w:bookmarkStart w:id="19" w:name="_Toc37231959"/>
      <w:bookmarkStart w:id="20" w:name="_Toc52551345"/>
      <w:r>
        <w:t>9.2.3.4.1</w:t>
      </w:r>
      <w:r>
        <w:tab/>
      </w:r>
      <w:r>
        <w:t>General</w:t>
      </w:r>
      <w:bookmarkEnd w:id="16"/>
      <w:bookmarkEnd w:id="17"/>
      <w:bookmarkEnd w:id="18"/>
      <w:bookmarkEnd w:id="19"/>
      <w:bookmarkEnd w:id="20"/>
    </w:p>
    <w:p>
      <w:pPr>
        <w:rPr>
          <w:rFonts w:eastAsia="宋体"/>
          <w:lang w:eastAsia="zh-CN"/>
        </w:rPr>
      </w:pPr>
      <w:r>
        <w:rPr>
          <w:rFonts w:eastAsia="宋体"/>
          <w:lang w:eastAsia="zh-CN"/>
        </w:rPr>
        <w:t>A Conditional Handover (CHO) is defined as a handover that is executed by the UE when one or more handover execution conditions are met. The UE starts evaluating the execution condition(s) upon receiving the CHO configuration, and stops evaluating the execution condition(s) once a handover is executed.</w:t>
      </w:r>
    </w:p>
    <w:p>
      <w:r>
        <w:rPr>
          <w:rFonts w:eastAsia="宋体"/>
          <w:lang w:eastAsia="zh-CN"/>
        </w:rPr>
        <w:t>The following principles apply to CHO:</w:t>
      </w:r>
    </w:p>
    <w:p>
      <w:pPr>
        <w:pStyle w:val="135"/>
      </w:pPr>
      <w:r>
        <w:t>-</w:t>
      </w:r>
      <w:r>
        <w:tab/>
      </w:r>
      <w:r>
        <w:t xml:space="preserve">The CHO configuration contains </w:t>
      </w:r>
      <w:r>
        <w:rPr>
          <w:lang w:eastAsia="ko-KR"/>
        </w:rPr>
        <w:t>the configuration of CHO candidate cell(s) generated by the candidate gNB(s) and execution condition(s) generated by the source gNB</w:t>
      </w:r>
      <w:r>
        <w:rPr>
          <w:rFonts w:ascii="宋体" w:hAnsi="宋体" w:eastAsia="宋体"/>
          <w:lang w:eastAsia="zh-CN"/>
        </w:rPr>
        <w:t>.</w:t>
      </w:r>
    </w:p>
    <w:p>
      <w:pPr>
        <w:pStyle w:val="135"/>
      </w:pPr>
      <w:r>
        <w:t>-</w:t>
      </w:r>
      <w:r>
        <w:tab/>
      </w:r>
      <w:r>
        <w:t xml:space="preserve">An </w:t>
      </w:r>
      <w:r>
        <w:rPr>
          <w:lang w:eastAsia="ko-KR"/>
        </w:rPr>
        <w:t xml:space="preserve">execution </w:t>
      </w:r>
      <w:r>
        <w:t>condition may consist of one or two trigger condition(s) (CHO events A3/A5, as defined in [12]). Only single RS type is supported and at most two different trigger quantities (e.g. RSRP and RSRQ, RSRP and SINR, etc.) can be configured simultaneously for the evalution of CHO execution condition of a single candidate cell.</w:t>
      </w:r>
    </w:p>
    <w:p>
      <w:pPr>
        <w:pStyle w:val="135"/>
      </w:pPr>
      <w:r>
        <w:t>-</w:t>
      </w:r>
      <w:r>
        <w:tab/>
      </w:r>
      <w:r>
        <w:t>Before any CHO execution condition is satisfied, upon reception of HO command (without CHO configuration), the UE executes the HO procedure as described in clause 9.2.3.2, regardless of any previously received CHO configuration.</w:t>
      </w:r>
    </w:p>
    <w:p>
      <w:pPr>
        <w:pStyle w:val="135"/>
      </w:pPr>
      <w:r>
        <w:t>-</w:t>
      </w:r>
      <w:r>
        <w:tab/>
      </w:r>
      <w:r>
        <w:t>While executing CHO, i.e. from the time when the UE starts synchronization with target cell, UE does not monitor source cell.</w:t>
      </w:r>
    </w:p>
    <w:p>
      <w:pPr>
        <w:rPr>
          <w:ins w:id="157" w:author="QC-3" w:date="2021-09-06T11:15:00Z"/>
        </w:rPr>
      </w:pPr>
      <w:ins w:id="158" w:author="QC-3" w:date="2021-09-06T11:02:00Z">
        <w:r>
          <w:rPr/>
          <w:t>CHO is also supported for</w:t>
        </w:r>
      </w:ins>
      <w:ins w:id="159" w:author="QC-3" w:date="2021-09-06T11:23:00Z">
        <w:r>
          <w:rPr/>
          <w:t xml:space="preserve"> the</w:t>
        </w:r>
      </w:ins>
      <w:ins w:id="160" w:author="QC-3" w:date="2021-09-06T11:24:00Z">
        <w:r>
          <w:rPr/>
          <w:t xml:space="preserve"> IAB-MT in context of</w:t>
        </w:r>
      </w:ins>
      <w:ins w:id="161" w:author="QC-3" w:date="2021-09-06T11:02:00Z">
        <w:r>
          <w:rPr/>
          <w:t xml:space="preserve"> </w:t>
        </w:r>
      </w:ins>
      <w:ins w:id="162" w:author="QC-3" w:date="2021-09-06T11:22:00Z">
        <w:r>
          <w:rPr/>
          <w:t>intra- and inter-donor IAB-node migration and RLF recovery</w:t>
        </w:r>
      </w:ins>
      <w:ins w:id="163" w:author="QC-3" w:date="2021-09-06T11:02:00Z">
        <w:r>
          <w:rPr/>
          <w:t>.</w:t>
        </w:r>
      </w:ins>
    </w:p>
    <w:p>
      <w:pPr>
        <w:jc w:val="center"/>
        <w:rPr>
          <w:ins w:id="164" w:author="QC-3" w:date="2021-09-06T11:15:00Z"/>
          <w:b/>
          <w:bCs/>
          <w:color w:val="FF0000"/>
        </w:rPr>
      </w:pPr>
      <w:ins w:id="165" w:author="QC-3" w:date="2021-09-06T11:15:00Z">
        <w:r>
          <w:rPr>
            <w:rStyle w:val="115"/>
          </w:rPr>
          <w:t>Editor’s NOTE: FFS if any IAB-specific specifications</w:t>
        </w:r>
      </w:ins>
      <w:ins w:id="166" w:author="QC-3" w:date="2021-09-06T11:24:00Z">
        <w:r>
          <w:rPr>
            <w:rStyle w:val="115"/>
          </w:rPr>
          <w:t xml:space="preserve"> or needed</w:t>
        </w:r>
      </w:ins>
      <w:ins w:id="167" w:author="QC-3" w:date="2021-09-06T11:15:00Z">
        <w:r>
          <w:rPr>
            <w:rStyle w:val="115"/>
          </w:rPr>
          <w:t>.</w:t>
        </w:r>
      </w:ins>
      <w:ins w:id="168" w:author="QC-3" w:date="2021-09-06T11:22:00Z">
        <w:r>
          <w:rPr>
            <w:rStyle w:val="115"/>
          </w:rPr>
          <w:t xml:space="preserve"> FFS further details related to intra-/inter</w:t>
        </w:r>
      </w:ins>
      <w:ins w:id="169" w:author="QC-3" w:date="2021-09-06T11:23:00Z">
        <w:r>
          <w:rPr>
            <w:rStyle w:val="115"/>
          </w:rPr>
          <w:t>-donor migration/recovery.</w:t>
        </w:r>
      </w:ins>
      <w:ins w:id="170" w:author="Huawei-Yulong" w:date="2021-09-08T09:42:00Z">
        <w:r>
          <w:rPr>
            <w:b/>
            <w:bCs/>
            <w:color w:val="FF0000"/>
          </w:rPr>
          <w:tab/>
        </w:r>
      </w:ins>
      <w:ins w:id="171" w:author="Huawei-Yulong" w:date="2021-09-08T09:42:00Z">
        <w:del w:id="172" w:author="QC-4" w:date="2021-09-08T20:03:00Z">
          <w:r>
            <w:rPr>
              <w:b/>
              <w:bCs/>
              <w:color w:val="FF0000"/>
            </w:rPr>
            <w:delText>RAN2 to discuss CHO and start with intra-donor CHO until RAN3 has made progress on</w:delText>
          </w:r>
          <w:commentRangeStart w:id="30"/>
          <w:commentRangeStart w:id="31"/>
          <w:r>
            <w:rPr>
              <w:b/>
              <w:bCs/>
              <w:color w:val="FF0000"/>
            </w:rPr>
            <w:delText xml:space="preserve"> inter-donor </w:delText>
          </w:r>
          <w:commentRangeEnd w:id="30"/>
        </w:del>
      </w:ins>
      <w:ins w:id="173" w:author="Huawei-Yulong" w:date="2021-09-08T09:42:00Z">
        <w:del w:id="174" w:author="QC-4" w:date="2021-09-08T20:03:00Z">
          <w:r>
            <w:rPr>
              <w:rStyle w:val="69"/>
            </w:rPr>
            <w:commentReference w:id="30"/>
          </w:r>
          <w:commentRangeEnd w:id="31"/>
        </w:del>
      </w:ins>
      <w:r>
        <w:rPr>
          <w:rStyle w:val="69"/>
        </w:rPr>
        <w:commentReference w:id="31"/>
      </w:r>
      <w:ins w:id="175" w:author="Huawei-Yulong" w:date="2021-09-08T09:42:00Z">
        <w:del w:id="176" w:author="QC-4" w:date="2021-09-08T20:03:00Z">
          <w:r>
            <w:rPr>
              <w:b/>
              <w:bCs/>
              <w:color w:val="FF0000"/>
            </w:rPr>
            <w:delText>IAB-node migration.</w:delText>
          </w:r>
        </w:del>
      </w:ins>
    </w:p>
    <w:p>
      <w:pPr>
        <w:rPr>
          <w:ins w:id="177" w:author="QC-3" w:date="2021-09-06T11:01:00Z"/>
        </w:rPr>
      </w:pPr>
    </w:p>
    <w:p>
      <w:r>
        <w:rPr>
          <w:rFonts w:eastAsia="宋体"/>
          <w:lang w:eastAsia="zh-CN"/>
        </w:rPr>
        <w:t>CHO is not supported for NG-C based handover in this release of the specification.</w:t>
      </w:r>
    </w:p>
    <w:p>
      <w:pPr>
        <w:rPr>
          <w:ins w:id="178" w:author="QC-3" w:date="2021-09-06T11:14:00Z"/>
        </w:rPr>
      </w:pPr>
    </w:p>
    <w:p>
      <w:pPr>
        <w:pBdr>
          <w:top w:val="single" w:color="auto" w:sz="4" w:space="1"/>
          <w:left w:val="single" w:color="auto" w:sz="4" w:space="4"/>
          <w:bottom w:val="single" w:color="auto" w:sz="4" w:space="2"/>
          <w:right w:val="single" w:color="auto" w:sz="4" w:space="4"/>
        </w:pBdr>
        <w:shd w:val="clear" w:color="auto" w:fill="FFFF99"/>
        <w:spacing w:before="240" w:after="240"/>
        <w:jc w:val="center"/>
        <w:rPr>
          <w:i/>
        </w:rPr>
      </w:pPr>
      <w:r>
        <w:rPr>
          <w:i/>
        </w:rPr>
        <w:t>Next Modification</w:t>
      </w:r>
    </w:p>
    <w:p>
      <w:pPr>
        <w:pStyle w:val="4"/>
      </w:pPr>
      <w:bookmarkStart w:id="21" w:name="_Toc52551352"/>
      <w:bookmarkStart w:id="22" w:name="_Toc76505006"/>
      <w:bookmarkStart w:id="23" w:name="_Toc51971369"/>
      <w:bookmarkStart w:id="24" w:name="_Toc46502021"/>
      <w:bookmarkStart w:id="25" w:name="_Toc37231964"/>
      <w:bookmarkStart w:id="26" w:name="_Toc29376070"/>
      <w:bookmarkStart w:id="27" w:name="_Toc20387990"/>
      <w:r>
        <w:t>9.2.7</w:t>
      </w:r>
      <w:r>
        <w:tab/>
      </w:r>
      <w:r>
        <w:t>Radio Link Failure</w:t>
      </w:r>
      <w:bookmarkEnd w:id="21"/>
      <w:bookmarkEnd w:id="22"/>
      <w:bookmarkEnd w:id="23"/>
      <w:bookmarkEnd w:id="24"/>
      <w:bookmarkEnd w:id="25"/>
      <w:bookmarkEnd w:id="26"/>
      <w:bookmarkEnd w:id="27"/>
    </w:p>
    <w:p>
      <w:r>
        <w:t xml:space="preserve">In RRC_CONNECTED, the UE performs Radio Link Monitoring (RLM) in the active BWP based on reference signals (SSB/CSI-RS) and signal quality thresholds configured by the network. </w:t>
      </w:r>
      <w:r>
        <w:rPr>
          <w:shd w:val="clear" w:color="auto" w:fill="FFFFFF"/>
        </w:rPr>
        <w:t xml:space="preserve">SSB-based RLM is based on the SSB associated to the initial DL BWP and can only be configured for the initial DL BWP and for DL BWPs containing the SSB associated to the initial DL BWP. For other DL BWPs, RLM can only be performed based on CSI-RS. In case of DAPS handover, the UE continues the </w:t>
      </w:r>
      <w:r>
        <w:rPr>
          <w:rFonts w:eastAsia="Yu Mincho"/>
          <w:shd w:val="clear" w:color="auto" w:fill="FFFFFF"/>
        </w:rPr>
        <w:t xml:space="preserve">detection of radio link failure </w:t>
      </w:r>
      <w:r>
        <w:rPr>
          <w:shd w:val="clear" w:color="auto" w:fill="FFFFFF"/>
        </w:rPr>
        <w:t>at the source cell</w:t>
      </w:r>
      <w:r>
        <w:t xml:space="preserve"> </w:t>
      </w:r>
      <w:r>
        <w:rPr>
          <w:shd w:val="clear" w:color="auto" w:fill="FFFFFF"/>
        </w:rPr>
        <w:t>until the successful completion of the random access procedure to the target cell.</w:t>
      </w:r>
    </w:p>
    <w:p>
      <w:r>
        <w:t>The UE declares Radio Link Failure (RLF) when one of the following criteria are met:</w:t>
      </w:r>
    </w:p>
    <w:p>
      <w:pPr>
        <w:pStyle w:val="135"/>
      </w:pPr>
      <w:r>
        <w:t>-</w:t>
      </w:r>
      <w:r>
        <w:tab/>
      </w:r>
      <w:r>
        <w:t>Expiry of a radio problem timer started after indication of radio problems from the physical layer (if radio problems are recovered before the timer is expired, the UE stops the timer); or</w:t>
      </w:r>
    </w:p>
    <w:p>
      <w:pPr>
        <w:pStyle w:val="135"/>
      </w:pPr>
      <w:r>
        <w:t>-</w:t>
      </w:r>
      <w:r>
        <w:tab/>
      </w:r>
      <w:r>
        <w:t>Expiry of a timer started upon triggering a measurement report for a measurement identity for which the timer has been configured while another radio problem timer is running; or</w:t>
      </w:r>
    </w:p>
    <w:p>
      <w:pPr>
        <w:pStyle w:val="135"/>
      </w:pPr>
      <w:r>
        <w:t>-</w:t>
      </w:r>
      <w:r>
        <w:tab/>
      </w:r>
      <w:r>
        <w:t>Random access procedure failure; or</w:t>
      </w:r>
    </w:p>
    <w:p>
      <w:pPr>
        <w:pStyle w:val="135"/>
      </w:pPr>
      <w:r>
        <w:t>-</w:t>
      </w:r>
      <w:r>
        <w:tab/>
      </w:r>
      <w:r>
        <w:t>RLC failure; or</w:t>
      </w:r>
    </w:p>
    <w:p>
      <w:pPr>
        <w:pStyle w:val="135"/>
      </w:pPr>
      <w:r>
        <w:t>-</w:t>
      </w:r>
      <w:r>
        <w:tab/>
      </w:r>
      <w:r>
        <w:t>Detection of consistent uplink LBT failures for operation with shared spectrum channel access as described in 5.6.1; or</w:t>
      </w:r>
    </w:p>
    <w:p>
      <w:pPr>
        <w:pStyle w:val="135"/>
      </w:pPr>
      <w:r>
        <w:t>-</w:t>
      </w:r>
      <w:r>
        <w:tab/>
      </w:r>
      <w:r>
        <w:t xml:space="preserve">For IAB-MT, the reception of </w:t>
      </w:r>
      <w:ins w:id="179" w:author="QC-3" w:date="2021-09-06T09:36:00Z">
        <w:commentRangeStart w:id="32"/>
        <w:commentRangeStart w:id="33"/>
        <w:commentRangeStart w:id="34"/>
        <w:r>
          <w:rPr/>
          <w:t xml:space="preserve">a </w:t>
        </w:r>
      </w:ins>
      <w:r>
        <w:t xml:space="preserve">BH </w:t>
      </w:r>
      <w:del w:id="180" w:author="QC-3" w:date="2021-09-06T09:36:00Z">
        <w:r>
          <w:rPr/>
          <w:delText xml:space="preserve">RLF </w:delText>
        </w:r>
      </w:del>
      <w:ins w:id="181" w:author="QC-3" w:date="2021-09-06T09:36:00Z">
        <w:r>
          <w:rPr/>
          <w:t xml:space="preserve">recovery failure </w:t>
        </w:r>
        <w:commentRangeEnd w:id="32"/>
      </w:ins>
      <w:r>
        <w:rPr>
          <w:rStyle w:val="69"/>
        </w:rPr>
        <w:commentReference w:id="32"/>
      </w:r>
      <w:commentRangeEnd w:id="33"/>
      <w:r>
        <w:rPr>
          <w:rStyle w:val="69"/>
        </w:rPr>
        <w:commentReference w:id="33"/>
      </w:r>
      <w:commentRangeEnd w:id="34"/>
      <w:r>
        <w:rPr>
          <w:rStyle w:val="69"/>
        </w:rPr>
        <w:commentReference w:id="34"/>
      </w:r>
      <w:r>
        <w:t>indication received from its parent node.</w:t>
      </w:r>
    </w:p>
    <w:p>
      <w:r>
        <w:t>After RLF is declared, the UE:</w:t>
      </w:r>
    </w:p>
    <w:p>
      <w:pPr>
        <w:pStyle w:val="135"/>
      </w:pPr>
      <w:r>
        <w:t>-</w:t>
      </w:r>
      <w:r>
        <w:tab/>
      </w:r>
      <w:r>
        <w:t>stays in RRC_CONNECTED;</w:t>
      </w:r>
    </w:p>
    <w:p>
      <w:pPr>
        <w:pStyle w:val="135"/>
      </w:pPr>
      <w:r>
        <w:t>-</w:t>
      </w:r>
      <w:r>
        <w:tab/>
      </w:r>
      <w:r>
        <w:t>in case of DAPS handover, for RLF in the source cell:</w:t>
      </w:r>
    </w:p>
    <w:p>
      <w:pPr>
        <w:pStyle w:val="128"/>
      </w:pPr>
      <w:r>
        <w:t>-</w:t>
      </w:r>
      <w:r>
        <w:tab/>
      </w:r>
      <w:r>
        <w:t>stops any data transmission or reception via the source link and releases the source link, but maintains the source RRC configuration;</w:t>
      </w:r>
    </w:p>
    <w:p>
      <w:pPr>
        <w:pStyle w:val="128"/>
      </w:pPr>
      <w:r>
        <w:t>-</w:t>
      </w:r>
      <w:r>
        <w:tab/>
      </w:r>
      <w:r>
        <w:t>if handover failure is then declared at the target cell, the UE:</w:t>
      </w:r>
    </w:p>
    <w:p>
      <w:pPr>
        <w:pStyle w:val="123"/>
      </w:pPr>
      <w:r>
        <w:t>-</w:t>
      </w:r>
      <w:r>
        <w:tab/>
      </w:r>
      <w:r>
        <w:t>selects a suitable cell and then initiates RRC re-establishment;</w:t>
      </w:r>
    </w:p>
    <w:p>
      <w:pPr>
        <w:pStyle w:val="123"/>
      </w:pPr>
      <w:r>
        <w:t>-</w:t>
      </w:r>
      <w:r>
        <w:tab/>
      </w:r>
      <w:r>
        <w:t>enters RRC_IDLE if a suitable cell was not found within a certain time after handover failure was declared.</w:t>
      </w:r>
    </w:p>
    <w:p>
      <w:pPr>
        <w:pStyle w:val="135"/>
      </w:pPr>
      <w:r>
        <w:t>-</w:t>
      </w:r>
      <w:r>
        <w:tab/>
      </w:r>
      <w:r>
        <w:t>in case of CHO, for RLF in the source cell:</w:t>
      </w:r>
    </w:p>
    <w:p>
      <w:pPr>
        <w:pStyle w:val="128"/>
      </w:pPr>
      <w:r>
        <w:t>-</w:t>
      </w:r>
      <w:r>
        <w:tab/>
      </w:r>
      <w:r>
        <w:t>selects a suitable cell and if the selected cell is a CHO candidate and if network configured the UE to try CHO after RLF then the UE attempts CHO execution once, otherwise re-establishment is performed;</w:t>
      </w:r>
    </w:p>
    <w:p>
      <w:pPr>
        <w:pStyle w:val="128"/>
      </w:pPr>
      <w:r>
        <w:t>-</w:t>
      </w:r>
      <w:r>
        <w:tab/>
      </w:r>
      <w:r>
        <w:t>enters RRC_IDLE if a suitable cell was not found within a certain time after RLF was declared.</w:t>
      </w:r>
    </w:p>
    <w:p>
      <w:pPr>
        <w:pStyle w:val="135"/>
      </w:pPr>
      <w:r>
        <w:t>-</w:t>
      </w:r>
      <w:r>
        <w:tab/>
      </w:r>
      <w:r>
        <w:t>otherwise, for RLF in the serving cell or in case of DAPS handover, for RLF in the target cell before releasing the source cell:</w:t>
      </w:r>
    </w:p>
    <w:p>
      <w:pPr>
        <w:pStyle w:val="128"/>
      </w:pPr>
      <w:r>
        <w:t>-</w:t>
      </w:r>
      <w:r>
        <w:tab/>
      </w:r>
      <w:r>
        <w:t>selects a suitable cell and then initiates RRC re-establishment;</w:t>
      </w:r>
    </w:p>
    <w:p>
      <w:pPr>
        <w:pStyle w:val="128"/>
      </w:pPr>
      <w:r>
        <w:t>-</w:t>
      </w:r>
      <w:r>
        <w:tab/>
      </w:r>
      <w:r>
        <w:t>enters RRC_IDLE if a suitable cell was not found within a certain time after RLF was declared.</w:t>
      </w:r>
    </w:p>
    <w:p>
      <w:r>
        <w:t>When RLF occurs at the IAB BH link, the same mechanisms and procedures are applied as for the access link. This includes BH RLF detection and RLF recovery.</w:t>
      </w:r>
    </w:p>
    <w:p>
      <w:pPr>
        <w:rPr>
          <w:ins w:id="182" w:author="QC-3" w:date="2021-09-06T09:21:00Z"/>
        </w:rPr>
      </w:pPr>
    </w:p>
    <w:p>
      <w:pPr>
        <w:rPr>
          <w:ins w:id="183" w:author="QC-3" w:date="2021-09-06T09:28:00Z"/>
        </w:rPr>
      </w:pPr>
      <w:ins w:id="184" w:author="QC-3" w:date="2021-09-06T09:21:00Z">
        <w:r>
          <w:rPr/>
          <w:t xml:space="preserve">When </w:t>
        </w:r>
      </w:ins>
      <w:ins w:id="185" w:author="QC-3" w:date="2021-09-06T09:22:00Z">
        <w:r>
          <w:rPr/>
          <w:t xml:space="preserve">the </w:t>
        </w:r>
      </w:ins>
      <w:ins w:id="186" w:author="QC-3" w:date="2021-09-06T09:23:00Z">
        <w:r>
          <w:rPr/>
          <w:t xml:space="preserve">single-connected </w:t>
        </w:r>
      </w:ins>
      <w:ins w:id="187" w:author="QC-3" w:date="2021-09-06T09:22:00Z">
        <w:r>
          <w:rPr/>
          <w:t>IAB-</w:t>
        </w:r>
      </w:ins>
      <w:ins w:id="188" w:author="QC-3" w:date="2021-09-06T09:23:00Z">
        <w:r>
          <w:rPr/>
          <w:t>MT detects RLF at the BH link, the coll</w:t>
        </w:r>
      </w:ins>
      <w:ins w:id="189" w:author="QC-3" w:date="2021-09-06T09:24:00Z">
        <w:r>
          <w:rPr/>
          <w:t>ocated IAB-DU</w:t>
        </w:r>
      </w:ins>
      <w:ins w:id="190" w:author="QC-3" w:date="2021-09-06T09:23:00Z">
        <w:r>
          <w:rPr/>
          <w:t xml:space="preserve"> may </w:t>
        </w:r>
      </w:ins>
      <w:ins w:id="191" w:author="QC-3" w:date="2021-09-06T09:21:00Z">
        <w:r>
          <w:rPr/>
          <w:t>transmit a BH RLF</w:t>
        </w:r>
      </w:ins>
      <w:ins w:id="192" w:author="QC-3" w:date="2021-09-06T09:29:00Z">
        <w:r>
          <w:rPr/>
          <w:t xml:space="preserve"> </w:t>
        </w:r>
      </w:ins>
      <w:ins w:id="193" w:author="QC-3" w:date="2021-09-06T09:22:00Z">
        <w:r>
          <w:rPr/>
          <w:t>detection indication</w:t>
        </w:r>
      </w:ins>
      <w:ins w:id="194" w:author="QC-3" w:date="2021-09-06T09:24:00Z">
        <w:r>
          <w:rPr/>
          <w:t xml:space="preserve"> to </w:t>
        </w:r>
      </w:ins>
      <w:ins w:id="195" w:author="QC-3" w:date="2021-09-06T09:30:00Z">
        <w:r>
          <w:rPr/>
          <w:t>its</w:t>
        </w:r>
      </w:ins>
      <w:ins w:id="196" w:author="QC-3" w:date="2021-09-06T09:24:00Z">
        <w:r>
          <w:rPr/>
          <w:t xml:space="preserve"> child node</w:t>
        </w:r>
      </w:ins>
      <w:ins w:id="197" w:author="QC-3" w:date="2021-09-06T09:30:00Z">
        <w:r>
          <w:rPr/>
          <w:t>s</w:t>
        </w:r>
      </w:ins>
      <w:ins w:id="198" w:author="QC-3" w:date="2021-09-06T09:22:00Z">
        <w:r>
          <w:rPr/>
          <w:t>.</w:t>
        </w:r>
      </w:ins>
      <w:ins w:id="199" w:author="QC-3" w:date="2021-09-06T09:24:00Z">
        <w:r>
          <w:rPr/>
          <w:t xml:space="preserve"> </w:t>
        </w:r>
      </w:ins>
      <w:ins w:id="200" w:author="QC-3" w:date="2021-09-06T09:28:00Z">
        <w:r>
          <w:rPr/>
          <w:t>After the IAB-MT</w:t>
        </w:r>
      </w:ins>
      <w:ins w:id="201" w:author="QC-3" w:date="2021-09-06T10:41:00Z">
        <w:r>
          <w:rPr/>
          <w:t>’</w:t>
        </w:r>
      </w:ins>
      <w:ins w:id="202" w:author="QC-3" w:date="2021-09-06T10:42:00Z">
        <w:r>
          <w:rPr/>
          <w:t xml:space="preserve">s BH link </w:t>
        </w:r>
      </w:ins>
      <w:ins w:id="203" w:author="QC-3" w:date="2021-09-06T09:28:00Z">
        <w:r>
          <w:rPr/>
          <w:t>has successfully recovered, the collocated IA</w:t>
        </w:r>
      </w:ins>
      <w:ins w:id="204" w:author="QC-3" w:date="2021-09-06T09:29:00Z">
        <w:r>
          <w:rPr/>
          <w:t xml:space="preserve">B-DU may transmit </w:t>
        </w:r>
      </w:ins>
      <w:ins w:id="205" w:author="QC-3" w:date="2021-09-06T09:49:00Z">
        <w:r>
          <w:rPr/>
          <w:t xml:space="preserve">a </w:t>
        </w:r>
      </w:ins>
      <w:ins w:id="206" w:author="QC-3" w:date="2021-09-06T09:29:00Z">
        <w:r>
          <w:rPr/>
          <w:t xml:space="preserve">BH recovery indication to </w:t>
        </w:r>
      </w:ins>
      <w:ins w:id="207" w:author="QC-3" w:date="2021-09-06T09:30:00Z">
        <w:r>
          <w:rPr/>
          <w:t>its</w:t>
        </w:r>
      </w:ins>
      <w:ins w:id="208" w:author="QC-3" w:date="2021-09-06T09:29:00Z">
        <w:r>
          <w:rPr/>
          <w:t xml:space="preserve"> child node</w:t>
        </w:r>
      </w:ins>
      <w:ins w:id="209" w:author="QC-3" w:date="2021-09-06T09:30:00Z">
        <w:r>
          <w:rPr/>
          <w:t>s</w:t>
        </w:r>
      </w:ins>
      <w:ins w:id="210" w:author="QC-3" w:date="2021-09-06T09:29:00Z">
        <w:r>
          <w:rPr/>
          <w:t xml:space="preserve">. </w:t>
        </w:r>
      </w:ins>
    </w:p>
    <w:p>
      <w:pPr>
        <w:pStyle w:val="114"/>
        <w:rPr>
          <w:ins w:id="211" w:author="QC-3" w:date="2021-09-06T09:25:00Z"/>
        </w:rPr>
      </w:pPr>
      <w:ins w:id="212" w:author="QC-3" w:date="2021-09-06T09:22:00Z">
        <w:r>
          <w:rPr/>
          <w:t xml:space="preserve"> </w:t>
        </w:r>
      </w:ins>
    </w:p>
    <w:p>
      <w:pPr>
        <w:pStyle w:val="114"/>
        <w:rPr>
          <w:ins w:id="213" w:author="QC-3" w:date="2021-09-06T10:42:00Z"/>
          <w:color w:val="FF0000"/>
        </w:rPr>
      </w:pPr>
      <w:ins w:id="214" w:author="QC-3" w:date="2021-09-06T09:25:00Z">
        <w:r>
          <w:rPr>
            <w:color w:val="FF0000"/>
            <w:rPrChange w:id="215" w:author="QC-3" w:date="2021-09-06T09:27:00Z">
              <w:rPr/>
            </w:rPrChange>
          </w:rPr>
          <w:t xml:space="preserve">Editor’s NOTE: FFS if </w:t>
        </w:r>
      </w:ins>
      <w:ins w:id="216" w:author="QC-3" w:date="2021-09-06T09:26:00Z">
        <w:r>
          <w:rPr>
            <w:color w:val="FF0000"/>
            <w:rPrChange w:id="217" w:author="QC-3" w:date="2021-09-06T09:27:00Z">
              <w:rPr/>
            </w:rPrChange>
          </w:rPr>
          <w:t>and/or under what circum</w:t>
        </w:r>
      </w:ins>
      <w:ins w:id="218" w:author="QC-3" w:date="2021-09-06T09:27:00Z">
        <w:r>
          <w:rPr>
            <w:color w:val="FF0000"/>
            <w:rPrChange w:id="219" w:author="QC-3" w:date="2021-09-06T09:27:00Z">
              <w:rPr/>
            </w:rPrChange>
          </w:rPr>
          <w:t xml:space="preserve">stances </w:t>
        </w:r>
      </w:ins>
      <w:ins w:id="220" w:author="QC-3" w:date="2021-09-06T09:50:00Z">
        <w:r>
          <w:rPr>
            <w:color w:val="FF0000"/>
          </w:rPr>
          <w:t xml:space="preserve">BH </w:t>
        </w:r>
      </w:ins>
      <w:ins w:id="221" w:author="QC-3" w:date="2021-09-06T09:25:00Z">
        <w:r>
          <w:rPr>
            <w:color w:val="FF0000"/>
            <w:rPrChange w:id="222" w:author="QC-3" w:date="2021-09-06T09:27:00Z">
              <w:rPr/>
            </w:rPrChange>
          </w:rPr>
          <w:t xml:space="preserve">RLF-detection </w:t>
        </w:r>
      </w:ins>
      <w:ins w:id="223" w:author="QC-3" w:date="2021-09-06T09:26:00Z">
        <w:r>
          <w:rPr>
            <w:color w:val="FF0000"/>
            <w:rPrChange w:id="224" w:author="QC-3" w:date="2021-09-06T09:27:00Z">
              <w:rPr/>
            </w:rPrChange>
          </w:rPr>
          <w:t xml:space="preserve">indication </w:t>
        </w:r>
      </w:ins>
      <w:ins w:id="225" w:author="QC-3" w:date="2021-09-06T09:50:00Z">
        <w:r>
          <w:rPr>
            <w:color w:val="FF0000"/>
          </w:rPr>
          <w:t>and BH recovery indication are</w:t>
        </w:r>
      </w:ins>
      <w:ins w:id="226" w:author="QC-3" w:date="2021-09-06T09:26:00Z">
        <w:r>
          <w:rPr>
            <w:color w:val="FF0000"/>
            <w:rPrChange w:id="227" w:author="QC-3" w:date="2021-09-06T09:27:00Z">
              <w:rPr/>
            </w:rPrChange>
          </w:rPr>
          <w:t xml:space="preserve"> transmitted </w:t>
        </w:r>
      </w:ins>
      <w:ins w:id="228" w:author="QC-3" w:date="2021-09-06T09:27:00Z">
        <w:r>
          <w:rPr>
            <w:color w:val="FF0000"/>
            <w:rPrChange w:id="229" w:author="QC-3" w:date="2021-09-06T09:27:00Z">
              <w:rPr/>
            </w:rPrChange>
          </w:rPr>
          <w:t>in case the IAB-MT is dual-connected.</w:t>
        </w:r>
      </w:ins>
    </w:p>
    <w:p>
      <w:pPr>
        <w:pStyle w:val="114"/>
        <w:rPr>
          <w:ins w:id="230" w:author="QC-3" w:date="2021-09-06T10:42:00Z"/>
          <w:color w:val="FF0000"/>
        </w:rPr>
      </w:pPr>
      <w:ins w:id="231" w:author="QC-3" w:date="2021-09-06T10:42:00Z">
        <w:commentRangeStart w:id="35"/>
        <w:r>
          <w:rPr>
            <w:color w:val="FF0000"/>
          </w:rPr>
          <w:t>Editor’s NOTE: FFS if BH recovery indication</w:t>
        </w:r>
      </w:ins>
      <w:ins w:id="232" w:author="QC-3" w:date="2021-09-06T10:43:00Z">
        <w:r>
          <w:rPr>
            <w:color w:val="FF0000"/>
          </w:rPr>
          <w:t xml:space="preserve"> </w:t>
        </w:r>
      </w:ins>
      <w:ins w:id="233" w:author="QC-3" w:date="2021-09-06T10:42:00Z">
        <w:r>
          <w:rPr>
            <w:color w:val="FF0000"/>
          </w:rPr>
          <w:t xml:space="preserve">is only sent </w:t>
        </w:r>
      </w:ins>
      <w:ins w:id="234" w:author="QC-3" w:date="2021-09-06T10:43:00Z">
        <w:r>
          <w:rPr>
            <w:color w:val="FF0000"/>
          </w:rPr>
          <w:t>in case</w:t>
        </w:r>
      </w:ins>
      <w:ins w:id="235" w:author="QC-3" w:date="2021-09-06T10:42:00Z">
        <w:r>
          <w:rPr>
            <w:color w:val="FF0000"/>
          </w:rPr>
          <w:t xml:space="preserve"> BH RLF detection indication has been sent before.</w:t>
        </w:r>
      </w:ins>
      <w:ins w:id="236" w:author="QC-3" w:date="2021-09-06T10:43:00Z">
        <w:r>
          <w:rPr>
            <w:color w:val="FF0000"/>
          </w:rPr>
          <w:t xml:space="preserve"> FFS if it can also be sent if BH RLF detection indication has not been sent before.</w:t>
        </w:r>
        <w:commentRangeEnd w:id="35"/>
      </w:ins>
      <w:r>
        <w:commentReference w:id="35"/>
      </w:r>
    </w:p>
    <w:p>
      <w:pPr>
        <w:jc w:val="center"/>
        <w:rPr>
          <w:ins w:id="238" w:author="QC-3" w:date="2021-09-06T09:25:00Z"/>
          <w:b/>
          <w:bCs/>
          <w:color w:val="FF0000"/>
          <w:rPrChange w:id="239" w:author="QC-3" w:date="2021-09-06T09:27:00Z">
            <w:rPr>
              <w:ins w:id="240" w:author="QC-3" w:date="2021-09-06T09:25:00Z"/>
            </w:rPr>
          </w:rPrChange>
        </w:rPr>
        <w:pPrChange w:id="237" w:author="QC-3" w:date="2021-09-06T09:27:00Z">
          <w:pPr/>
        </w:pPrChange>
      </w:pPr>
    </w:p>
    <w:p>
      <w:pPr>
        <w:rPr>
          <w:ins w:id="241" w:author="QC-3" w:date="2021-09-06T10:38:00Z"/>
        </w:rPr>
      </w:pPr>
      <w:r>
        <w:t xml:space="preserve">In case the RRC reestablishment procedure fails, the IAB-node may transmit a </w:t>
      </w:r>
      <w:commentRangeStart w:id="36"/>
      <w:commentRangeStart w:id="37"/>
      <w:r>
        <w:t xml:space="preserve">BH </w:t>
      </w:r>
      <w:del w:id="242" w:author="QC-3" w:date="2021-09-06T09:31:00Z">
        <w:r>
          <w:rPr/>
          <w:delText xml:space="preserve">RLF </w:delText>
        </w:r>
      </w:del>
      <w:ins w:id="243" w:author="QC-3" w:date="2021-09-06T09:31:00Z">
        <w:r>
          <w:rPr/>
          <w:t xml:space="preserve">recovery failure </w:t>
        </w:r>
        <w:commentRangeEnd w:id="36"/>
      </w:ins>
      <w:r>
        <w:rPr>
          <w:rStyle w:val="69"/>
        </w:rPr>
        <w:commentReference w:id="36"/>
      </w:r>
      <w:commentRangeEnd w:id="37"/>
      <w:r>
        <w:rPr>
          <w:rStyle w:val="69"/>
        </w:rPr>
        <w:commentReference w:id="37"/>
      </w:r>
      <w:r>
        <w:t xml:space="preserve">indication to its child nodes. The BH </w:t>
      </w:r>
      <w:ins w:id="244" w:author="QC-3" w:date="2021-09-06T09:49:00Z">
        <w:r>
          <w:rPr/>
          <w:t xml:space="preserve">RLF </w:t>
        </w:r>
      </w:ins>
      <w:ins w:id="245" w:author="QC-3" w:date="2021-09-06T09:31:00Z">
        <w:r>
          <w:rPr/>
          <w:t>detection indication, BH recovery indication and BH recovery failure</w:t>
        </w:r>
      </w:ins>
      <w:del w:id="246" w:author="QC-3" w:date="2021-09-06T09:32:00Z">
        <w:r>
          <w:rPr/>
          <w:delText>RLF</w:delText>
        </w:r>
      </w:del>
      <w:r>
        <w:t xml:space="preserve"> indication </w:t>
      </w:r>
      <w:del w:id="247" w:author="QC-3" w:date="2021-09-06T09:32:00Z">
        <w:r>
          <w:rPr/>
          <w:delText xml:space="preserve">is </w:delText>
        </w:r>
      </w:del>
      <w:ins w:id="248" w:author="QC-3" w:date="2021-09-06T09:32:00Z">
        <w:r>
          <w:rPr/>
          <w:t xml:space="preserve">are </w:t>
        </w:r>
      </w:ins>
      <w:r>
        <w:t>transmitted as BAP Control PDU</w:t>
      </w:r>
      <w:ins w:id="249" w:author="QC-3" w:date="2021-09-06T09:32:00Z">
        <w:r>
          <w:rPr/>
          <w:t>s</w:t>
        </w:r>
      </w:ins>
      <w:r>
        <w:t>.</w:t>
      </w:r>
    </w:p>
    <w:p>
      <w:pPr>
        <w:rPr>
          <w:ins w:id="250" w:author="QC-3" w:date="2021-09-06T10:38:00Z"/>
        </w:rPr>
      </w:pPr>
      <w:ins w:id="251" w:author="QC-3" w:date="2021-09-06T10:38:00Z">
        <w:r>
          <w:rPr/>
          <w:t xml:space="preserve">Upon reception of the BH </w:t>
        </w:r>
      </w:ins>
      <w:ins w:id="252" w:author="QC-3" w:date="2021-09-06T10:39:00Z">
        <w:r>
          <w:rPr/>
          <w:t>RLF detection</w:t>
        </w:r>
      </w:ins>
      <w:ins w:id="253" w:author="QC-3" w:date="2021-09-06T10:38:00Z">
        <w:r>
          <w:rPr/>
          <w:t xml:space="preserve"> indication,</w:t>
        </w:r>
        <w:commentRangeStart w:id="38"/>
        <w:commentRangeStart w:id="39"/>
        <w:commentRangeStart w:id="40"/>
        <w:commentRangeStart w:id="41"/>
        <w:commentRangeStart w:id="42"/>
        <w:commentRangeStart w:id="43"/>
        <w:commentRangeStart w:id="44"/>
        <w:commentRangeStart w:id="45"/>
        <w:commentRangeStart w:id="46"/>
        <w:r>
          <w:rPr/>
          <w:t xml:space="preserve"> </w:t>
        </w:r>
      </w:ins>
      <w:ins w:id="254" w:author="QC-3" w:date="2021-09-06T10:39:00Z">
        <w:r>
          <w:rPr/>
          <w:t>the IAB-node may deactivate the IAB-supported indicator in SIB. I</w:t>
        </w:r>
      </w:ins>
      <w:ins w:id="255" w:author="QC-3" w:date="2021-09-06T10:40:00Z">
        <w:r>
          <w:rPr/>
          <w:t>t may further deactivate or reduce SR and/or BSR transmissions to its parent node.</w:t>
        </w:r>
        <w:commentRangeEnd w:id="38"/>
      </w:ins>
      <w:r>
        <w:rPr>
          <w:rStyle w:val="69"/>
        </w:rPr>
        <w:commentReference w:id="38"/>
      </w:r>
      <w:commentRangeEnd w:id="39"/>
      <w:r>
        <w:rPr>
          <w:rStyle w:val="69"/>
        </w:rPr>
        <w:commentReference w:id="39"/>
      </w:r>
      <w:commentRangeEnd w:id="40"/>
      <w:r>
        <w:rPr>
          <w:rStyle w:val="69"/>
        </w:rPr>
        <w:commentReference w:id="40"/>
      </w:r>
      <w:commentRangeEnd w:id="41"/>
      <w:r>
        <w:rPr>
          <w:rStyle w:val="69"/>
        </w:rPr>
        <w:commentReference w:id="41"/>
      </w:r>
      <w:commentRangeEnd w:id="42"/>
      <w:r>
        <w:rPr>
          <w:rStyle w:val="69"/>
        </w:rPr>
        <w:commentReference w:id="42"/>
      </w:r>
      <w:commentRangeEnd w:id="43"/>
      <w:r>
        <w:rPr>
          <w:rStyle w:val="69"/>
        </w:rPr>
        <w:commentReference w:id="43"/>
      </w:r>
      <w:commentRangeEnd w:id="44"/>
      <w:r>
        <w:rPr>
          <w:rStyle w:val="69"/>
        </w:rPr>
        <w:commentReference w:id="44"/>
      </w:r>
      <w:commentRangeEnd w:id="45"/>
      <w:r>
        <w:rPr>
          <w:rStyle w:val="69"/>
        </w:rPr>
        <w:commentReference w:id="45"/>
      </w:r>
      <w:commentRangeEnd w:id="46"/>
      <w:r>
        <w:commentReference w:id="46"/>
      </w:r>
      <w:ins w:id="256" w:author="QC-3" w:date="2021-09-06T10:40:00Z">
        <w:r>
          <w:rPr/>
          <w:t xml:space="preserve"> In case the IAB-node is dual-connected, it may further apply local rerouting for UL traffic to the other paren</w:t>
        </w:r>
      </w:ins>
      <w:ins w:id="257" w:author="QC-3" w:date="2021-09-06T10:41:00Z">
        <w:r>
          <w:rPr/>
          <w:t>t node.</w:t>
        </w:r>
      </w:ins>
    </w:p>
    <w:p>
      <w:pPr>
        <w:pStyle w:val="114"/>
        <w:rPr>
          <w:ins w:id="258" w:author="QC-3" w:date="2021-09-06T10:38:00Z"/>
        </w:rPr>
      </w:pPr>
      <w:ins w:id="259" w:author="QC-3" w:date="2021-09-06T10:38:00Z">
        <w:r>
          <w:rPr/>
          <w:t xml:space="preserve">Editor’s NOTE: FFS </w:t>
        </w:r>
      </w:ins>
      <w:ins w:id="260" w:author="QC-3" w:date="2021-09-06T11:26:00Z">
        <w:r>
          <w:rPr/>
          <w:t>on the receiving</w:t>
        </w:r>
      </w:ins>
      <w:ins w:id="261" w:author="QC-3" w:date="2021-09-06T10:39:00Z">
        <w:r>
          <w:rPr/>
          <w:t xml:space="preserve"> node</w:t>
        </w:r>
      </w:ins>
      <w:ins w:id="262" w:author="QC-3" w:date="2021-09-06T11:26:00Z">
        <w:r>
          <w:rPr/>
          <w:t>’s behavior</w:t>
        </w:r>
      </w:ins>
      <w:ins w:id="263" w:author="QC-3" w:date="2021-09-06T10:39:00Z">
        <w:r>
          <w:rPr/>
          <w:t xml:space="preserve"> upon reception of BH recovery indication</w:t>
        </w:r>
      </w:ins>
      <w:ins w:id="264" w:author="QC-3" w:date="2021-09-06T10:38:00Z">
        <w:r>
          <w:rPr/>
          <w:t>.</w:t>
        </w:r>
      </w:ins>
    </w:p>
    <w:p>
      <w:pPr>
        <w:rPr>
          <w:ins w:id="265" w:author="QC-3" w:date="2021-09-06T10:38:00Z"/>
        </w:rPr>
      </w:pPr>
    </w:p>
    <w:p>
      <w:pPr>
        <w:rPr>
          <w:del w:id="266" w:author="QC-3" w:date="2021-09-06T10:43:00Z"/>
          <w:b/>
          <w:bCs/>
          <w:rPrChange w:id="267" w:author="QC-3" w:date="2021-09-06T10:38:00Z">
            <w:rPr>
              <w:del w:id="268" w:author="QC-3" w:date="2021-09-06T10:43:00Z"/>
            </w:rPr>
          </w:rPrChange>
        </w:rPr>
      </w:pPr>
    </w:p>
    <w:p>
      <w:pPr>
        <w:rPr>
          <w:lang w:eastAsia="en-GB"/>
        </w:rPr>
      </w:pPr>
    </w:p>
    <w:p>
      <w:pPr>
        <w:rPr>
          <w:lang w:eastAsia="en-GB"/>
        </w:rPr>
      </w:pPr>
    </w:p>
    <w:p/>
    <w:p/>
    <w:p>
      <w:pPr>
        <w:rPr>
          <w:rFonts w:eastAsia="宋体"/>
          <w:lang w:eastAsia="zh-CN"/>
        </w:rPr>
      </w:pPr>
    </w:p>
    <w:p>
      <w:pPr>
        <w:pBdr>
          <w:top w:val="single" w:color="auto" w:sz="4" w:space="1"/>
          <w:left w:val="single" w:color="auto" w:sz="4" w:space="4"/>
          <w:bottom w:val="single" w:color="auto" w:sz="4" w:space="1"/>
          <w:right w:val="single" w:color="auto" w:sz="4" w:space="4"/>
        </w:pBdr>
        <w:shd w:val="clear" w:color="auto" w:fill="FFFF99"/>
        <w:spacing w:before="240" w:after="240"/>
        <w:jc w:val="center"/>
        <w:rPr>
          <w:i/>
        </w:rPr>
      </w:pPr>
      <w:r>
        <w:rPr>
          <w:i/>
        </w:rPr>
        <w:t xml:space="preserve">End of Changes </w:t>
      </w:r>
    </w:p>
    <w:p>
      <w:pPr>
        <w:rPr>
          <w:rFonts w:eastAsia="宋体"/>
          <w:lang w:eastAsia="zh-CN"/>
        </w:rPr>
      </w:pPr>
    </w:p>
    <w:p>
      <w:pPr>
        <w:rPr>
          <w:rFonts w:eastAsia="宋体"/>
          <w:lang w:eastAsia="zh-CN"/>
        </w:rPr>
        <w:sectPr>
          <w:headerReference r:id="rId5" w:type="even"/>
          <w:footnotePr>
            <w:numRestart w:val="eachSect"/>
          </w:footnotePr>
          <w:pgSz w:w="11907" w:h="16840"/>
          <w:pgMar w:top="1418" w:right="1134" w:bottom="1134" w:left="1134" w:header="680" w:footer="567" w:gutter="0"/>
          <w:cols w:space="720" w:num="1"/>
        </w:sectPr>
      </w:pPr>
    </w:p>
    <w:p>
      <w:pPr>
        <w:pStyle w:val="2"/>
        <w:rPr>
          <w:rFonts w:eastAsia="宋体"/>
          <w:lang w:eastAsia="zh-CN"/>
        </w:rPr>
      </w:pPr>
      <w:r>
        <w:t>Annex (not part of the specification)</w:t>
      </w:r>
      <w:r>
        <w:tab/>
      </w:r>
      <w:r>
        <w:t xml:space="preserve">- collection of RAN2 agreements on NR </w:t>
      </w:r>
      <w:r>
        <w:rPr>
          <w:rFonts w:eastAsia="宋体"/>
          <w:lang w:eastAsia="zh-CN"/>
        </w:rPr>
        <w:t>IAB</w:t>
      </w:r>
      <w:r>
        <w:t xml:space="preserve"> enhancements WI</w:t>
      </w:r>
    </w:p>
    <w:p>
      <w:pPr>
        <w:rPr>
          <w:rFonts w:eastAsia="宋体"/>
          <w:lang w:eastAsia="zh-CN"/>
        </w:rPr>
      </w:pPr>
    </w:p>
    <w:p>
      <w:r>
        <w:rPr>
          <w:highlight w:val="cyan"/>
        </w:rPr>
        <w:t>Cyan highlight</w:t>
      </w:r>
      <w:r>
        <w:t xml:space="preserve"> – agreement captured in this running CR</w:t>
      </w:r>
    </w:p>
    <w:p>
      <w:r>
        <w:t>No highlight – agreement with no direct impact on specifications</w:t>
      </w:r>
    </w:p>
    <w:p>
      <w:pPr>
        <w:rPr>
          <w:rFonts w:eastAsia="宋体"/>
          <w:lang w:eastAsia="zh-CN"/>
        </w:rPr>
      </w:pPr>
    </w:p>
    <w:p>
      <w:pPr>
        <w:pStyle w:val="3"/>
        <w:rPr>
          <w:lang w:eastAsia="zh-CN"/>
        </w:rPr>
      </w:pPr>
      <w:r>
        <w:t>RAN2#11</w:t>
      </w:r>
      <w:r>
        <w:rPr>
          <w:lang w:eastAsia="zh-CN"/>
        </w:rPr>
        <w:t>5</w:t>
      </w:r>
      <w:r>
        <w:rPr>
          <w:rFonts w:hint="eastAsia"/>
        </w:rPr>
        <w:t>-</w:t>
      </w:r>
      <w:r>
        <w:t>e agreements</w:t>
      </w:r>
    </w:p>
    <w:p>
      <w:pPr>
        <w:spacing w:after="120" w:afterLines="50"/>
        <w:rPr>
          <w:b/>
          <w:bCs/>
          <w:u w:val="single"/>
        </w:rPr>
      </w:pPr>
      <w:r>
        <w:rPr>
          <w:b/>
          <w:bCs/>
          <w:u w:val="single"/>
        </w:rPr>
        <w:t>Organizational</w:t>
      </w:r>
    </w:p>
    <w:p>
      <w:pPr>
        <w:pStyle w:val="371"/>
        <w:widowControl w:val="0"/>
        <w:numPr>
          <w:ilvl w:val="0"/>
          <w:numId w:val="10"/>
        </w:numPr>
        <w:tabs>
          <w:tab w:val="left" w:pos="420"/>
          <w:tab w:val="clear" w:pos="1619"/>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R2 assumes that the UE need to be able to treat the separate resources as different cells on L1. </w:t>
      </w:r>
    </w:p>
    <w:p>
      <w:pPr>
        <w:pStyle w:val="371"/>
        <w:widowControl w:val="0"/>
        <w:numPr>
          <w:ilvl w:val="0"/>
          <w:numId w:val="10"/>
        </w:numPr>
        <w:tabs>
          <w:tab w:val="left" w:pos="420"/>
          <w:tab w:val="clear" w:pos="1619"/>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LS is agreeable with the addition of the above assumption. Can consider one more round of details checking. </w:t>
      </w:r>
    </w:p>
    <w:p>
      <w:pPr>
        <w:pStyle w:val="361"/>
        <w:rPr>
          <w:rFonts w:eastAsiaTheme="minorEastAsia"/>
          <w:lang w:val="en-US" w:eastAsia="zh-CN"/>
        </w:rPr>
      </w:pPr>
    </w:p>
    <w:p>
      <w:pPr>
        <w:spacing w:after="120" w:afterLines="50"/>
        <w:rPr>
          <w:b/>
          <w:bCs/>
          <w:u w:val="single"/>
        </w:rPr>
      </w:pPr>
      <w:r>
        <w:rPr>
          <w:b/>
          <w:bCs/>
          <w:u w:val="single"/>
        </w:rPr>
        <w:t>On Enhancements to improve topology-wide fairness multi-hop latency and congestion mitigation</w:t>
      </w:r>
    </w:p>
    <w:p>
      <w:pPr>
        <w:pStyle w:val="371"/>
        <w:widowControl w:val="0"/>
        <w:numPr>
          <w:ilvl w:val="0"/>
          <w:numId w:val="10"/>
        </w:numPr>
        <w:tabs>
          <w:tab w:val="left" w:pos="420"/>
          <w:tab w:val="clear" w:pos="1619"/>
        </w:tabs>
        <w:jc w:val="both"/>
        <w:rPr>
          <w:rFonts w:ascii="Times New Roman" w:hAnsi="Times New Roman"/>
          <w:b w:val="0"/>
          <w:bCs/>
          <w:szCs w:val="20"/>
          <w:lang w:val="en-US" w:eastAsia="zh-CN"/>
        </w:rPr>
      </w:pPr>
      <w:r>
        <w:rPr>
          <w:rFonts w:ascii="Times New Roman" w:hAnsi="Times New Roman"/>
          <w:b w:val="0"/>
          <w:bCs/>
          <w:szCs w:val="20"/>
          <w:lang w:val="en-US" w:eastAsia="zh-CN"/>
        </w:rPr>
        <w:t>The length of LCG to be extended to 8 bits (i.e., at most 256 LCGs).</w:t>
      </w:r>
    </w:p>
    <w:p>
      <w:pPr>
        <w:pStyle w:val="371"/>
        <w:widowControl w:val="0"/>
        <w:numPr>
          <w:ilvl w:val="0"/>
          <w:numId w:val="10"/>
        </w:numPr>
        <w:tabs>
          <w:tab w:val="left" w:pos="420"/>
          <w:tab w:val="clear" w:pos="1619"/>
        </w:tabs>
        <w:jc w:val="both"/>
        <w:rPr>
          <w:rFonts w:ascii="Times New Roman" w:hAnsi="Times New Roman"/>
          <w:b w:val="0"/>
          <w:bCs/>
          <w:szCs w:val="20"/>
          <w:lang w:val="en-US" w:eastAsia="zh-CN"/>
        </w:rPr>
      </w:pPr>
      <w:r>
        <w:rPr>
          <w:rFonts w:ascii="Times New Roman" w:hAnsi="Times New Roman"/>
          <w:b w:val="0"/>
          <w:bCs/>
          <w:szCs w:val="20"/>
          <w:lang w:val="en-US" w:eastAsia="zh-CN"/>
        </w:rPr>
        <w:t>New Short (Truncated) BSR format to specified that has a fixed size and consists of an 8-bit LCG ID field and an 8-bit Buffer Size field.</w:t>
      </w:r>
    </w:p>
    <w:p>
      <w:pPr>
        <w:pStyle w:val="371"/>
        <w:widowControl w:val="0"/>
        <w:numPr>
          <w:ilvl w:val="0"/>
          <w:numId w:val="10"/>
        </w:numPr>
        <w:tabs>
          <w:tab w:val="left" w:pos="420"/>
          <w:tab w:val="clear" w:pos="1619"/>
        </w:tabs>
        <w:jc w:val="both"/>
        <w:rPr>
          <w:rFonts w:ascii="Times New Roman" w:hAnsi="Times New Roman"/>
          <w:b w:val="0"/>
          <w:bCs/>
          <w:szCs w:val="20"/>
          <w:lang w:val="en-US" w:eastAsia="zh-CN"/>
        </w:rPr>
      </w:pPr>
      <w:r>
        <w:rPr>
          <w:rFonts w:ascii="Times New Roman" w:hAnsi="Times New Roman"/>
          <w:b w:val="0"/>
          <w:bCs/>
          <w:szCs w:val="20"/>
          <w:lang w:val="en-US" w:eastAsia="zh-CN"/>
        </w:rPr>
        <w:t>Exclude P1</w:t>
      </w:r>
    </w:p>
    <w:p>
      <w:pPr>
        <w:pStyle w:val="361"/>
        <w:rPr>
          <w:rFonts w:eastAsiaTheme="minorEastAsia"/>
          <w:lang w:val="en-US" w:eastAsia="zh-CN"/>
        </w:rPr>
      </w:pPr>
    </w:p>
    <w:p>
      <w:pPr>
        <w:spacing w:after="120" w:afterLines="50"/>
        <w:rPr>
          <w:b/>
          <w:bCs/>
          <w:u w:val="single"/>
        </w:rPr>
      </w:pPr>
      <w:r>
        <w:rPr>
          <w:b/>
          <w:bCs/>
          <w:u w:val="single"/>
        </w:rPr>
        <w:t>On Topology adaptation enhancements</w:t>
      </w:r>
    </w:p>
    <w:p>
      <w:pPr>
        <w:pStyle w:val="371"/>
        <w:widowControl w:val="0"/>
        <w:numPr>
          <w:ilvl w:val="0"/>
          <w:numId w:val="10"/>
        </w:numPr>
        <w:tabs>
          <w:tab w:val="left" w:pos="420"/>
          <w:tab w:val="clear" w:pos="1619"/>
        </w:tabs>
        <w:jc w:val="both"/>
        <w:rPr>
          <w:rFonts w:ascii="Times New Roman" w:hAnsi="Times New Roman"/>
          <w:b w:val="0"/>
          <w:bCs/>
          <w:szCs w:val="20"/>
          <w:lang w:val="en-US" w:eastAsia="zh-CN"/>
        </w:rPr>
      </w:pPr>
      <w:r>
        <w:rPr>
          <w:rFonts w:ascii="Times New Roman" w:hAnsi="Times New Roman"/>
          <w:b w:val="0"/>
          <w:bCs/>
          <w:szCs w:val="20"/>
          <w:lang w:val="en-US" w:eastAsia="zh-CN"/>
        </w:rPr>
        <w:t>A configured threshold of available buffer size based on flow control feedback is used to determine the congestion, for the purpose of local re-routing.</w:t>
      </w:r>
    </w:p>
    <w:p>
      <w:pPr>
        <w:pStyle w:val="371"/>
        <w:widowControl w:val="0"/>
        <w:numPr>
          <w:ilvl w:val="0"/>
          <w:numId w:val="10"/>
        </w:numPr>
        <w:tabs>
          <w:tab w:val="left" w:pos="420"/>
          <w:tab w:val="clear" w:pos="1619"/>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For intra-CU cases, Support inter-donor-DU re-routing at least in the scenarios of NR-DC among donor-DUs, inter-donor-DU recovery and inter-donor-DU migration.</w:t>
      </w:r>
    </w:p>
    <w:p>
      <w:pPr>
        <w:pStyle w:val="371"/>
        <w:widowControl w:val="0"/>
        <w:numPr>
          <w:ilvl w:val="0"/>
          <w:numId w:val="10"/>
        </w:numPr>
        <w:tabs>
          <w:tab w:val="left" w:pos="420"/>
          <w:tab w:val="clear" w:pos="1619"/>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Support inter-CU re-routing, i.e. IAB-node re-routes the data to its original donor-CU via the alternative BAP path over the topology in target CU.</w:t>
      </w:r>
    </w:p>
    <w:p>
      <w:pPr>
        <w:pStyle w:val="371"/>
        <w:widowControl w:val="0"/>
        <w:numPr>
          <w:ilvl w:val="0"/>
          <w:numId w:val="10"/>
        </w:numPr>
        <w:tabs>
          <w:tab w:val="left" w:pos="420"/>
          <w:tab w:val="clear" w:pos="1619"/>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For inter-donor-DU re-routing, support the “previous routing ID to new routing ID” BAP header rewriting.</w:t>
      </w:r>
    </w:p>
    <w:p>
      <w:pPr>
        <w:pStyle w:val="371"/>
        <w:widowControl w:val="0"/>
        <w:numPr>
          <w:ilvl w:val="0"/>
          <w:numId w:val="10"/>
        </w:numPr>
        <w:tabs>
          <w:tab w:val="left" w:pos="420"/>
          <w:tab w:val="clear" w:pos="1619"/>
        </w:tabs>
        <w:jc w:val="both"/>
        <w:rPr>
          <w:rFonts w:ascii="Times New Roman" w:hAnsi="Times New Roman"/>
          <w:b w:val="0"/>
          <w:bCs/>
          <w:szCs w:val="20"/>
          <w:lang w:val="en-US" w:eastAsia="zh-CN"/>
        </w:rPr>
      </w:pPr>
      <w:r>
        <w:rPr>
          <w:rFonts w:ascii="Times New Roman" w:hAnsi="Times New Roman"/>
          <w:b w:val="0"/>
          <w:bCs/>
          <w:szCs w:val="20"/>
          <w:lang w:val="en-US" w:eastAsia="zh-CN"/>
        </w:rPr>
        <w:t>RAN2 to further discuss the open issues for inter-CU routing:</w:t>
      </w:r>
    </w:p>
    <w:p>
      <w:pPr>
        <w:pStyle w:val="371"/>
        <w:widowControl w:val="0"/>
        <w:numPr>
          <w:ilvl w:val="1"/>
          <w:numId w:val="10"/>
        </w:numPr>
        <w:tabs>
          <w:tab w:val="left" w:pos="420"/>
          <w:tab w:val="clear" w:pos="1619"/>
        </w:tabs>
        <w:jc w:val="both"/>
        <w:rPr>
          <w:rFonts w:ascii="Times New Roman" w:hAnsi="Times New Roman"/>
          <w:b w:val="0"/>
          <w:bCs/>
          <w:szCs w:val="20"/>
          <w:lang w:val="en-US" w:eastAsia="zh-CN"/>
        </w:rPr>
      </w:pPr>
      <w:r>
        <w:rPr>
          <w:rFonts w:ascii="Times New Roman" w:hAnsi="Times New Roman"/>
          <w:b w:val="0"/>
          <w:bCs/>
          <w:szCs w:val="20"/>
          <w:lang w:val="en-US" w:eastAsia="zh-CN"/>
        </w:rPr>
        <w:t>What’s the BAP address added in BAP header in the first topology (i.e. the BAP address of ingress data at the boundary node);</w:t>
      </w:r>
    </w:p>
    <w:p>
      <w:pPr>
        <w:pStyle w:val="371"/>
        <w:widowControl w:val="0"/>
        <w:numPr>
          <w:ilvl w:val="1"/>
          <w:numId w:val="10"/>
        </w:numPr>
        <w:tabs>
          <w:tab w:val="left" w:pos="420"/>
          <w:tab w:val="clear" w:pos="1619"/>
        </w:tabs>
        <w:jc w:val="both"/>
        <w:rPr>
          <w:rFonts w:ascii="Times New Roman" w:hAnsi="Times New Roman"/>
          <w:b w:val="0"/>
          <w:bCs/>
          <w:szCs w:val="20"/>
          <w:lang w:val="en-US" w:eastAsia="zh-CN"/>
        </w:rPr>
      </w:pPr>
      <w:r>
        <w:rPr>
          <w:rFonts w:ascii="Times New Roman" w:hAnsi="Times New Roman"/>
          <w:b w:val="0"/>
          <w:bCs/>
          <w:szCs w:val="20"/>
          <w:lang w:val="en-US" w:eastAsia="zh-CN"/>
        </w:rPr>
        <w:t>How to differentiate the concatenated traffic and non-concatenated traffic;</w:t>
      </w:r>
    </w:p>
    <w:p>
      <w:pPr>
        <w:pStyle w:val="371"/>
        <w:widowControl w:val="0"/>
        <w:numPr>
          <w:ilvl w:val="1"/>
          <w:numId w:val="10"/>
        </w:numPr>
        <w:tabs>
          <w:tab w:val="left" w:pos="420"/>
          <w:tab w:val="clear" w:pos="1619"/>
        </w:tabs>
        <w:jc w:val="both"/>
        <w:rPr>
          <w:rFonts w:ascii="Times New Roman" w:hAnsi="Times New Roman"/>
          <w:b w:val="0"/>
          <w:bCs/>
          <w:szCs w:val="20"/>
          <w:lang w:val="en-US" w:eastAsia="zh-CN"/>
        </w:rPr>
      </w:pPr>
      <w:r>
        <w:rPr>
          <w:rFonts w:ascii="Times New Roman" w:hAnsi="Times New Roman"/>
          <w:b w:val="0"/>
          <w:bCs/>
          <w:szCs w:val="20"/>
          <w:lang w:val="en-US" w:eastAsia="zh-CN"/>
        </w:rPr>
        <w:t>How to determine whether a data should be delivered to upper layer (for downstream);</w:t>
      </w:r>
    </w:p>
    <w:p>
      <w:pPr>
        <w:pStyle w:val="371"/>
        <w:widowControl w:val="0"/>
        <w:numPr>
          <w:ilvl w:val="1"/>
          <w:numId w:val="10"/>
        </w:numPr>
        <w:tabs>
          <w:tab w:val="left" w:pos="420"/>
          <w:tab w:val="clear" w:pos="1619"/>
        </w:tabs>
        <w:jc w:val="both"/>
        <w:rPr>
          <w:rFonts w:ascii="Times New Roman" w:hAnsi="Times New Roman"/>
          <w:b w:val="0"/>
          <w:bCs/>
          <w:szCs w:val="20"/>
          <w:lang w:val="en-US" w:eastAsia="zh-CN"/>
        </w:rPr>
      </w:pPr>
      <w:r>
        <w:rPr>
          <w:rFonts w:ascii="Times New Roman" w:hAnsi="Times New Roman"/>
          <w:b w:val="0"/>
          <w:bCs/>
          <w:szCs w:val="20"/>
          <w:lang w:val="en-US" w:eastAsia="zh-CN"/>
        </w:rPr>
        <w:t>How to determine whether the BAP header of a data should be rewritten (i.e. whether being routed to another topology or its own topology).</w:t>
      </w:r>
    </w:p>
    <w:p>
      <w:pPr>
        <w:pStyle w:val="371"/>
        <w:widowControl w:val="0"/>
        <w:numPr>
          <w:ilvl w:val="0"/>
          <w:numId w:val="10"/>
        </w:numPr>
        <w:tabs>
          <w:tab w:val="left" w:pos="420"/>
          <w:tab w:val="clear" w:pos="1619"/>
        </w:tabs>
        <w:jc w:val="both"/>
        <w:rPr>
          <w:rFonts w:ascii="Times New Roman" w:hAnsi="Times New Roman"/>
          <w:b w:val="0"/>
          <w:bCs/>
          <w:szCs w:val="20"/>
          <w:lang w:val="en-US" w:eastAsia="zh-CN"/>
        </w:rPr>
      </w:pPr>
      <w:r>
        <w:rPr>
          <w:rFonts w:ascii="Times New Roman" w:hAnsi="Times New Roman"/>
          <w:b w:val="0"/>
          <w:bCs/>
          <w:szCs w:val="20"/>
          <w:lang w:val="en-US" w:eastAsia="zh-CN"/>
        </w:rPr>
        <w:t>As baseline, support the 1:1 and N:1 mapping from “previous routing ID” to “new routing ID” for BAP header rewriting at the boundary node, in inter-CU routing.</w:t>
      </w:r>
    </w:p>
    <w:p>
      <w:pPr>
        <w:pStyle w:val="371"/>
        <w:widowControl w:val="0"/>
        <w:numPr>
          <w:ilvl w:val="0"/>
          <w:numId w:val="10"/>
        </w:numPr>
        <w:tabs>
          <w:tab w:val="left" w:pos="420"/>
          <w:tab w:val="clear" w:pos="1619"/>
        </w:tabs>
        <w:jc w:val="both"/>
        <w:rPr>
          <w:rFonts w:ascii="Times New Roman" w:hAnsi="Times New Roman"/>
          <w:b w:val="0"/>
          <w:bCs/>
          <w:szCs w:val="20"/>
          <w:lang w:val="en-US" w:eastAsia="zh-CN"/>
        </w:rPr>
      </w:pPr>
      <w:r>
        <w:rPr>
          <w:rFonts w:ascii="Times New Roman" w:hAnsi="Times New Roman"/>
          <w:b w:val="0"/>
          <w:bCs/>
          <w:szCs w:val="20"/>
          <w:lang w:val="en-US" w:eastAsia="zh-CN"/>
        </w:rPr>
        <w:t>As baseline, support the 1:1 and N:1 mapping from “ingress BH link + ingress BH RLC ID” to “egress BH link + egress BH RLC ID” for bearer mapping at the boundary node, in inter-CU routing.</w:t>
      </w:r>
    </w:p>
    <w:p>
      <w:pPr>
        <w:pStyle w:val="361"/>
        <w:rPr>
          <w:rFonts w:eastAsiaTheme="minorEastAsia"/>
          <w:lang w:eastAsia="zh-CN"/>
        </w:rPr>
      </w:pPr>
    </w:p>
    <w:p>
      <w:pPr>
        <w:pStyle w:val="3"/>
        <w:rPr>
          <w:lang w:eastAsia="zh-CN"/>
        </w:rPr>
      </w:pPr>
      <w:r>
        <w:t>RAN2#11</w:t>
      </w:r>
      <w:r>
        <w:rPr>
          <w:lang w:eastAsia="zh-CN"/>
        </w:rPr>
        <w:t>4</w:t>
      </w:r>
      <w:r>
        <w:rPr>
          <w:rFonts w:hint="eastAsia"/>
        </w:rPr>
        <w:t>-</w:t>
      </w:r>
      <w:r>
        <w:t>e agreements</w:t>
      </w:r>
    </w:p>
    <w:p>
      <w:pPr>
        <w:spacing w:after="120" w:afterLines="50"/>
        <w:rPr>
          <w:b/>
          <w:bCs/>
          <w:u w:val="single"/>
        </w:rPr>
      </w:pPr>
      <w:r>
        <w:rPr>
          <w:b/>
          <w:bCs/>
          <w:u w:val="single"/>
        </w:rPr>
        <w:t>On Topology adaptation enhancements</w:t>
      </w:r>
    </w:p>
    <w:p>
      <w:pPr>
        <w:pStyle w:val="371"/>
        <w:widowControl w:val="0"/>
        <w:numPr>
          <w:ilvl w:val="0"/>
          <w:numId w:val="10"/>
        </w:numPr>
        <w:tabs>
          <w:tab w:val="left" w:pos="420"/>
          <w:tab w:val="clear" w:pos="1619"/>
        </w:tabs>
        <w:jc w:val="both"/>
        <w:rPr>
          <w:rFonts w:ascii="Times New Roman" w:hAnsi="Times New Roman"/>
          <w:b w:val="0"/>
          <w:bCs/>
          <w:szCs w:val="20"/>
          <w:lang w:val="en-US" w:eastAsia="zh-CN"/>
        </w:rPr>
      </w:pPr>
      <w:r>
        <w:rPr>
          <w:rFonts w:ascii="Times New Roman" w:hAnsi="Times New Roman"/>
          <w:b w:val="0"/>
          <w:bCs/>
          <w:szCs w:val="20"/>
          <w:lang w:val="en-US" w:eastAsia="zh-CN"/>
        </w:rPr>
        <w:t>RAN2 preference is to support inter-topology routing via BAP header rewriting based on BAP routing ID option 4</w:t>
      </w:r>
    </w:p>
    <w:p>
      <w:pPr>
        <w:pStyle w:val="371"/>
        <w:widowControl w:val="0"/>
        <w:numPr>
          <w:ilvl w:val="0"/>
          <w:numId w:val="10"/>
        </w:numPr>
        <w:tabs>
          <w:tab w:val="left" w:pos="420"/>
          <w:tab w:val="clear" w:pos="1619"/>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Assume that the IAB-donor will configure (alternative) egress links that can be used at local re-routing (at least with same destination, FFS same routing ID)</w:t>
      </w:r>
    </w:p>
    <w:p>
      <w:pPr>
        <w:pStyle w:val="371"/>
        <w:widowControl w:val="0"/>
        <w:numPr>
          <w:ilvl w:val="0"/>
          <w:numId w:val="10"/>
        </w:numPr>
        <w:tabs>
          <w:tab w:val="left" w:pos="420"/>
          <w:tab w:val="clear" w:pos="1619"/>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Local re-routing based on flow control feedback is allowed based on certain value of available buffer size. FFS further details. (Current hbh fc is for DL traffic.</w:t>
      </w:r>
    </w:p>
    <w:p>
      <w:pPr>
        <w:pStyle w:val="371"/>
        <w:widowControl w:val="0"/>
        <w:numPr>
          <w:ilvl w:val="0"/>
          <w:numId w:val="10"/>
        </w:numPr>
        <w:tabs>
          <w:tab w:val="left" w:pos="420"/>
          <w:tab w:val="clear" w:pos="1619"/>
        </w:tabs>
        <w:jc w:val="both"/>
        <w:rPr>
          <w:rFonts w:ascii="Times New Roman" w:hAnsi="Times New Roman"/>
          <w:b w:val="0"/>
          <w:bCs/>
          <w:szCs w:val="20"/>
          <w:lang w:val="en-US" w:eastAsia="zh-CN"/>
        </w:rPr>
      </w:pPr>
      <w:r>
        <w:rPr>
          <w:rFonts w:ascii="Times New Roman" w:hAnsi="Times New Roman"/>
          <w:b w:val="0"/>
          <w:bCs/>
          <w:szCs w:val="20"/>
        </w:rPr>
        <w:t>NR D</w:t>
      </w:r>
      <w:r>
        <w:rPr>
          <w:rFonts w:ascii="Times New Roman" w:hAnsi="Times New Roman"/>
          <w:b w:val="0"/>
          <w:bCs/>
          <w:szCs w:val="20"/>
          <w:lang w:val="en-US" w:eastAsia="zh-CN"/>
        </w:rPr>
        <w:t>LInformationTransfer and ULInformationTransfer messages can be enhanced to transfer F1-C related packets in CP/UP separation.</w:t>
      </w:r>
    </w:p>
    <w:p>
      <w:pPr>
        <w:pStyle w:val="371"/>
        <w:widowControl w:val="0"/>
        <w:numPr>
          <w:ilvl w:val="0"/>
          <w:numId w:val="10"/>
        </w:numPr>
        <w:tabs>
          <w:tab w:val="left" w:pos="420"/>
          <w:tab w:val="clear" w:pos="1619"/>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A new IE named DedicatedInfoF1c can be defined to transfer F1-C related packets via NR RRC message </w:t>
      </w:r>
    </w:p>
    <w:p>
      <w:pPr>
        <w:pStyle w:val="371"/>
        <w:widowControl w:val="0"/>
        <w:numPr>
          <w:ilvl w:val="0"/>
          <w:numId w:val="10"/>
        </w:numPr>
        <w:tabs>
          <w:tab w:val="left" w:pos="420"/>
          <w:tab w:val="clear" w:pos="1619"/>
        </w:tabs>
        <w:jc w:val="both"/>
        <w:rPr>
          <w:rFonts w:ascii="Times New Roman" w:hAnsi="Times New Roman"/>
          <w:b w:val="0"/>
          <w:bCs/>
          <w:szCs w:val="20"/>
          <w:lang w:val="en-US" w:eastAsia="zh-CN"/>
        </w:rPr>
      </w:pPr>
      <w:r>
        <w:rPr>
          <w:rFonts w:ascii="Times New Roman" w:hAnsi="Times New Roman"/>
          <w:b w:val="0"/>
          <w:bCs/>
          <w:szCs w:val="20"/>
          <w:lang w:val="en-US" w:eastAsia="zh-CN"/>
        </w:rPr>
        <w:t>F1-C over RRC and F1-C over BAP should not be supported simultaneously on the same parent link.</w:t>
      </w:r>
    </w:p>
    <w:p>
      <w:pPr>
        <w:pStyle w:val="371"/>
        <w:widowControl w:val="0"/>
        <w:numPr>
          <w:ilvl w:val="0"/>
          <w:numId w:val="10"/>
        </w:numPr>
        <w:tabs>
          <w:tab w:val="left" w:pos="420"/>
          <w:tab w:val="clear" w:pos="1619"/>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The trigger to generate a type 2 RLF indication is at RLF detection. FFS whether for both: single and dual connection cases.</w:t>
      </w:r>
    </w:p>
    <w:p>
      <w:pPr>
        <w:pStyle w:val="371"/>
        <w:widowControl w:val="0"/>
        <w:numPr>
          <w:ilvl w:val="0"/>
          <w:numId w:val="10"/>
        </w:numPr>
        <w:tabs>
          <w:tab w:val="left" w:pos="420"/>
          <w:tab w:val="clear" w:pos="1619"/>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The trigger for type 3 RLF indication transmission is successful recovery after BH RLF. FFS whether for both: single and dual connection cases.</w:t>
      </w:r>
    </w:p>
    <w:p>
      <w:pPr>
        <w:pStyle w:val="371"/>
        <w:widowControl w:val="0"/>
        <w:numPr>
          <w:ilvl w:val="0"/>
          <w:numId w:val="10"/>
        </w:numPr>
        <w:tabs>
          <w:tab w:val="left" w:pos="420"/>
          <w:tab w:val="clear" w:pos="1619"/>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Type 2 and Type 3 BH RLF Indications are transmitted via BAP Control PDU.</w:t>
      </w:r>
    </w:p>
    <w:p>
      <w:pPr>
        <w:pStyle w:val="371"/>
        <w:widowControl w:val="0"/>
        <w:numPr>
          <w:ilvl w:val="0"/>
          <w:numId w:val="10"/>
        </w:numPr>
        <w:tabs>
          <w:tab w:val="left" w:pos="420"/>
          <w:tab w:val="clear" w:pos="1619"/>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Upon reception of the type-2 indication, the IAB node does not initiate RRC re-establishment.</w:t>
      </w:r>
    </w:p>
    <w:p>
      <w:pPr>
        <w:pStyle w:val="371"/>
        <w:widowControl w:val="0"/>
        <w:numPr>
          <w:ilvl w:val="0"/>
          <w:numId w:val="10"/>
        </w:numPr>
        <w:tabs>
          <w:tab w:val="left" w:pos="420"/>
          <w:tab w:val="clear" w:pos="1619"/>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If an IAB node with dual parents (via DC) receives type-2 BH RLF indication from one parent, IAB-node may trigger a local re-routing to the other parent. The detail of local re-routing and whether/how the action on type-2 indication is configurable is FFS.</w:t>
      </w:r>
    </w:p>
    <w:p>
      <w:pPr>
        <w:pStyle w:val="3"/>
        <w:rPr>
          <w:lang w:eastAsia="zh-CN"/>
        </w:rPr>
      </w:pPr>
      <w:r>
        <w:t>RAN2#11</w:t>
      </w:r>
      <w:r>
        <w:rPr>
          <w:lang w:eastAsia="zh-CN"/>
        </w:rPr>
        <w:t>3bis</w:t>
      </w:r>
      <w:r>
        <w:rPr>
          <w:rFonts w:hint="eastAsia"/>
        </w:rPr>
        <w:t>-</w:t>
      </w:r>
      <w:r>
        <w:t>e agreements</w:t>
      </w:r>
    </w:p>
    <w:p>
      <w:pPr>
        <w:spacing w:after="120" w:afterLines="50"/>
        <w:rPr>
          <w:b/>
          <w:bCs/>
          <w:u w:val="single"/>
        </w:rPr>
      </w:pPr>
      <w:r>
        <w:rPr>
          <w:b/>
          <w:bCs/>
          <w:u w:val="single"/>
        </w:rPr>
        <w:t>On Enhancements to improve topology-wide fairness multi-hop latency and congestion mitigation</w:t>
      </w:r>
    </w:p>
    <w:p>
      <w:pPr>
        <w:pStyle w:val="371"/>
        <w:widowControl w:val="0"/>
        <w:numPr>
          <w:ilvl w:val="0"/>
          <w:numId w:val="10"/>
        </w:numPr>
        <w:tabs>
          <w:tab w:val="left" w:pos="420"/>
          <w:tab w:val="clear" w:pos="1619"/>
        </w:tabs>
        <w:jc w:val="both"/>
        <w:rPr>
          <w:rFonts w:ascii="Times New Roman" w:hAnsi="Times New Roman"/>
          <w:b w:val="0"/>
          <w:bCs/>
          <w:szCs w:val="20"/>
          <w:lang w:val="en-US" w:eastAsia="zh-CN"/>
        </w:rPr>
      </w:pPr>
      <w:r>
        <w:rPr>
          <w:rFonts w:ascii="Times New Roman" w:hAnsi="Times New Roman"/>
          <w:b w:val="0"/>
          <w:bCs/>
          <w:szCs w:val="20"/>
          <w:lang w:val="en-US" w:eastAsia="zh-CN"/>
        </w:rPr>
        <w:t>LCG range to be extended for IAB-MT. Size of LCG and enhancements to BSR are FFS</w:t>
      </w:r>
    </w:p>
    <w:p>
      <w:pPr>
        <w:pStyle w:val="361"/>
        <w:ind w:left="0" w:firstLine="0"/>
        <w:rPr>
          <w:rFonts w:ascii="Times New Roman" w:hAnsi="Times New Roman"/>
          <w:b/>
          <w:bCs/>
          <w:szCs w:val="20"/>
        </w:rPr>
      </w:pPr>
    </w:p>
    <w:p>
      <w:pPr>
        <w:spacing w:after="120" w:afterLines="50"/>
        <w:rPr>
          <w:b/>
          <w:bCs/>
          <w:u w:val="single"/>
        </w:rPr>
      </w:pPr>
      <w:r>
        <w:rPr>
          <w:b/>
          <w:bCs/>
          <w:u w:val="single"/>
        </w:rPr>
        <w:t>On Topology adaptation enhancements</w:t>
      </w:r>
    </w:p>
    <w:p>
      <w:pPr>
        <w:pStyle w:val="371"/>
        <w:widowControl w:val="0"/>
        <w:numPr>
          <w:ilvl w:val="0"/>
          <w:numId w:val="10"/>
        </w:numPr>
        <w:tabs>
          <w:tab w:val="left" w:pos="420"/>
          <w:tab w:val="clear" w:pos="1619"/>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The use cases for IAB-MT CHO should be migration and RLF recovery.</w:t>
      </w:r>
    </w:p>
    <w:p>
      <w:pPr>
        <w:pStyle w:val="371"/>
        <w:widowControl w:val="0"/>
        <w:numPr>
          <w:ilvl w:val="0"/>
          <w:numId w:val="10"/>
        </w:numPr>
        <w:tabs>
          <w:tab w:val="left" w:pos="420"/>
          <w:tab w:val="clear" w:pos="1619"/>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 xml:space="preserve">RAN2 should have a common solution for intra-CU/intra-DU CHO and intra-CU/inter-DU CHO. </w:t>
      </w:r>
    </w:p>
    <w:p>
      <w:pPr>
        <w:pStyle w:val="371"/>
        <w:widowControl w:val="0"/>
        <w:numPr>
          <w:ilvl w:val="0"/>
          <w:numId w:val="10"/>
        </w:numPr>
        <w:tabs>
          <w:tab w:val="left" w:pos="420"/>
          <w:tab w:val="clear" w:pos="1619"/>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condEventA3 and condEventA5 are applicable to IAB-MT</w:t>
      </w:r>
    </w:p>
    <w:p>
      <w:pPr>
        <w:pStyle w:val="371"/>
        <w:widowControl w:val="0"/>
        <w:numPr>
          <w:ilvl w:val="0"/>
          <w:numId w:val="10"/>
        </w:numPr>
        <w:tabs>
          <w:tab w:val="left" w:pos="420"/>
          <w:tab w:val="clear" w:pos="1619"/>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FFS if other CHO execution condition is needed (e.g. whether type 2 RLF indication can be used as trigger)</w:t>
      </w:r>
    </w:p>
    <w:p>
      <w:pPr>
        <w:pStyle w:val="371"/>
        <w:widowControl w:val="0"/>
        <w:numPr>
          <w:ilvl w:val="0"/>
          <w:numId w:val="10"/>
        </w:numPr>
        <w:tabs>
          <w:tab w:val="left" w:pos="420"/>
          <w:tab w:val="clear" w:pos="1619"/>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SRB2 can be used for F1-C transport in CP/UP-separation scenario 1 (FFS other cases)</w:t>
      </w:r>
    </w:p>
    <w:p>
      <w:pPr>
        <w:pStyle w:val="371"/>
        <w:widowControl w:val="0"/>
        <w:numPr>
          <w:ilvl w:val="0"/>
          <w:numId w:val="10"/>
        </w:numPr>
        <w:tabs>
          <w:tab w:val="left" w:pos="420"/>
          <w:tab w:val="clear" w:pos="1619"/>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Split SRB2 can be used for F1-C transport in CP/UP-separation scenario 2 (FFS other cases)</w:t>
      </w:r>
    </w:p>
    <w:p>
      <w:pPr>
        <w:pStyle w:val="361"/>
        <w:ind w:left="647"/>
      </w:pPr>
    </w:p>
    <w:p>
      <w:pPr>
        <w:rPr>
          <w:rFonts w:eastAsiaTheme="minorEastAsia"/>
          <w:lang w:eastAsia="zh-CN"/>
        </w:rPr>
      </w:pPr>
    </w:p>
    <w:p>
      <w:pPr>
        <w:pStyle w:val="3"/>
        <w:rPr>
          <w:lang w:eastAsia="zh-CN"/>
        </w:rPr>
      </w:pPr>
      <w:r>
        <w:t>RAN2#11</w:t>
      </w:r>
      <w:r>
        <w:rPr>
          <w:lang w:eastAsia="zh-CN"/>
        </w:rPr>
        <w:t>3</w:t>
      </w:r>
      <w:r>
        <w:rPr>
          <w:rFonts w:hint="eastAsia"/>
        </w:rPr>
        <w:t>-</w:t>
      </w:r>
      <w:r>
        <w:t>e agreements</w:t>
      </w:r>
    </w:p>
    <w:p>
      <w:pPr>
        <w:spacing w:after="120" w:afterLines="50"/>
        <w:rPr>
          <w:b/>
          <w:bCs/>
          <w:u w:val="single"/>
        </w:rPr>
      </w:pPr>
      <w:r>
        <w:rPr>
          <w:b/>
          <w:bCs/>
          <w:u w:val="single"/>
        </w:rPr>
        <w:t>On Enhancements to improve topology-wide fairness multi-hop latency and congestion mitigation</w:t>
      </w:r>
    </w:p>
    <w:p>
      <w:pPr>
        <w:pStyle w:val="371"/>
        <w:widowControl w:val="0"/>
        <w:numPr>
          <w:ilvl w:val="0"/>
          <w:numId w:val="10"/>
        </w:numPr>
        <w:tabs>
          <w:tab w:val="left" w:pos="420"/>
          <w:tab w:val="clear" w:pos="1619"/>
        </w:tabs>
        <w:jc w:val="both"/>
        <w:rPr>
          <w:rFonts w:ascii="Times New Roman" w:hAnsi="Times New Roman"/>
          <w:b w:val="0"/>
          <w:bCs/>
          <w:szCs w:val="20"/>
          <w:lang w:val="en-US" w:eastAsia="zh-CN"/>
        </w:rPr>
      </w:pPr>
      <w:r>
        <w:rPr>
          <w:rFonts w:ascii="Times New Roman" w:hAnsi="Times New Roman"/>
          <w:b w:val="0"/>
          <w:bCs/>
          <w:szCs w:val="20"/>
          <w:lang w:val="en-US" w:eastAsia="zh-CN"/>
        </w:rPr>
        <w:t>RAN2 will not further discuss ways of evaluating success of any fairness mechanisms that may be introduced, beyond the already agreed definition of topology-wide fairness and its variants.</w:t>
      </w:r>
    </w:p>
    <w:p>
      <w:pPr>
        <w:pStyle w:val="371"/>
        <w:widowControl w:val="0"/>
        <w:numPr>
          <w:ilvl w:val="0"/>
          <w:numId w:val="10"/>
        </w:numPr>
        <w:tabs>
          <w:tab w:val="left" w:pos="420"/>
          <w:tab w:val="clear" w:pos="1619"/>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Chair: On the agreed issues below, the agreement doesn’t mean that we have agreed that there need to be a solution for it in R17. Furthermore, liberal interpretation of the text is ok. </w:t>
      </w:r>
    </w:p>
    <w:p>
      <w:pPr>
        <w:pStyle w:val="371"/>
        <w:widowControl w:val="0"/>
        <w:numPr>
          <w:ilvl w:val="0"/>
          <w:numId w:val="10"/>
        </w:numPr>
        <w:tabs>
          <w:tab w:val="left" w:pos="420"/>
          <w:tab w:val="clear" w:pos="1619"/>
        </w:tabs>
        <w:jc w:val="both"/>
        <w:rPr>
          <w:rFonts w:ascii="Times New Roman" w:hAnsi="Times New Roman"/>
          <w:b w:val="0"/>
          <w:bCs/>
          <w:szCs w:val="20"/>
          <w:lang w:val="en-US" w:eastAsia="zh-CN"/>
        </w:rPr>
      </w:pPr>
      <w:r>
        <w:rPr>
          <w:rFonts w:ascii="Times New Roman" w:hAnsi="Times New Roman"/>
          <w:b w:val="0"/>
          <w:bCs/>
          <w:szCs w:val="20"/>
          <w:lang w:val="en-US" w:eastAsia="zh-CN"/>
        </w:rPr>
        <w:t>ISSUES: eIAB work on topology-wide fairness will focus on the following issues</w:t>
      </w:r>
    </w:p>
    <w:p>
      <w:pPr>
        <w:pStyle w:val="371"/>
        <w:widowControl w:val="0"/>
        <w:numPr>
          <w:ilvl w:val="0"/>
          <w:numId w:val="10"/>
        </w:numPr>
        <w:tabs>
          <w:tab w:val="left" w:pos="420"/>
          <w:tab w:val="clear" w:pos="1619"/>
        </w:tabs>
        <w:jc w:val="both"/>
        <w:rPr>
          <w:rFonts w:ascii="Times New Roman" w:hAnsi="Times New Roman"/>
          <w:b w:val="0"/>
          <w:bCs/>
          <w:szCs w:val="20"/>
          <w:lang w:val="en-US" w:eastAsia="zh-CN"/>
        </w:rPr>
      </w:pPr>
      <w:r>
        <w:rPr>
          <w:rFonts w:ascii="Times New Roman" w:hAnsi="Times New Roman"/>
          <w:b w:val="0"/>
          <w:bCs/>
          <w:szCs w:val="20"/>
          <w:lang w:val="en-US" w:eastAsia="zh-CN"/>
        </w:rPr>
        <w:t>IF-1: The scheduler of an IAB node does not have all the information needed (e.g. link quality across multiple hops) to make appropriate upstream or downstream scheduling decisions which take into account the overall route link quality (such as e.g. using downstream link quality measurements to adjust the scheduling weights so as to achieve proportional fairness for different bearers/RLC channels across multiple child-IAB nodes)</w:t>
      </w:r>
    </w:p>
    <w:p>
      <w:pPr>
        <w:pStyle w:val="371"/>
        <w:widowControl w:val="0"/>
        <w:numPr>
          <w:ilvl w:val="0"/>
          <w:numId w:val="10"/>
        </w:numPr>
        <w:tabs>
          <w:tab w:val="left" w:pos="420"/>
          <w:tab w:val="clear" w:pos="1619"/>
        </w:tabs>
        <w:jc w:val="both"/>
        <w:rPr>
          <w:rFonts w:ascii="Times New Roman" w:hAnsi="Times New Roman"/>
          <w:b w:val="0"/>
          <w:bCs/>
          <w:szCs w:val="20"/>
          <w:lang w:val="en-US" w:eastAsia="zh-CN"/>
        </w:rPr>
      </w:pPr>
      <w:r>
        <w:rPr>
          <w:rFonts w:ascii="Times New Roman" w:hAnsi="Times New Roman"/>
          <w:b w:val="0"/>
          <w:bCs/>
          <w:szCs w:val="20"/>
          <w:lang w:val="en-US" w:eastAsia="zh-CN"/>
        </w:rPr>
        <w:t>IF-2: Congestion conditions on BH RLC channels carrying UE bearers with same or similar QoS requirements can be unbalanced and some channels may even be congested, thereby leading to some users experiencing longer latency and violating fairness requirement.</w:t>
      </w:r>
    </w:p>
    <w:p>
      <w:pPr>
        <w:pStyle w:val="371"/>
        <w:widowControl w:val="0"/>
        <w:numPr>
          <w:ilvl w:val="0"/>
          <w:numId w:val="10"/>
        </w:numPr>
        <w:tabs>
          <w:tab w:val="left" w:pos="420"/>
          <w:tab w:val="clear" w:pos="1619"/>
        </w:tabs>
        <w:jc w:val="both"/>
        <w:rPr>
          <w:rFonts w:ascii="Times New Roman" w:hAnsi="Times New Roman"/>
          <w:b w:val="0"/>
          <w:bCs/>
          <w:szCs w:val="20"/>
          <w:lang w:val="en-US" w:eastAsia="zh-CN"/>
        </w:rPr>
      </w:pPr>
      <w:r>
        <w:rPr>
          <w:rFonts w:ascii="Times New Roman" w:hAnsi="Times New Roman"/>
          <w:b w:val="0"/>
          <w:bCs/>
          <w:szCs w:val="20"/>
          <w:lang w:val="en-US" w:eastAsia="zh-CN"/>
        </w:rPr>
        <w:t>IF-4: IAB node cannot give more resource to those BH RLC CHs that aggregate more bearers and/or carry bearers with higher load per bearer (i.e. IAB node cannot give more resource to those BH RLC CHs with higher aggregate load)</w:t>
      </w:r>
    </w:p>
    <w:p>
      <w:pPr>
        <w:pStyle w:val="371"/>
        <w:widowControl w:val="0"/>
        <w:numPr>
          <w:ilvl w:val="0"/>
          <w:numId w:val="10"/>
        </w:numPr>
        <w:tabs>
          <w:tab w:val="left" w:pos="420"/>
          <w:tab w:val="clear" w:pos="1619"/>
        </w:tabs>
        <w:jc w:val="both"/>
        <w:rPr>
          <w:rFonts w:ascii="Times New Roman" w:hAnsi="Times New Roman"/>
          <w:b w:val="0"/>
          <w:bCs/>
          <w:szCs w:val="20"/>
          <w:lang w:val="en-US" w:eastAsia="zh-CN"/>
        </w:rPr>
      </w:pPr>
      <w:r>
        <w:rPr>
          <w:rFonts w:ascii="Times New Roman" w:hAnsi="Times New Roman"/>
          <w:b w:val="0"/>
          <w:bCs/>
          <w:szCs w:val="20"/>
          <w:lang w:val="en-US" w:eastAsia="zh-CN"/>
        </w:rPr>
        <w:t>ISSUES: In the first instance, eIAB work on multi-hop latency will focus on the following issues:</w:t>
      </w:r>
    </w:p>
    <w:p>
      <w:pPr>
        <w:pStyle w:val="371"/>
        <w:widowControl w:val="0"/>
        <w:numPr>
          <w:ilvl w:val="0"/>
          <w:numId w:val="10"/>
        </w:numPr>
        <w:tabs>
          <w:tab w:val="left" w:pos="420"/>
          <w:tab w:val="clear" w:pos="1619"/>
        </w:tabs>
        <w:jc w:val="both"/>
        <w:rPr>
          <w:rFonts w:ascii="Times New Roman" w:hAnsi="Times New Roman"/>
          <w:b w:val="0"/>
          <w:bCs/>
          <w:szCs w:val="20"/>
          <w:lang w:val="en-US" w:eastAsia="zh-CN"/>
        </w:rPr>
      </w:pPr>
      <w:r>
        <w:rPr>
          <w:rFonts w:ascii="Times New Roman" w:hAnsi="Times New Roman"/>
          <w:b w:val="0"/>
          <w:bCs/>
          <w:szCs w:val="20"/>
          <w:lang w:val="en-US" w:eastAsia="zh-CN"/>
        </w:rPr>
        <w:t>IL-1: IAB node cannot help ensure that overall or remaining PDB is met for a packet (e.g. by prioritizing bearers with higher number of hops), as it does not have a latency reference for the packets being scheduled, resulting in packets with the same QoS requirement ending up with different latency</w:t>
      </w:r>
    </w:p>
    <w:p>
      <w:pPr>
        <w:pStyle w:val="371"/>
        <w:widowControl w:val="0"/>
        <w:numPr>
          <w:ilvl w:val="0"/>
          <w:numId w:val="10"/>
        </w:numPr>
        <w:tabs>
          <w:tab w:val="left" w:pos="420"/>
          <w:tab w:val="clear" w:pos="1619"/>
        </w:tabs>
        <w:jc w:val="both"/>
        <w:rPr>
          <w:rFonts w:ascii="Times New Roman" w:hAnsi="Times New Roman"/>
          <w:b w:val="0"/>
          <w:bCs/>
          <w:szCs w:val="20"/>
          <w:lang w:val="en-US" w:eastAsia="zh-CN"/>
        </w:rPr>
      </w:pPr>
      <w:r>
        <w:rPr>
          <w:rFonts w:ascii="Times New Roman" w:hAnsi="Times New Roman"/>
          <w:b w:val="0"/>
          <w:bCs/>
          <w:szCs w:val="20"/>
          <w:lang w:val="en-US" w:eastAsia="zh-CN"/>
        </w:rPr>
        <w:t>IL-2: IAB node may need to report joint buffer status for LCHs which have rather differing QoS requirements, due to the current (Rel-16) limit on the number of LCGs</w:t>
      </w:r>
    </w:p>
    <w:p>
      <w:pPr>
        <w:pStyle w:val="371"/>
        <w:widowControl w:val="0"/>
        <w:numPr>
          <w:ilvl w:val="0"/>
          <w:numId w:val="10"/>
        </w:numPr>
        <w:tabs>
          <w:tab w:val="left" w:pos="420"/>
          <w:tab w:val="clear" w:pos="1619"/>
        </w:tabs>
        <w:jc w:val="both"/>
        <w:rPr>
          <w:rFonts w:ascii="Times New Roman" w:hAnsi="Times New Roman"/>
          <w:b w:val="0"/>
          <w:bCs/>
          <w:szCs w:val="20"/>
          <w:lang w:val="en-US" w:eastAsia="zh-CN"/>
        </w:rPr>
      </w:pPr>
      <w:r>
        <w:rPr>
          <w:rFonts w:ascii="Times New Roman" w:hAnsi="Times New Roman"/>
          <w:b w:val="0"/>
          <w:bCs/>
          <w:szCs w:val="20"/>
          <w:lang w:val="en-US" w:eastAsia="zh-CN"/>
        </w:rPr>
        <w:t>IL-3: Buffer size calculation for pre-emptive BSR may differ for nodes of different vendors as it is left to implementation in Rel-16</w:t>
      </w:r>
    </w:p>
    <w:p>
      <w:pPr>
        <w:pStyle w:val="371"/>
        <w:widowControl w:val="0"/>
        <w:numPr>
          <w:ilvl w:val="0"/>
          <w:numId w:val="10"/>
        </w:numPr>
        <w:tabs>
          <w:tab w:val="left" w:pos="420"/>
          <w:tab w:val="clear" w:pos="1619"/>
        </w:tabs>
        <w:jc w:val="both"/>
        <w:rPr>
          <w:rFonts w:ascii="Times New Roman" w:hAnsi="Times New Roman"/>
          <w:b w:val="0"/>
          <w:bCs/>
          <w:szCs w:val="20"/>
          <w:lang w:val="en-US" w:eastAsia="zh-CN"/>
        </w:rPr>
      </w:pPr>
      <w:r>
        <w:rPr>
          <w:rFonts w:ascii="Times New Roman" w:hAnsi="Times New Roman"/>
          <w:b w:val="0"/>
          <w:bCs/>
          <w:szCs w:val="20"/>
          <w:lang w:val="en-US" w:eastAsia="zh-CN"/>
        </w:rPr>
        <w:t>IL-5: The CU is unable to put bearers with lower PDB on routes with less congestion risk (higher resource efficiency) or which are RLF-free</w:t>
      </w:r>
    </w:p>
    <w:p>
      <w:pPr>
        <w:pStyle w:val="371"/>
        <w:widowControl w:val="0"/>
        <w:numPr>
          <w:ilvl w:val="0"/>
          <w:numId w:val="10"/>
        </w:numPr>
        <w:tabs>
          <w:tab w:val="left" w:pos="420"/>
          <w:tab w:val="clear" w:pos="1619"/>
        </w:tabs>
        <w:jc w:val="both"/>
        <w:rPr>
          <w:rFonts w:ascii="Times New Roman" w:hAnsi="Times New Roman"/>
          <w:b w:val="0"/>
          <w:bCs/>
          <w:szCs w:val="20"/>
          <w:lang w:val="en-US" w:eastAsia="zh-CN"/>
        </w:rPr>
      </w:pPr>
      <w:r>
        <w:rPr>
          <w:rFonts w:ascii="Times New Roman" w:hAnsi="Times New Roman"/>
          <w:b w:val="0"/>
          <w:bCs/>
          <w:szCs w:val="20"/>
          <w:lang w:val="en-US" w:eastAsia="zh-CN"/>
        </w:rPr>
        <w:t>IL-6: The CU is unable to configure routing based on actual (real-time) latency per BH RLC channel</w:t>
      </w:r>
    </w:p>
    <w:p>
      <w:pPr>
        <w:spacing w:after="120" w:afterLines="50"/>
        <w:rPr>
          <w:b/>
          <w:bCs/>
          <w:u w:val="single"/>
        </w:rPr>
      </w:pPr>
    </w:p>
    <w:p>
      <w:pPr>
        <w:spacing w:after="120" w:afterLines="50"/>
        <w:rPr>
          <w:b/>
          <w:bCs/>
          <w:u w:val="single"/>
        </w:rPr>
      </w:pPr>
      <w:r>
        <w:rPr>
          <w:b/>
          <w:bCs/>
          <w:u w:val="single"/>
        </w:rPr>
        <w:t>On Topology adaptation enhancements</w:t>
      </w:r>
    </w:p>
    <w:p>
      <w:pPr>
        <w:pStyle w:val="371"/>
        <w:widowControl w:val="0"/>
        <w:numPr>
          <w:ilvl w:val="0"/>
          <w:numId w:val="10"/>
        </w:numPr>
        <w:tabs>
          <w:tab w:val="left" w:pos="420"/>
          <w:tab w:val="clear" w:pos="1619"/>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RAN2 to discuss CHO and start with intra-donor CHO until RAN3 has made progress on inter-donor IAB-node migration.</w:t>
      </w:r>
    </w:p>
    <w:p>
      <w:pPr>
        <w:pStyle w:val="371"/>
        <w:widowControl w:val="0"/>
        <w:numPr>
          <w:ilvl w:val="0"/>
          <w:numId w:val="10"/>
        </w:numPr>
        <w:tabs>
          <w:tab w:val="left" w:pos="420"/>
          <w:tab w:val="clear" w:pos="1619"/>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 xml:space="preserve">R2 confirm the intention Rel-16 CHO is / can be used for IAB-MT (FFS whether any modification is needed). </w:t>
      </w:r>
    </w:p>
    <w:p>
      <w:pPr>
        <w:pStyle w:val="371"/>
        <w:widowControl w:val="0"/>
        <w:numPr>
          <w:ilvl w:val="0"/>
          <w:numId w:val="10"/>
        </w:numPr>
        <w:tabs>
          <w:tab w:val="left" w:pos="420"/>
          <w:tab w:val="clear" w:pos="1619"/>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R2 assumes that Rel-16 specification is the baseline for the configuration of default route, IP address(es) and target path for intra-donor CHO.</w:t>
      </w:r>
    </w:p>
    <w:p>
      <w:pPr>
        <w:pStyle w:val="371"/>
        <w:widowControl w:val="0"/>
        <w:numPr>
          <w:ilvl w:val="0"/>
          <w:numId w:val="10"/>
        </w:numPr>
        <w:tabs>
          <w:tab w:val="left" w:pos="420"/>
          <w:tab w:val="clear" w:pos="1619"/>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RAN2 to support type-2/3 RLF indication (FFS specified behavior(s) TS impact, FFS details).</w:t>
      </w:r>
    </w:p>
    <w:p>
      <w:pPr>
        <w:pStyle w:val="371"/>
        <w:widowControl w:val="0"/>
        <w:numPr>
          <w:ilvl w:val="0"/>
          <w:numId w:val="10"/>
        </w:numPr>
        <w:tabs>
          <w:tab w:val="left" w:pos="420"/>
          <w:tab w:val="clear" w:pos="1619"/>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 xml:space="preserve">Type-2 RLF indication may be used to trigger local rerouting </w:t>
      </w:r>
    </w:p>
    <w:p>
      <w:pPr>
        <w:pStyle w:val="371"/>
        <w:widowControl w:val="0"/>
        <w:numPr>
          <w:ilvl w:val="0"/>
          <w:numId w:val="10"/>
        </w:numPr>
        <w:tabs>
          <w:tab w:val="left" w:pos="420"/>
          <w:tab w:val="clear" w:pos="1619"/>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 xml:space="preserve">Type-2 RLF indication may be used to trigger deactivation of IAB-supported in SIB </w:t>
      </w:r>
    </w:p>
    <w:p>
      <w:pPr>
        <w:pStyle w:val="371"/>
        <w:widowControl w:val="0"/>
        <w:numPr>
          <w:ilvl w:val="0"/>
          <w:numId w:val="10"/>
        </w:numPr>
        <w:tabs>
          <w:tab w:val="left" w:pos="420"/>
          <w:tab w:val="clear" w:pos="1619"/>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 xml:space="preserve">Type-2 RLF indication may be used to trigger deactivation or reduction of SR and/or BSR transmissions </w:t>
      </w:r>
    </w:p>
    <w:p>
      <w:pPr>
        <w:pStyle w:val="371"/>
        <w:widowControl w:val="0"/>
        <w:numPr>
          <w:ilvl w:val="0"/>
          <w:numId w:val="10"/>
        </w:numPr>
        <w:tabs>
          <w:tab w:val="left" w:pos="420"/>
          <w:tab w:val="clear" w:pos="1619"/>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Local rerouting can be triggered by indication of hop-by-hop flow control. Further details, e.g., on trigger information, trigger conditions, role of CU configuration, are FFS.</w:t>
      </w:r>
    </w:p>
    <w:p>
      <w:pPr>
        <w:pStyle w:val="371"/>
        <w:widowControl w:val="0"/>
        <w:numPr>
          <w:ilvl w:val="0"/>
          <w:numId w:val="10"/>
        </w:numPr>
        <w:tabs>
          <w:tab w:val="left" w:pos="420"/>
          <w:tab w:val="clear" w:pos="1619"/>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RAN2 considers inter-donor-DU local rerouting to be in scope</w:t>
      </w:r>
    </w:p>
    <w:p>
      <w:pPr>
        <w:pStyle w:val="3"/>
        <w:rPr>
          <w:lang w:eastAsia="zh-CN"/>
        </w:rPr>
      </w:pPr>
      <w:r>
        <w:t>RAN2#11</w:t>
      </w:r>
      <w:r>
        <w:rPr>
          <w:lang w:eastAsia="zh-CN"/>
        </w:rPr>
        <w:t>2</w:t>
      </w:r>
      <w:r>
        <w:rPr>
          <w:rFonts w:hint="eastAsia"/>
        </w:rPr>
        <w:t>-</w:t>
      </w:r>
      <w:r>
        <w:t>e agreements</w:t>
      </w:r>
    </w:p>
    <w:p>
      <w:pPr>
        <w:spacing w:after="120" w:afterLines="50"/>
        <w:rPr>
          <w:rFonts w:cstheme="minorBidi"/>
          <w:b/>
          <w:bCs/>
          <w:u w:val="single"/>
        </w:rPr>
      </w:pPr>
      <w:r>
        <w:rPr>
          <w:b/>
          <w:bCs/>
          <w:u w:val="single"/>
        </w:rPr>
        <w:t>O</w:t>
      </w:r>
      <w:r>
        <w:rPr>
          <w:rFonts w:hint="eastAsia"/>
          <w:b/>
          <w:bCs/>
          <w:u w:val="single"/>
        </w:rPr>
        <w:t>n Enhancements to improve topology-wide fairness multi-hop latency and congestion mitigation:</w:t>
      </w:r>
    </w:p>
    <w:p>
      <w:pPr>
        <w:pStyle w:val="371"/>
        <w:widowControl w:val="0"/>
        <w:numPr>
          <w:ilvl w:val="0"/>
          <w:numId w:val="10"/>
        </w:numPr>
        <w:tabs>
          <w:tab w:val="left" w:pos="420"/>
          <w:tab w:val="clear" w:pos="1619"/>
        </w:tabs>
        <w:jc w:val="both"/>
        <w:rPr>
          <w:rFonts w:ascii="Times New Roman" w:hAnsi="Times New Roman"/>
          <w:b w:val="0"/>
          <w:bCs/>
          <w:szCs w:val="20"/>
          <w:lang w:val="en-US" w:eastAsia="zh-CN"/>
        </w:rPr>
      </w:pPr>
      <w:r>
        <w:rPr>
          <w:rFonts w:ascii="Times New Roman" w:hAnsi="Times New Roman"/>
          <w:b w:val="0"/>
          <w:bCs/>
          <w:szCs w:val="20"/>
          <w:lang w:val="en-US" w:eastAsia="zh-CN"/>
        </w:rPr>
        <w:t>R2 assumes Rel-17 IAB work will not define any new end-user QoS metrics on top of the existing 5G QoS framework.</w:t>
      </w:r>
    </w:p>
    <w:p>
      <w:pPr>
        <w:pStyle w:val="371"/>
        <w:widowControl w:val="0"/>
        <w:numPr>
          <w:ilvl w:val="0"/>
          <w:numId w:val="10"/>
        </w:numPr>
        <w:tabs>
          <w:tab w:val="left" w:pos="420"/>
          <w:tab w:val="clear" w:pos="1619"/>
        </w:tabs>
        <w:jc w:val="both"/>
        <w:rPr>
          <w:rFonts w:ascii="Times New Roman" w:hAnsi="Times New Roman"/>
          <w:b w:val="0"/>
          <w:bCs/>
          <w:szCs w:val="20"/>
          <w:lang w:val="en-US" w:eastAsia="zh-CN"/>
        </w:rPr>
      </w:pPr>
      <w:r>
        <w:rPr>
          <w:rFonts w:ascii="Times New Roman" w:hAnsi="Times New Roman"/>
          <w:b w:val="0"/>
          <w:bCs/>
          <w:szCs w:val="20"/>
          <w:lang w:val="en-US" w:eastAsia="zh-CN"/>
        </w:rPr>
        <w:t>Rel-17 IAB work will comprise agreeing on a definition of topology-wide fairness.</w:t>
      </w:r>
    </w:p>
    <w:p>
      <w:pPr>
        <w:pStyle w:val="371"/>
        <w:widowControl w:val="0"/>
        <w:numPr>
          <w:ilvl w:val="0"/>
          <w:numId w:val="10"/>
        </w:numPr>
        <w:tabs>
          <w:tab w:val="left" w:pos="420"/>
          <w:tab w:val="clear" w:pos="1619"/>
        </w:tabs>
        <w:jc w:val="both"/>
        <w:rPr>
          <w:rFonts w:ascii="Times New Roman" w:hAnsi="Times New Roman"/>
          <w:b w:val="0"/>
          <w:bCs/>
          <w:szCs w:val="20"/>
          <w:lang w:val="en-US" w:eastAsia="zh-CN"/>
        </w:rPr>
      </w:pPr>
      <w:r>
        <w:rPr>
          <w:rFonts w:ascii="Times New Roman" w:hAnsi="Times New Roman"/>
          <w:b w:val="0"/>
          <w:bCs/>
          <w:szCs w:val="20"/>
          <w:lang w:val="en-US" w:eastAsia="zh-CN"/>
        </w:rPr>
        <w:t>Topology-wide fairness provides mechanisms for the management of QoS so that the required QoS is met across the topology, regardless of where a UE attaches to the IAB network. Variants of this definition is not precluded. FFS how the success of such mechanisms is evaluated.</w:t>
      </w:r>
    </w:p>
    <w:p>
      <w:pPr>
        <w:pStyle w:val="371"/>
        <w:widowControl w:val="0"/>
        <w:numPr>
          <w:ilvl w:val="0"/>
          <w:numId w:val="10"/>
        </w:numPr>
        <w:tabs>
          <w:tab w:val="left" w:pos="420"/>
          <w:tab w:val="clear" w:pos="1619"/>
        </w:tabs>
        <w:jc w:val="both"/>
        <w:rPr>
          <w:rFonts w:ascii="Times New Roman" w:hAnsi="Times New Roman"/>
          <w:b w:val="0"/>
          <w:bCs/>
          <w:szCs w:val="20"/>
          <w:lang w:val="en-US" w:eastAsia="zh-CN"/>
        </w:rPr>
      </w:pPr>
      <w:r>
        <w:rPr>
          <w:rFonts w:ascii="Times New Roman" w:hAnsi="Times New Roman"/>
          <w:b w:val="0"/>
          <w:bCs/>
          <w:szCs w:val="20"/>
          <w:lang w:val="en-US" w:eastAsia="zh-CN"/>
        </w:rPr>
        <w:t>RAN2 will not discuss enhancements to DL E2E flow control without input from RAN3</w:t>
      </w:r>
    </w:p>
    <w:p>
      <w:pPr>
        <w:pStyle w:val="371"/>
        <w:widowControl w:val="0"/>
        <w:numPr>
          <w:ilvl w:val="0"/>
          <w:numId w:val="10"/>
        </w:numPr>
        <w:tabs>
          <w:tab w:val="left" w:pos="420"/>
          <w:tab w:val="clear" w:pos="1619"/>
        </w:tabs>
        <w:jc w:val="both"/>
        <w:rPr>
          <w:rFonts w:ascii="Times New Roman" w:hAnsi="Times New Roman"/>
          <w:b w:val="0"/>
          <w:bCs/>
          <w:szCs w:val="20"/>
          <w:lang w:val="en-US" w:eastAsia="zh-CN"/>
        </w:rPr>
      </w:pPr>
      <w:r>
        <w:rPr>
          <w:rFonts w:ascii="Times New Roman" w:hAnsi="Times New Roman"/>
          <w:b w:val="0"/>
          <w:bCs/>
          <w:szCs w:val="20"/>
          <w:lang w:val="en-US" w:eastAsia="zh-CN"/>
        </w:rPr>
        <w:t>FFS if RAN2 will deprioritize splitting data of a radio bearer into two or more paths (RAN3 agreements to deprioritize Multi-Route Support with data split in IAB)</w:t>
      </w:r>
    </w:p>
    <w:p>
      <w:pPr>
        <w:rPr>
          <w:rFonts w:asciiTheme="minorHAnsi" w:hAnsiTheme="minorHAnsi"/>
          <w:b/>
          <w:bCs/>
          <w:lang w:val="en-US" w:eastAsia="zh-CN"/>
        </w:rPr>
      </w:pPr>
    </w:p>
    <w:p>
      <w:pPr>
        <w:spacing w:after="120" w:afterLines="50"/>
        <w:rPr>
          <w:b/>
          <w:bCs/>
          <w:u w:val="single"/>
        </w:rPr>
      </w:pPr>
      <w:r>
        <w:rPr>
          <w:b/>
          <w:bCs/>
          <w:u w:val="single"/>
        </w:rPr>
        <w:t>O</w:t>
      </w:r>
      <w:r>
        <w:rPr>
          <w:rFonts w:hint="eastAsia"/>
          <w:b/>
          <w:bCs/>
          <w:u w:val="single"/>
        </w:rPr>
        <w:t>n Topology adaptation enhancements:</w:t>
      </w:r>
    </w:p>
    <w:p>
      <w:pPr>
        <w:pStyle w:val="371"/>
        <w:widowControl w:val="0"/>
        <w:numPr>
          <w:ilvl w:val="0"/>
          <w:numId w:val="10"/>
        </w:numPr>
        <w:tabs>
          <w:tab w:val="left" w:pos="420"/>
          <w:tab w:val="clear" w:pos="1619"/>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Consider enhancements to topology adaptation that improve: </w:t>
      </w:r>
    </w:p>
    <w:p>
      <w:pPr>
        <w:pStyle w:val="371"/>
        <w:widowControl w:val="0"/>
        <w:numPr>
          <w:ilvl w:val="1"/>
          <w:numId w:val="10"/>
        </w:numPr>
        <w:tabs>
          <w:tab w:val="left" w:pos="420"/>
          <w:tab w:val="clear" w:pos="1619"/>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Robustness, e.g., to rapid shadowing, </w:t>
      </w:r>
    </w:p>
    <w:p>
      <w:pPr>
        <w:pStyle w:val="371"/>
        <w:widowControl w:val="0"/>
        <w:numPr>
          <w:ilvl w:val="1"/>
          <w:numId w:val="10"/>
        </w:numPr>
        <w:tabs>
          <w:tab w:val="left" w:pos="420"/>
          <w:tab w:val="clear" w:pos="1619"/>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service-interruption, </w:t>
      </w:r>
    </w:p>
    <w:p>
      <w:pPr>
        <w:pStyle w:val="371"/>
        <w:widowControl w:val="0"/>
        <w:numPr>
          <w:ilvl w:val="1"/>
          <w:numId w:val="10"/>
        </w:numPr>
        <w:tabs>
          <w:tab w:val="left" w:pos="420"/>
          <w:tab w:val="clear" w:pos="1619"/>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load balancing among different IAB-nodes, IAB-donor-DUs and IAB-donor-CUs, and </w:t>
      </w:r>
    </w:p>
    <w:p>
      <w:pPr>
        <w:pStyle w:val="371"/>
        <w:widowControl w:val="0"/>
        <w:numPr>
          <w:ilvl w:val="1"/>
          <w:numId w:val="10"/>
        </w:numPr>
        <w:tabs>
          <w:tab w:val="left" w:pos="420"/>
          <w:tab w:val="clear" w:pos="1619"/>
        </w:tabs>
        <w:jc w:val="both"/>
        <w:rPr>
          <w:rFonts w:ascii="Times New Roman" w:hAnsi="Times New Roman"/>
          <w:b w:val="0"/>
          <w:bCs/>
          <w:szCs w:val="20"/>
          <w:lang w:val="en-US" w:eastAsia="zh-CN"/>
        </w:rPr>
      </w:pPr>
      <w:r>
        <w:rPr>
          <w:rFonts w:ascii="Times New Roman" w:hAnsi="Times New Roman"/>
          <w:b w:val="0"/>
          <w:bCs/>
          <w:szCs w:val="20"/>
          <w:lang w:val="en-US" w:eastAsia="zh-CN"/>
        </w:rPr>
        <w:t>reduction in signaling load.</w:t>
      </w:r>
    </w:p>
    <w:p>
      <w:pPr>
        <w:pStyle w:val="371"/>
        <w:widowControl w:val="0"/>
        <w:numPr>
          <w:ilvl w:val="0"/>
          <w:numId w:val="10"/>
        </w:numPr>
        <w:tabs>
          <w:tab w:val="left" w:pos="420"/>
          <w:tab w:val="clear" w:pos="1619"/>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RAN2 to discuss enhancements to RLF indication/handling with the focus on the reduction of service interruption after BH RLF.</w:t>
      </w:r>
    </w:p>
    <w:p>
      <w:pPr>
        <w:pStyle w:val="371"/>
        <w:widowControl w:val="0"/>
        <w:numPr>
          <w:ilvl w:val="0"/>
          <w:numId w:val="10"/>
        </w:numPr>
        <w:tabs>
          <w:tab w:val="left" w:pos="420"/>
          <w:tab w:val="clear" w:pos="1619"/>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 xml:space="preserve">CHO and potential IAB-specific enhancements of CHO is on the table. </w:t>
      </w:r>
    </w:p>
    <w:p>
      <w:pPr>
        <w:pStyle w:val="371"/>
        <w:widowControl w:val="0"/>
        <w:numPr>
          <w:ilvl w:val="0"/>
          <w:numId w:val="10"/>
        </w:numPr>
        <w:tabs>
          <w:tab w:val="left" w:pos="420"/>
          <w:tab w:val="clear" w:pos="1619"/>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DAPS and potential IAB-specific enhancements of DAPS is not precluded for now (but as there is no PDCP it is not clear how to support DAPS). </w:t>
      </w:r>
    </w:p>
    <w:p>
      <w:pPr>
        <w:pStyle w:val="371"/>
        <w:widowControl w:val="0"/>
        <w:numPr>
          <w:ilvl w:val="0"/>
          <w:numId w:val="10"/>
        </w:numPr>
        <w:tabs>
          <w:tab w:val="left" w:pos="420"/>
          <w:tab w:val="clear" w:pos="1619"/>
        </w:tabs>
        <w:jc w:val="both"/>
        <w:rPr>
          <w:rFonts w:ascii="Times New Roman" w:hAnsi="Times New Roman"/>
          <w:b w:val="0"/>
          <w:bCs/>
          <w:szCs w:val="20"/>
          <w:lang w:val="en-US" w:eastAsia="zh-CN"/>
        </w:rPr>
      </w:pPr>
      <w:r>
        <w:rPr>
          <w:rFonts w:ascii="Times New Roman" w:hAnsi="Times New Roman"/>
          <w:b w:val="0"/>
          <w:bCs/>
          <w:szCs w:val="20"/>
          <w:lang w:val="en-US" w:eastAsia="zh-CN"/>
        </w:rPr>
        <w:t>For message bundling, RAN2 at least wait for more progress to be made in RAN3 on topology adaptation procedures.</w:t>
      </w:r>
    </w:p>
    <w:p>
      <w:pPr>
        <w:pStyle w:val="371"/>
        <w:widowControl w:val="0"/>
        <w:numPr>
          <w:ilvl w:val="0"/>
          <w:numId w:val="10"/>
        </w:numPr>
        <w:tabs>
          <w:tab w:val="left" w:pos="420"/>
          <w:tab w:val="clear" w:pos="1619"/>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RAN2 to discuss local rerouting, including the benefits over central route determination, and on how topology-wide objectives can be addressed.</w:t>
      </w:r>
    </w:p>
    <w:sectPr>
      <w:headerReference r:id="rId8" w:type="first"/>
      <w:headerReference r:id="rId6" w:type="default"/>
      <w:headerReference r:id="rId7" w:type="even"/>
      <w:footnotePr>
        <w:numRestart w:val="eachSect"/>
      </w:footnotePr>
      <w:pgSz w:w="11907" w:h="16840"/>
      <w:pgMar w:top="1418" w:right="1134" w:bottom="1134" w:left="1134" w:header="680" w:footer="567" w:gutter="0"/>
      <w:cols w:space="720" w:num="1"/>
      <w:docGrid w:linePitch="27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Huawei-Yulong" w:date="2021-09-08T09:36:00Z" w:initials="HW">
    <w:p w14:paraId="52297E0C">
      <w:pPr>
        <w:pStyle w:val="31"/>
        <w:rPr>
          <w:rFonts w:eastAsiaTheme="minorEastAsia"/>
          <w:lang w:eastAsia="zh-CN"/>
        </w:rPr>
      </w:pPr>
      <w:r>
        <w:rPr>
          <w:rFonts w:hint="eastAsia" w:eastAsiaTheme="minorEastAsia"/>
          <w:lang w:eastAsia="zh-CN"/>
        </w:rPr>
        <w:t>W</w:t>
      </w:r>
      <w:r>
        <w:rPr>
          <w:rFonts w:eastAsiaTheme="minorEastAsia"/>
          <w:lang w:eastAsia="zh-CN"/>
        </w:rPr>
        <w:t>e prefer to not change the legacy terminology.</w:t>
      </w:r>
    </w:p>
  </w:comment>
  <w:comment w:id="1" w:author="vivo" w:date="2021-09-08T14:47:00Z" w:initials="v">
    <w:p w14:paraId="55860305">
      <w:pPr>
        <w:pStyle w:val="31"/>
      </w:pPr>
      <w:r>
        <w:rPr>
          <w:rFonts w:eastAsiaTheme="minorEastAsia"/>
          <w:lang w:eastAsia="zh-CN"/>
        </w:rPr>
        <w:t>Either to keep the original text description or to add more clarifications (like the modified text does) is fine to us, but this should be aligned with the Running CR of TS38.340.</w:t>
      </w:r>
    </w:p>
    <w:p w14:paraId="214E28B3">
      <w:pPr>
        <w:pStyle w:val="31"/>
      </w:pPr>
    </w:p>
  </w:comment>
  <w:comment w:id="2" w:author="Ericsson" w:date="2021-09-08T11:09:00Z" w:initials="Ericsson">
    <w:p w14:paraId="19852A83">
      <w:pPr>
        <w:pStyle w:val="31"/>
      </w:pPr>
      <w:r>
        <w:t>We also prefer for the moment to do not change legacy definitions, in order to avoid misalignment and additional changes in other specifications, e.g. TS 38.331</w:t>
      </w:r>
    </w:p>
  </w:comment>
  <w:comment w:id="3" w:author="Samsung (June Hwang)" w:date="2021-09-08T19:09:00Z" w:initials="JN">
    <w:p w14:paraId="6B78418E">
      <w:pPr>
        <w:pStyle w:val="31"/>
      </w:pPr>
      <w:r>
        <w:t xml:space="preserve">@Huawei: I wonder how the type2/3/4 can be described with legacy term not changed. </w:t>
      </w:r>
    </w:p>
    <w:p w14:paraId="41B9441C">
      <w:pPr>
        <w:pStyle w:val="31"/>
      </w:pPr>
      <w:r>
        <w:t>We prefer to change the term using current modification because legacy BH RLF indication is not precise enough since there are more detail operation even for RLF itself. The modification by rapporteur seems intuitive and clear enough. But, for BH recovery failure we also prefer to use “BH link outage” since when this event happens, the IAB MT will go to the IDLE state.</w:t>
      </w:r>
    </w:p>
  </w:comment>
  <w:comment w:id="4" w:author="QC-4" w:date="2021-09-08T18:36:00Z" w:initials="">
    <w:p w14:paraId="64D4523C">
      <w:pPr>
        <w:pStyle w:val="31"/>
      </w:pPr>
      <w:r>
        <w:t xml:space="preserve">The legacy term “RLF indication” is certainly misleading with the introduction of type-2/3 indications. We can resolve the naming issue in next meeting. For the time being, we can add an Editor’s Note stating that these terms require revision. </w:t>
      </w:r>
    </w:p>
  </w:comment>
  <w:comment w:id="5" w:author="Nokia" w:date="2021-09-09T05:08:00Z" w:initials="Nokia">
    <w:p w14:paraId="16D50018">
      <w:pPr>
        <w:pStyle w:val="31"/>
      </w:pPr>
      <w:r>
        <w:t>It does not seem to cover local re-routing triggered by Type-2 RLF indication</w:t>
      </w:r>
    </w:p>
  </w:comment>
  <w:comment w:id="6" w:author="vivo" w:date="2021-09-08T14:49:00Z" w:initials="v">
    <w:p w14:paraId="27DA33F0">
      <w:pPr>
        <w:pStyle w:val="31"/>
        <w:rPr>
          <w:rFonts w:eastAsiaTheme="minorEastAsia"/>
          <w:lang w:eastAsia="zh-CN"/>
        </w:rPr>
      </w:pPr>
      <w:r>
        <w:rPr>
          <w:rFonts w:hint="eastAsia" w:eastAsiaTheme="minorEastAsia"/>
          <w:lang w:eastAsia="zh-CN"/>
        </w:rPr>
        <w:t>M</w:t>
      </w:r>
      <w:r>
        <w:rPr>
          <w:rFonts w:eastAsiaTheme="minorEastAsia"/>
          <w:lang w:eastAsia="zh-CN"/>
        </w:rPr>
        <w:t>aybe we could use unavailable to generalize the concept of ‘RLF’ and ‘congested’, and use the sentence in the NEXT paragraph (</w:t>
      </w:r>
      <w:r>
        <w:rPr>
          <w:i/>
          <w:iCs/>
          <w:lang w:eastAsia="zh-CN"/>
        </w:rPr>
        <w:t>A BH link may be considered unavailable</w:t>
      </w:r>
      <w:r>
        <w:rPr>
          <w:rFonts w:eastAsiaTheme="minorEastAsia"/>
          <w:lang w:eastAsia="zh-CN"/>
        </w:rPr>
        <w:t xml:space="preserve"> ….) to explain the meaning of ‘unavailable’.</w:t>
      </w:r>
    </w:p>
    <w:p w14:paraId="743E5CDD">
      <w:pPr>
        <w:pStyle w:val="31"/>
        <w:rPr>
          <w:rFonts w:eastAsiaTheme="minorEastAsia"/>
          <w:lang w:eastAsia="zh-CN"/>
        </w:rPr>
      </w:pPr>
    </w:p>
    <w:p w14:paraId="412510D1">
      <w:pPr>
        <w:pStyle w:val="31"/>
        <w:rPr>
          <w:rFonts w:eastAsiaTheme="minorEastAsia"/>
          <w:lang w:eastAsia="zh-CN"/>
        </w:rPr>
      </w:pPr>
      <w:r>
        <w:rPr>
          <w:rFonts w:hint="eastAsia" w:eastAsiaTheme="minorEastAsia"/>
          <w:lang w:eastAsia="zh-CN"/>
        </w:rPr>
        <w:t>S</w:t>
      </w:r>
      <w:r>
        <w:rPr>
          <w:rFonts w:eastAsiaTheme="minorEastAsia"/>
          <w:lang w:eastAsia="zh-CN"/>
        </w:rPr>
        <w:t>o here ‘or congested’ could be removed.</w:t>
      </w:r>
    </w:p>
    <w:p w14:paraId="5277536E">
      <w:pPr>
        <w:pStyle w:val="31"/>
      </w:pPr>
    </w:p>
  </w:comment>
  <w:comment w:id="7" w:author="Ericsson" w:date="2021-09-08T11:11:00Z" w:initials="Ericsson">
    <w:p w14:paraId="2D8214A1">
      <w:pPr>
        <w:pStyle w:val="31"/>
      </w:pPr>
      <w:r>
        <w:t>We prefer to keep the original text from Rapporteur with “congested”. We have not agreed yet that a congested link should be also declared as unavailable.</w:t>
      </w:r>
    </w:p>
  </w:comment>
  <w:comment w:id="8" w:author="Samsung (June Hwang)" w:date="2021-09-08T19:10:00Z" w:initials="JN">
    <w:p w14:paraId="55DC2D32">
      <w:pPr>
        <w:pStyle w:val="31"/>
      </w:pPr>
      <w:r>
        <w:rPr>
          <w:lang w:eastAsia="ko-KR"/>
        </w:rPr>
        <w:t>S</w:t>
      </w:r>
      <w:r>
        <w:rPr>
          <w:rFonts w:hint="eastAsia"/>
          <w:lang w:eastAsia="ko-KR"/>
        </w:rPr>
        <w:t xml:space="preserve">ame </w:t>
      </w:r>
      <w:r>
        <w:rPr>
          <w:lang w:eastAsia="ko-KR"/>
        </w:rPr>
        <w:t xml:space="preserve">view with ViVO. </w:t>
      </w:r>
      <w:r>
        <w:rPr>
          <w:rFonts w:hint="eastAsia" w:eastAsiaTheme="minorEastAsia"/>
          <w:lang w:eastAsia="zh-CN"/>
        </w:rPr>
        <w:t>I</w:t>
      </w:r>
      <w:r>
        <w:rPr>
          <w:rFonts w:eastAsiaTheme="minorEastAsia"/>
          <w:lang w:eastAsia="zh-CN"/>
        </w:rPr>
        <w:t>n 38.340, the rerouting is only considered when the BH link is unavailable. Here, the intention is to introduce “congested” as another state to trigger rerouting. So, it is better to align the description, e.g., consider “congested” as another “unavailable” state so that the description in Section 5.2.1.3 of TS38.340 can be reused, or add “congested” as new state triggering local rerouting so that the description in Section 5.2.1.3 should be updated.</w:t>
      </w:r>
    </w:p>
  </w:comment>
  <w:comment w:id="9" w:author="QC-4" w:date="2021-09-08T18:45:00Z" w:initials="">
    <w:p w14:paraId="7E47109D">
      <w:pPr>
        <w:pStyle w:val="31"/>
      </w:pPr>
      <w:r>
        <w:rPr>
          <w:rStyle w:val="69"/>
        </w:rPr>
        <w:t xml:space="preserve">It seems the issue is that the terms “congested” and “available” do not refer to predicates of the BH link but to packet-specific considerations by the IAB-node. A link may be congested for some packets (and therefore considered unavailable) and non-congested for other traffic (and therefore considered available). This needs to be made clear. Apart from that, I believe a link can be considered “unavailable” for a packet if it is considered “congested” for that packet. </w:t>
      </w:r>
    </w:p>
  </w:comment>
  <w:comment w:id="10" w:author="Ericsson2" w:date="2021-09-09T10:22:00Z" w:initials="Ericsson2">
    <w:p w14:paraId="359466F7">
      <w:pPr>
        <w:pStyle w:val="31"/>
      </w:pPr>
      <w:r>
        <w:t>Why this legacy text has been changed?</w:t>
      </w:r>
    </w:p>
    <w:p w14:paraId="17E616A5">
      <w:pPr>
        <w:pStyle w:val="31"/>
      </w:pPr>
      <w:r>
        <w:t>So far we have just agreed that:</w:t>
      </w:r>
    </w:p>
    <w:p w14:paraId="0EC14536">
      <w:pPr>
        <w:pStyle w:val="31"/>
      </w:pPr>
    </w:p>
    <w:p w14:paraId="3EC14F9D">
      <w:pPr>
        <w:pStyle w:val="31"/>
        <w:rPr>
          <w:bCs/>
          <w:lang w:val="en-US" w:eastAsia="zh-CN"/>
        </w:rPr>
      </w:pPr>
      <w:r>
        <w:rPr>
          <w:bCs/>
          <w:lang w:val="en-US" w:eastAsia="zh-CN"/>
        </w:rPr>
        <w:t>“Assume that the IAB-donor will configure (alternative) egress links that can be used at local re-routing (</w:t>
      </w:r>
      <w:r>
        <w:rPr>
          <w:bCs/>
          <w:highlight w:val="yellow"/>
          <w:lang w:val="en-US" w:eastAsia="zh-CN"/>
        </w:rPr>
        <w:t>at least with same destination</w:t>
      </w:r>
      <w:r>
        <w:rPr>
          <w:bCs/>
          <w:lang w:val="en-US" w:eastAsia="zh-CN"/>
        </w:rPr>
        <w:t>, FFS same routing ID)”</w:t>
      </w:r>
    </w:p>
    <w:p w14:paraId="77F97D98">
      <w:pPr>
        <w:pStyle w:val="31"/>
        <w:rPr>
          <w:bCs/>
          <w:lang w:val="en-US" w:eastAsia="zh-CN"/>
        </w:rPr>
      </w:pPr>
    </w:p>
    <w:p w14:paraId="66401113">
      <w:pPr>
        <w:pStyle w:val="31"/>
      </w:pPr>
      <w:r>
        <w:rPr>
          <w:bCs/>
          <w:lang w:val="en-US" w:eastAsia="zh-CN"/>
        </w:rPr>
        <w:t>Hence the legacy text still works fine. We suggest restoring the legacy text.</w:t>
      </w:r>
    </w:p>
    <w:p w14:paraId="68FA19BA">
      <w:pPr>
        <w:pStyle w:val="31"/>
      </w:pPr>
    </w:p>
  </w:comment>
  <w:comment w:id="11" w:author="Huawei-Yulong2" w:date="2021-09-09T10:01:00Z" w:initials="HW">
    <w:p w14:paraId="76217622">
      <w:pPr>
        <w:pStyle w:val="31"/>
      </w:pPr>
      <w:r>
        <w:rPr>
          <w:rFonts w:hint="eastAsia" w:eastAsiaTheme="minorEastAsia"/>
          <w:lang w:eastAsia="zh-CN"/>
        </w:rPr>
        <w:t>W</w:t>
      </w:r>
      <w:r>
        <w:rPr>
          <w:rFonts w:eastAsiaTheme="minorEastAsia"/>
          <w:lang w:eastAsia="zh-CN"/>
        </w:rPr>
        <w:t>hy do we change the R16 wording</w:t>
      </w:r>
    </w:p>
  </w:comment>
  <w:comment w:id="12" w:author="Huawei-Yulong" w:date="2021-09-08T09:40:00Z" w:initials="HW">
    <w:p w14:paraId="4A99772D">
      <w:pPr>
        <w:pStyle w:val="31"/>
        <w:rPr>
          <w:rFonts w:eastAsiaTheme="minorEastAsia"/>
          <w:lang w:eastAsia="zh-CN"/>
        </w:rPr>
      </w:pPr>
      <w:r>
        <w:rPr>
          <w:rFonts w:hint="eastAsia" w:eastAsiaTheme="minorEastAsia"/>
          <w:lang w:eastAsia="zh-CN"/>
        </w:rPr>
        <w:t>M</w:t>
      </w:r>
      <w:r>
        <w:rPr>
          <w:rFonts w:eastAsiaTheme="minorEastAsia"/>
          <w:lang w:eastAsia="zh-CN"/>
        </w:rPr>
        <w:t>aybe it is better to add the stage3 TS as reference for local rerouting.</w:t>
      </w:r>
    </w:p>
  </w:comment>
  <w:comment w:id="13" w:author="QC-4" w:date="2021-09-08T18:48:00Z" w:initials="">
    <w:p w14:paraId="7A107F96">
      <w:pPr>
        <w:pStyle w:val="31"/>
      </w:pPr>
      <w:r>
        <w:t>Fine, but at a different place.</w:t>
      </w:r>
    </w:p>
  </w:comment>
  <w:comment w:id="14" w:author="vivo" w:date="2021-09-07T17:10:00Z" w:initials="v">
    <w:p w14:paraId="42FC08C2">
      <w:pPr>
        <w:pStyle w:val="31"/>
        <w:rPr>
          <w:rFonts w:eastAsiaTheme="minorEastAsia"/>
          <w:lang w:eastAsia="zh-CN"/>
        </w:rPr>
      </w:pPr>
      <w:r>
        <w:rPr>
          <w:rFonts w:hint="eastAsia" w:eastAsiaTheme="minorEastAsia"/>
          <w:lang w:eastAsia="zh-CN"/>
        </w:rPr>
        <w:t>Foll</w:t>
      </w:r>
      <w:r>
        <w:rPr>
          <w:rFonts w:eastAsiaTheme="minorEastAsia"/>
          <w:lang w:eastAsia="zh-CN"/>
        </w:rPr>
        <w:t>ow the suggestion of the previous comment, to add ‘congestion’ to part of the ‘unavailable concept’. This also aligns with the description at running CR of 38340.</w:t>
      </w:r>
    </w:p>
  </w:comment>
  <w:comment w:id="15" w:author="Ericsson" w:date="2021-09-08T11:35:00Z" w:initials="Ericsson">
    <w:p w14:paraId="6F787F50">
      <w:pPr>
        <w:pStyle w:val="31"/>
      </w:pPr>
      <w:r>
        <w:t xml:space="preserve">We prefer to remove this added text. We have not agreed yet that a congested link should be also declared as unavailable. </w:t>
      </w:r>
    </w:p>
  </w:comment>
  <w:comment w:id="16" w:author="QC-4" w:date="2021-09-08T19:50:00Z" w:initials="">
    <w:p w14:paraId="12093D04">
      <w:pPr>
        <w:pStyle w:val="31"/>
      </w:pPr>
      <w:r>
        <w:t>This should be fine since the link is “considered” unavailable rather than simply “unavailable”.</w:t>
      </w:r>
    </w:p>
  </w:comment>
  <w:comment w:id="17" w:author="Huawei-Yulong" w:date="2021-09-08T09:37:00Z" w:initials="HW">
    <w:p w14:paraId="259852ED">
      <w:pPr>
        <w:pStyle w:val="31"/>
        <w:rPr>
          <w:rFonts w:eastAsiaTheme="minorEastAsia"/>
          <w:lang w:eastAsia="zh-CN"/>
        </w:rPr>
      </w:pPr>
      <w:r>
        <w:rPr>
          <w:rFonts w:hint="eastAsia" w:eastAsiaTheme="minorEastAsia"/>
          <w:lang w:eastAsia="zh-CN"/>
        </w:rPr>
        <w:t>I</w:t>
      </w:r>
      <w:r>
        <w:rPr>
          <w:rFonts w:eastAsiaTheme="minorEastAsia"/>
          <w:lang w:eastAsia="zh-CN"/>
        </w:rPr>
        <w:t>s this for the release of previous BH link?</w:t>
      </w:r>
    </w:p>
    <w:p w14:paraId="121E2E05">
      <w:pPr>
        <w:pStyle w:val="31"/>
        <w:rPr>
          <w:rFonts w:eastAsiaTheme="minorEastAsia"/>
          <w:lang w:eastAsia="zh-CN"/>
        </w:rPr>
      </w:pPr>
      <w:r>
        <w:rPr>
          <w:rFonts w:eastAsiaTheme="minorEastAsia"/>
          <w:lang w:eastAsia="zh-CN"/>
        </w:rPr>
        <w:t>Maybe there is no need to explicitly mention this. IAB implementation will consider any released BH link as not available.</w:t>
      </w:r>
    </w:p>
  </w:comment>
  <w:comment w:id="18" w:author="Ericsson" w:date="2021-09-08T11:19:00Z" w:initials="Ericsson">
    <w:p w14:paraId="63D931A2">
      <w:pPr>
        <w:pStyle w:val="31"/>
      </w:pPr>
      <w:r>
        <w:t>We agree with above comment, we can remove this sentence. After migration obviously the connection to previous link is removed (as per RRC procedures), while in case of recovery it means that there was an RLF before which is already covered in the previous sentence.</w:t>
      </w:r>
    </w:p>
  </w:comment>
  <w:comment w:id="19" w:author="Samsung (June Hwang)" w:date="2021-09-08T19:11:00Z" w:initials="JN">
    <w:p w14:paraId="31037E5E">
      <w:pPr>
        <w:pStyle w:val="31"/>
      </w:pPr>
      <w:r>
        <w:rPr>
          <w:rFonts w:hint="eastAsia"/>
          <w:lang w:eastAsia="ko-KR"/>
        </w:rPr>
        <w:t>To us, it is unclear</w:t>
      </w:r>
      <w:r>
        <w:rPr>
          <w:lang w:eastAsia="ko-KR"/>
        </w:rPr>
        <w:t>, too.</w:t>
      </w:r>
      <w:r>
        <w:rPr>
          <w:rFonts w:hint="eastAsia"/>
          <w:lang w:eastAsia="ko-KR"/>
        </w:rPr>
        <w:t xml:space="preserve"> </w:t>
      </w:r>
      <w:r>
        <w:rPr>
          <w:lang w:eastAsia="ko-KR"/>
        </w:rPr>
        <w:t xml:space="preserve">We think we don’t have any explicit agreement on this. </w:t>
      </w:r>
      <w:r>
        <w:rPr>
          <w:rFonts w:eastAsiaTheme="minorEastAsia"/>
          <w:lang w:eastAsia="zh-CN"/>
        </w:rPr>
        <w:t>In case of migration and recovery to a different parent node, if the IAB node already has new BH link, why we consider the BH link is unavailable? There may be any scheme to keep the BH link available, and we didn’t discuss anything on this. So not ready to say this.</w:t>
      </w:r>
    </w:p>
  </w:comment>
  <w:comment w:id="20" w:author="QC-4" w:date="2021-09-08T19:51:00Z" w:initials="">
    <w:p w14:paraId="4A5F116A">
      <w:pPr>
        <w:pStyle w:val="31"/>
      </w:pPr>
      <w:r>
        <w:t>Under what circumstances can a link be “considered unavailable” for a packet? This needs to be properly defined. If the node has migrated to the target parent, the source parent link is not in RLF.</w:t>
      </w:r>
    </w:p>
  </w:comment>
  <w:comment w:id="21" w:author="Huawei-Yulong2" w:date="2021-09-09T10:01:00Z" w:initials="HW">
    <w:p w14:paraId="751D0771">
      <w:pPr>
        <w:pStyle w:val="31"/>
      </w:pPr>
      <w:r>
        <w:rPr>
          <w:rFonts w:hint="eastAsia" w:eastAsiaTheme="minorEastAsia"/>
          <w:lang w:eastAsia="zh-CN"/>
        </w:rPr>
        <w:t>T</w:t>
      </w:r>
      <w:r>
        <w:rPr>
          <w:rFonts w:eastAsiaTheme="minorEastAsia"/>
          <w:lang w:eastAsia="zh-CN"/>
        </w:rPr>
        <w:t xml:space="preserve">his is not new in R17. This case already exist in R16. </w:t>
      </w:r>
      <w:r>
        <w:rPr>
          <w:rFonts w:hint="eastAsia" w:eastAsiaTheme="minorEastAsia"/>
          <w:b/>
          <w:lang w:eastAsia="zh-CN"/>
        </w:rPr>
        <w:t>T</w:t>
      </w:r>
      <w:r>
        <w:rPr>
          <w:rFonts w:eastAsiaTheme="minorEastAsia"/>
          <w:b/>
          <w:lang w:eastAsia="zh-CN"/>
        </w:rPr>
        <w:t xml:space="preserve">his cannot be endorsed for us. </w:t>
      </w:r>
      <w:r>
        <w:rPr>
          <w:rFonts w:eastAsiaTheme="minorEastAsia"/>
          <w:lang w:eastAsia="zh-CN"/>
        </w:rPr>
        <w:t>If it is really needed, R16 CR should be discussed.</w:t>
      </w:r>
    </w:p>
  </w:comment>
  <w:comment w:id="22" w:author="Nokia" w:date="2021-09-09T08:35:00Z" w:initials="Nokia">
    <w:p w14:paraId="20DE6764">
      <w:pPr>
        <w:pStyle w:val="31"/>
      </w:pPr>
      <w:r>
        <w:t xml:space="preserve">We are fine with Samsung and Huawei suggestion </w:t>
      </w:r>
    </w:p>
  </w:comment>
  <w:comment w:id="24" w:author="QC-4" w:date="2021-09-08T19:56:00Z" w:initials="">
    <w:p w14:paraId="62E43CF1">
      <w:pPr>
        <w:pStyle w:val="31"/>
      </w:pPr>
      <w:r>
        <w:t>Unavailability due to congestion may be traffic dependent.</w:t>
      </w:r>
    </w:p>
  </w:comment>
  <w:comment w:id="23" w:author="Ericsson2" w:date="2021-09-09T10:28:00Z" w:initials="Ericsson2">
    <w:p w14:paraId="07AF4776">
      <w:pPr>
        <w:pStyle w:val="31"/>
      </w:pPr>
      <w:r>
        <w:t>It is not clear what “some or for all packets” means in practice. If the intention is to say that congestion can only be experienced for certain routing IDs or BH RLC channels, that should be mentioned explicitly in the text.</w:t>
      </w:r>
    </w:p>
    <w:p w14:paraId="569769A5">
      <w:pPr>
        <w:pStyle w:val="31"/>
      </w:pPr>
      <w:r>
        <w:t>Anyway, we have not agreed on that yet, so we can avoid mentioning traffic-dependent congestion/routing and just capture:</w:t>
      </w:r>
    </w:p>
    <w:p w14:paraId="3F232737">
      <w:pPr>
        <w:pStyle w:val="31"/>
      </w:pPr>
    </w:p>
    <w:p w14:paraId="262E2968">
      <w:pPr>
        <w:pStyle w:val="31"/>
      </w:pPr>
      <w:r>
        <w:t>“</w:t>
      </w:r>
      <w:r>
        <w:rPr>
          <w:lang w:eastAsia="zh-CN"/>
        </w:rPr>
        <w:t xml:space="preserve">unavailable </w:t>
      </w:r>
      <w:r>
        <w:rPr>
          <w:strike/>
          <w:color w:val="FF0000"/>
          <w:lang w:eastAsia="zh-CN"/>
        </w:rPr>
        <w:t>for some or for all packets</w:t>
      </w:r>
      <w:r>
        <w:rPr>
          <w:color w:val="FF0000"/>
          <w:lang w:eastAsia="zh-CN"/>
        </w:rPr>
        <w:t xml:space="preserve"> </w:t>
      </w:r>
      <w:r>
        <w:rPr>
          <w:lang w:eastAsia="zh-CN"/>
        </w:rPr>
        <w:t>due to congestion derived from flow-control feedback information</w:t>
      </w:r>
      <w:r>
        <w:t>”</w:t>
      </w:r>
    </w:p>
  </w:comment>
  <w:comment w:id="25" w:author="Ericsson" w:date="2021-09-08T11:23:00Z" w:initials="Ericsson">
    <w:p w14:paraId="7917480C">
      <w:pPr>
        <w:pStyle w:val="31"/>
      </w:pPr>
      <w:r>
        <w:t>In case the destination is the same, shouldn’t the PATH ID be rewritten?</w:t>
      </w:r>
    </w:p>
  </w:comment>
  <w:comment w:id="26" w:author="QC-4" w:date="2021-09-08T19:58:00Z" w:initials="">
    <w:p w14:paraId="1F904475">
      <w:pPr>
        <w:pStyle w:val="31"/>
      </w:pPr>
      <w:r>
        <w:t>Actually, we cannot capture this section yet since we have not defined the BAP processing for inter-donor-DU rerouting (as we haven’t discussed them either for inter-topology routing).</w:t>
      </w:r>
    </w:p>
  </w:comment>
  <w:comment w:id="27" w:author="Nokia" w:date="2021-09-09T05:13:00Z" w:initials="Nokia">
    <w:p w14:paraId="68C80C91">
      <w:pPr>
        <w:pStyle w:val="31"/>
      </w:pPr>
      <w:r>
        <w:t>No need for the NOTE, as the use case can be agreed migration (Migration of MCG or SCG before RLF)</w:t>
      </w:r>
    </w:p>
  </w:comment>
  <w:comment w:id="28" w:author="ZTE" w:date="2021-09-09T19:40:48Z" w:initials="ZTE">
    <w:p w14:paraId="37064FE1">
      <w:pPr>
        <w:pStyle w:val="31"/>
        <w:rPr>
          <w:rFonts w:hint="default" w:eastAsia="宋体"/>
          <w:lang w:val="en-US" w:eastAsia="zh-CN"/>
        </w:rPr>
      </w:pPr>
      <w:r>
        <w:rPr>
          <w:rFonts w:hint="eastAsia" w:eastAsia="宋体"/>
          <w:lang w:val="en-US" w:eastAsia="zh-CN"/>
        </w:rPr>
        <w:t>Agree with Nokia, what</w:t>
      </w:r>
      <w:r>
        <w:rPr>
          <w:rFonts w:hint="default" w:eastAsia="宋体"/>
          <w:lang w:val="en-US" w:eastAsia="zh-CN"/>
        </w:rPr>
        <w:t>’</w:t>
      </w:r>
      <w:r>
        <w:rPr>
          <w:rFonts w:hint="eastAsia" w:eastAsia="宋体"/>
          <w:lang w:val="en-US" w:eastAsia="zh-CN"/>
        </w:rPr>
        <w:t xml:space="preserve">s the intention of this EN? We suggest to remove this EN. </w:t>
      </w:r>
    </w:p>
  </w:comment>
  <w:comment w:id="29" w:author="ZTE" w:date="2021-09-09T19:45:26Z" w:initials="ZTE">
    <w:p w14:paraId="04E93D3A">
      <w:pPr>
        <w:rPr>
          <w:rFonts w:hint="eastAsia" w:eastAsia="宋体"/>
          <w:b w:val="0"/>
          <w:bCs/>
          <w:lang w:val="en-US" w:eastAsia="zh-CN"/>
        </w:rPr>
      </w:pPr>
      <w:r>
        <w:rPr>
          <w:rFonts w:hint="eastAsia" w:eastAsia="宋体"/>
          <w:b w:val="0"/>
          <w:bCs/>
          <w:lang w:val="en-US" w:eastAsia="zh-CN"/>
        </w:rPr>
        <w:t xml:space="preserve">The following agreements needs to be captured in the specification: </w:t>
      </w:r>
      <w:r>
        <w:rPr>
          <w:b w:val="0"/>
          <w:bCs/>
        </w:rPr>
        <w:t>A configured threshold of available buffer size based on flow control feedback is used to determine the congestion, for the purpose of local re-routing.</w:t>
      </w:r>
      <w:r>
        <w:rPr>
          <w:rFonts w:hint="eastAsia" w:eastAsia="宋体"/>
          <w:b w:val="0"/>
          <w:bCs/>
          <w:lang w:val="en-US" w:eastAsia="zh-CN"/>
        </w:rPr>
        <w:t xml:space="preserve"> </w:t>
      </w:r>
    </w:p>
    <w:p w14:paraId="79EF3769">
      <w:pPr>
        <w:rPr>
          <w:rFonts w:hint="default" w:eastAsia="宋体"/>
          <w:b w:val="0"/>
          <w:bCs/>
          <w:lang w:val="en-US" w:eastAsia="zh-CN"/>
        </w:rPr>
      </w:pPr>
      <w:r>
        <w:rPr>
          <w:rFonts w:hint="eastAsia" w:eastAsia="宋体"/>
          <w:b w:val="0"/>
          <w:bCs/>
          <w:lang w:val="en-US" w:eastAsia="zh-CN"/>
        </w:rPr>
        <w:t xml:space="preserve">For example, it could be added after the sentence </w:t>
      </w:r>
      <w:r>
        <w:rPr>
          <w:rFonts w:hint="default" w:eastAsia="宋体"/>
          <w:b w:val="0"/>
          <w:bCs/>
          <w:lang w:val="en-US" w:eastAsia="zh-CN"/>
        </w:rPr>
        <w:t>“</w:t>
      </w:r>
      <w:r>
        <w:rPr>
          <w:lang w:eastAsia="zh-CN"/>
        </w:rPr>
        <w:t>For DL traffic, a BH link may be considered unavailable for some or for all packets due to congestion derived from flow-control feedback information, as defined in TS 38.340 [zz].</w:t>
      </w:r>
      <w:r>
        <w:rPr>
          <w:rFonts w:hint="default" w:eastAsia="宋体"/>
          <w:b w:val="0"/>
          <w:bCs/>
          <w:lang w:val="en-US" w:eastAsia="zh-CN"/>
        </w:rPr>
        <w:t>”</w:t>
      </w:r>
    </w:p>
    <w:p w14:paraId="2FF3003A">
      <w:pPr>
        <w:pStyle w:val="31"/>
      </w:pPr>
    </w:p>
  </w:comment>
  <w:comment w:id="30" w:author="Huawei-Yulong" w:date="2021-09-08T09:42:00Z" w:initials="HW">
    <w:p w14:paraId="19B6146E">
      <w:pPr>
        <w:pStyle w:val="31"/>
        <w:rPr>
          <w:rFonts w:eastAsiaTheme="minorEastAsia"/>
          <w:lang w:eastAsia="zh-CN"/>
        </w:rPr>
      </w:pPr>
      <w:r>
        <w:rPr>
          <w:rFonts w:hint="eastAsia" w:eastAsiaTheme="minorEastAsia"/>
          <w:lang w:eastAsia="zh-CN"/>
        </w:rPr>
        <w:t>B</w:t>
      </w:r>
      <w:r>
        <w:rPr>
          <w:rFonts w:eastAsiaTheme="minorEastAsia"/>
          <w:lang w:eastAsia="zh-CN"/>
        </w:rPr>
        <w:t>etter to clarify the inter-donor CHO is not clear yet. We indeed agree to discuss the inter-donor CHO, but the spec impact is not clear yet.</w:t>
      </w:r>
    </w:p>
  </w:comment>
  <w:comment w:id="31" w:author="QC-4" w:date="2021-09-08T20:03:00Z" w:initials="">
    <w:p w14:paraId="3ABD08A3">
      <w:pPr>
        <w:pStyle w:val="31"/>
      </w:pPr>
      <w:r>
        <w:t>The Editor’s note is not a holder for RAN2 agreements.</w:t>
      </w:r>
    </w:p>
  </w:comment>
  <w:comment w:id="32" w:author="Ericsson" w:date="2021-09-08T11:30:00Z" w:initials="Ericsson">
    <w:p w14:paraId="2302763E">
      <w:pPr>
        <w:pStyle w:val="31"/>
      </w:pPr>
      <w:r>
        <w:t>We prefer to keep the definition as in legacy to avoid possible misalignment with other specifications (e.g. 38.331)</w:t>
      </w:r>
    </w:p>
  </w:comment>
  <w:comment w:id="33" w:author="Samsung (June Hwang)" w:date="2021-09-08T19:13:00Z" w:initials="JN">
    <w:p w14:paraId="754C40CF">
      <w:pPr>
        <w:pStyle w:val="31"/>
      </w:pPr>
      <w:r>
        <w:rPr>
          <w:rFonts w:hint="eastAsia"/>
          <w:lang w:eastAsia="ko-KR"/>
        </w:rPr>
        <w:t>Depends on the terminology discussion.</w:t>
      </w:r>
    </w:p>
  </w:comment>
  <w:comment w:id="34" w:author="QC-4" w:date="2021-09-08T20:04:00Z" w:initials="">
    <w:p w14:paraId="352C7F95">
      <w:pPr>
        <w:pStyle w:val="31"/>
      </w:pPr>
      <w:r>
        <w:t>Let’s please not rediscuss at every occurrence. Please write contributions on this topic to next RAN2 meeting.</w:t>
      </w:r>
    </w:p>
  </w:comment>
  <w:comment w:id="35" w:author="ZTE" w:date="2021-09-09T19:59:14Z" w:initials="ZTE">
    <w:p w14:paraId="41EC7400">
      <w:pPr>
        <w:pStyle w:val="31"/>
        <w:rPr>
          <w:rFonts w:hint="default" w:eastAsia="宋体"/>
          <w:lang w:val="en-US" w:eastAsia="zh-CN"/>
        </w:rPr>
      </w:pPr>
      <w:r>
        <w:rPr>
          <w:rFonts w:hint="eastAsia" w:eastAsia="宋体"/>
          <w:lang w:val="en-US" w:eastAsia="zh-CN"/>
        </w:rPr>
        <w:t>We don</w:t>
      </w:r>
      <w:r>
        <w:rPr>
          <w:rFonts w:hint="default" w:eastAsia="宋体"/>
          <w:lang w:val="en-US" w:eastAsia="zh-CN"/>
        </w:rPr>
        <w:t>’</w:t>
      </w:r>
      <w:r>
        <w:rPr>
          <w:rFonts w:hint="eastAsia" w:eastAsia="宋体"/>
          <w:lang w:val="en-US" w:eastAsia="zh-CN"/>
        </w:rPr>
        <w:t>t have agreement on this issue yet. Suggest to remove this Editor</w:t>
      </w:r>
      <w:r>
        <w:rPr>
          <w:rFonts w:hint="default" w:eastAsia="宋体"/>
          <w:lang w:val="en-US" w:eastAsia="zh-CN"/>
        </w:rPr>
        <w:t>’</w:t>
      </w:r>
      <w:r>
        <w:rPr>
          <w:rFonts w:hint="eastAsia" w:eastAsia="宋体"/>
          <w:lang w:val="en-US" w:eastAsia="zh-CN"/>
        </w:rPr>
        <w:t xml:space="preserve">s Note. </w:t>
      </w:r>
    </w:p>
  </w:comment>
  <w:comment w:id="36" w:author="Ericsson" w:date="2021-09-08T11:31:00Z" w:initials="Ericsson">
    <w:p w14:paraId="4DF67D64">
      <w:pPr>
        <w:pStyle w:val="31"/>
      </w:pPr>
      <w:r>
        <w:t>We prefer to keep the definition as in legacy to avoid possible misalignment with other specifications (e.g. 38.331).</w:t>
      </w:r>
    </w:p>
  </w:comment>
  <w:comment w:id="37" w:author="Samsung (June Hwang)" w:date="2021-09-08T19:13:00Z" w:initials="JN">
    <w:p w14:paraId="5E7F3B43">
      <w:pPr>
        <w:pStyle w:val="31"/>
      </w:pPr>
      <w:r>
        <w:rPr>
          <w:rFonts w:hint="eastAsia"/>
          <w:lang w:eastAsia="ko-KR"/>
        </w:rPr>
        <w:t>Depends on the terminology discussion.</w:t>
      </w:r>
    </w:p>
  </w:comment>
  <w:comment w:id="38" w:author="Huawei-Yulong" w:date="2021-09-08T09:46:00Z" w:initials="HW">
    <w:p w14:paraId="7D7A5AD0">
      <w:pPr>
        <w:pStyle w:val="31"/>
        <w:rPr>
          <w:rFonts w:eastAsiaTheme="minorEastAsia"/>
          <w:lang w:eastAsia="zh-CN"/>
        </w:rPr>
      </w:pPr>
      <w:r>
        <w:rPr>
          <w:rFonts w:hint="eastAsia" w:eastAsiaTheme="minorEastAsia"/>
          <w:lang w:eastAsia="zh-CN"/>
        </w:rPr>
        <w:t>W</w:t>
      </w:r>
      <w:r>
        <w:rPr>
          <w:rFonts w:eastAsiaTheme="minorEastAsia"/>
          <w:lang w:eastAsia="zh-CN"/>
        </w:rPr>
        <w:t>e understand this is IAB implementation, when we agree this agreement, rather than to capture it in the spec.</w:t>
      </w:r>
    </w:p>
  </w:comment>
  <w:comment w:id="39" w:author="Ericsson" w:date="2021-09-08T11:32:00Z" w:initials="Ericsson">
    <w:p w14:paraId="5816319A">
      <w:pPr>
        <w:pStyle w:val="31"/>
      </w:pPr>
      <w:r>
        <w:t xml:space="preserve">Same understanding as Huawei. </w:t>
      </w:r>
    </w:p>
  </w:comment>
  <w:comment w:id="40" w:author="Samsung (June Hwang)" w:date="2021-09-08T19:13:00Z" w:initials="JN">
    <w:p w14:paraId="1660167E">
      <w:pPr>
        <w:pStyle w:val="31"/>
        <w:rPr>
          <w:lang w:eastAsia="ko-KR"/>
        </w:rPr>
      </w:pPr>
      <w:r>
        <w:rPr>
          <w:rFonts w:hint="eastAsia"/>
          <w:lang w:eastAsia="ko-KR"/>
        </w:rPr>
        <w:t>We are ok with this capture.</w:t>
      </w:r>
      <w:r>
        <w:rPr>
          <w:lang w:eastAsia="ko-KR"/>
        </w:rPr>
        <w:t xml:space="preserve"> It is beneficial for the possible implementation.</w:t>
      </w:r>
    </w:p>
  </w:comment>
  <w:comment w:id="41" w:author="QC-4" w:date="2021-09-08T20:09:00Z" w:initials="">
    <w:p w14:paraId="5CBE3359">
      <w:pPr>
        <w:pStyle w:val="31"/>
      </w:pPr>
      <w:r>
        <w:t xml:space="preserve">St2 has the purpose to explain the principal functionality. </w:t>
      </w:r>
    </w:p>
  </w:comment>
  <w:comment w:id="42" w:author="Huawei-Yulong2" w:date="2021-09-09T10:02:00Z" w:initials="HW">
    <w:p w14:paraId="2E541D0E">
      <w:pPr>
        <w:pStyle w:val="31"/>
      </w:pPr>
      <w:r>
        <w:rPr>
          <w:rFonts w:eastAsiaTheme="minorEastAsia"/>
          <w:b/>
          <w:lang w:eastAsia="zh-CN"/>
        </w:rPr>
        <w:t xml:space="preserve"> This cannot be endorsed for us. </w:t>
      </w:r>
      <w:r>
        <w:rPr>
          <w:rFonts w:eastAsiaTheme="minorEastAsia"/>
          <w:lang w:eastAsia="zh-CN"/>
        </w:rPr>
        <w:t>I</w:t>
      </w:r>
    </w:p>
  </w:comment>
  <w:comment w:id="43" w:author="Nokia" w:date="2021-09-09T05:15:00Z" w:initials="Nokia">
    <w:p w14:paraId="5F9D2CD1">
      <w:pPr>
        <w:pStyle w:val="31"/>
      </w:pPr>
      <w:r>
        <w:t>We are fine to remove (as Huawei and Ericsson suggest)</w:t>
      </w:r>
    </w:p>
  </w:comment>
  <w:comment w:id="44" w:author="LG (GyeongCheol)" w:date="2021-09-09T13:31:00Z" w:initials="Brandon">
    <w:p w14:paraId="02B72CE5">
      <w:pPr>
        <w:pStyle w:val="31"/>
      </w:pPr>
      <w:r>
        <w:rPr>
          <w:bCs/>
          <w:lang w:val="en-US" w:eastAsia="zh-CN"/>
        </w:rPr>
        <w:t>We wonder whether the following agreement (“</w:t>
      </w:r>
      <w:r>
        <w:rPr>
          <w:bCs/>
          <w:highlight w:val="cyan"/>
          <w:lang w:val="en-US" w:eastAsia="zh-CN"/>
        </w:rPr>
        <w:t>Upon reception of the type-2 indication, the IAB node does not initiate RRC re-establishment.</w:t>
      </w:r>
      <w:r>
        <w:rPr>
          <w:bCs/>
          <w:lang w:val="en-US" w:eastAsia="zh-CN"/>
        </w:rPr>
        <w:t>”) can be captured here and the controversial wording here can be removed or captured in the NOTE.</w:t>
      </w:r>
    </w:p>
  </w:comment>
  <w:comment w:id="45" w:author="Ericsson2" w:date="2021-09-09T10:37:00Z" w:initials="Ericsson2">
    <w:p w14:paraId="433D3C2C">
      <w:pPr>
        <w:pStyle w:val="31"/>
      </w:pPr>
      <w:r>
        <w:t>As already said we agree with Huawei and Nokia. When we made this agreement the TS impact was left unclear. Furthermore, the same behaviour of deactivating the SIB may be applicable also in other cases, e.g. to the parent, and also in the legacy specification. But for that we did not capture anything. Same applies to the SR deactivation/reduction which is not supported in other stage-3 technical specifications.</w:t>
      </w:r>
    </w:p>
  </w:comment>
  <w:comment w:id="46" w:author="ZTE" w:date="2021-09-09T20:03:34Z" w:initials="ZTE">
    <w:p w14:paraId="15952730">
      <w:pPr>
        <w:pStyle w:val="31"/>
        <w:rPr>
          <w:rFonts w:hint="default" w:eastAsia="宋体"/>
          <w:lang w:val="en-US" w:eastAsia="zh-CN"/>
        </w:rPr>
      </w:pPr>
      <w:r>
        <w:rPr>
          <w:rFonts w:hint="eastAsia" w:eastAsia="宋体"/>
          <w:lang w:val="en-US" w:eastAsia="zh-CN"/>
        </w:rPr>
        <w:t>Agree to remove th</w:t>
      </w:r>
      <w:bookmarkStart w:id="28" w:name="_GoBack"/>
      <w:bookmarkEnd w:id="28"/>
      <w:r>
        <w:rPr>
          <w:rFonts w:hint="eastAsia" w:eastAsia="宋体"/>
          <w:lang w:val="en-US" w:eastAsia="zh-CN"/>
        </w:rPr>
        <w:t xml:space="preserve">is sentence.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52297E0C" w15:done="0"/>
  <w15:commentEx w15:paraId="214E28B3" w15:done="0" w15:paraIdParent="52297E0C"/>
  <w15:commentEx w15:paraId="19852A83" w15:done="0" w15:paraIdParent="52297E0C"/>
  <w15:commentEx w15:paraId="41B9441C" w15:done="0" w15:paraIdParent="52297E0C"/>
  <w15:commentEx w15:paraId="64D4523C" w15:done="0" w15:paraIdParent="52297E0C"/>
  <w15:commentEx w15:paraId="16D50018" w15:done="0"/>
  <w15:commentEx w15:paraId="5277536E" w15:done="0"/>
  <w15:commentEx w15:paraId="2D8214A1" w15:done="0" w15:paraIdParent="5277536E"/>
  <w15:commentEx w15:paraId="55DC2D32" w15:done="0" w15:paraIdParent="5277536E"/>
  <w15:commentEx w15:paraId="7E47109D" w15:done="0" w15:paraIdParent="5277536E"/>
  <w15:commentEx w15:paraId="68FA19BA" w15:done="0"/>
  <w15:commentEx w15:paraId="76217622" w15:done="0"/>
  <w15:commentEx w15:paraId="4A99772D" w15:done="0"/>
  <w15:commentEx w15:paraId="7A107F96" w15:done="0" w15:paraIdParent="4A99772D"/>
  <w15:commentEx w15:paraId="42FC08C2" w15:done="0"/>
  <w15:commentEx w15:paraId="6F787F50" w15:done="0" w15:paraIdParent="42FC08C2"/>
  <w15:commentEx w15:paraId="12093D04" w15:done="0" w15:paraIdParent="42FC08C2"/>
  <w15:commentEx w15:paraId="121E2E05" w15:done="0"/>
  <w15:commentEx w15:paraId="63D931A2" w15:done="0" w15:paraIdParent="121E2E05"/>
  <w15:commentEx w15:paraId="31037E5E" w15:done="0" w15:paraIdParent="121E2E05"/>
  <w15:commentEx w15:paraId="4A5F116A" w15:done="0" w15:paraIdParent="121E2E05"/>
  <w15:commentEx w15:paraId="751D0771" w15:done="0" w15:paraIdParent="121E2E05"/>
  <w15:commentEx w15:paraId="20DE6764" w15:done="0" w15:paraIdParent="121E2E05"/>
  <w15:commentEx w15:paraId="62E43CF1" w15:done="0"/>
  <w15:commentEx w15:paraId="262E2968" w15:done="0"/>
  <w15:commentEx w15:paraId="7917480C" w15:done="0"/>
  <w15:commentEx w15:paraId="1F904475" w15:done="0" w15:paraIdParent="7917480C"/>
  <w15:commentEx w15:paraId="68C80C91" w15:done="0"/>
  <w15:commentEx w15:paraId="37064FE1" w15:done="0" w15:paraIdParent="68C80C91"/>
  <w15:commentEx w15:paraId="2FF3003A" w15:done="0"/>
  <w15:commentEx w15:paraId="19B6146E" w15:done="0"/>
  <w15:commentEx w15:paraId="3ABD08A3" w15:done="0" w15:paraIdParent="19B6146E"/>
  <w15:commentEx w15:paraId="2302763E" w15:done="0"/>
  <w15:commentEx w15:paraId="754C40CF" w15:done="0" w15:paraIdParent="2302763E"/>
  <w15:commentEx w15:paraId="352C7F95" w15:done="0" w15:paraIdParent="2302763E"/>
  <w15:commentEx w15:paraId="41EC7400" w15:done="0"/>
  <w15:commentEx w15:paraId="4DF67D64" w15:done="0"/>
  <w15:commentEx w15:paraId="5E7F3B43" w15:done="0" w15:paraIdParent="4DF67D64"/>
  <w15:commentEx w15:paraId="7D7A5AD0" w15:done="0"/>
  <w15:commentEx w15:paraId="5816319A" w15:done="0" w15:paraIdParent="7D7A5AD0"/>
  <w15:commentEx w15:paraId="1660167E" w15:done="0" w15:paraIdParent="7D7A5AD0"/>
  <w15:commentEx w15:paraId="5CBE3359" w15:done="0" w15:paraIdParent="7D7A5AD0"/>
  <w15:commentEx w15:paraId="2E541D0E" w15:done="0" w15:paraIdParent="7D7A5AD0"/>
  <w15:commentEx w15:paraId="5F9D2CD1" w15:done="0" w15:paraIdParent="7D7A5AD0"/>
  <w15:commentEx w15:paraId="02B72CE5" w15:done="0" w15:paraIdParent="7D7A5AD0"/>
  <w15:commentEx w15:paraId="433D3C2C" w15:done="0" w15:paraIdParent="7D7A5AD0"/>
  <w15:commentEx w15:paraId="15952730" w15:done="0" w15:paraIdParent="7D7A5AD0"/>
</w15:commentsEx>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Malgun Gothic">
    <w:panose1 w:val="020B0503020000020004"/>
    <w:charset w:val="81"/>
    <w:family w:val="swiss"/>
    <w:pitch w:val="default"/>
    <w:sig w:usb0="900002AF" w:usb1="01D77CFB" w:usb2="00000012" w:usb3="00000000" w:csb0="00080001" w:csb1="00000000"/>
  </w:font>
  <w:font w:name="Arial">
    <w:panose1 w:val="020B0604020202020204"/>
    <w:charset w:val="00"/>
    <w:family w:val="swiss"/>
    <w:pitch w:val="default"/>
    <w:sig w:usb0="E0002AFF" w:usb1="C0007843" w:usb2="00000009" w:usb3="00000000" w:csb0="400001FF" w:csb1="FFFF0000"/>
  </w:font>
  <w:font w:name="MS Mincho">
    <w:panose1 w:val="02020609040205080304"/>
    <w:charset w:val="80"/>
    <w:family w:val="modern"/>
    <w:pitch w:val="default"/>
    <w:sig w:usb0="E00002FF" w:usb1="6AC7FDFB" w:usb2="00000012" w:usb3="00000000" w:csb0="4002009F" w:csb1="DFD7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AFF" w:usb1="C0007843" w:usb2="00000009" w:usb3="00000000" w:csb0="400001FF" w:csb1="FFFF0000"/>
  </w:font>
  <w:font w:name="Calibri Light">
    <w:panose1 w:val="020F0302020204030204"/>
    <w:charset w:val="00"/>
    <w:family w:val="swiss"/>
    <w:pitch w:val="default"/>
    <w:sig w:usb0="A00002EF" w:usb1="4000207B" w:usb2="00000000" w:usb3="00000000" w:csb0="2000019F" w:csb1="00000000"/>
  </w:font>
  <w:font w:name="Tms Rmn">
    <w:altName w:val="Segoe Print"/>
    <w:panose1 w:val="02020603040505020304"/>
    <w:charset w:val="00"/>
    <w:family w:val="roman"/>
    <w:pitch w:val="default"/>
    <w:sig w:usb0="00000000" w:usb1="00000000" w:usb2="00000000" w:usb3="00000000" w:csb0="00000001" w:csb1="00000000"/>
  </w:font>
  <w:font w:name="CG Times (WN)">
    <w:altName w:val="Arial"/>
    <w:panose1 w:val="00000000000000000000"/>
    <w:charset w:val="00"/>
    <w:family w:val="roman"/>
    <w:pitch w:val="default"/>
    <w:sig w:usb0="00000000" w:usb1="00000000" w:usb2="00000000" w:usb3="00000000" w:csb0="00000001" w:csb1="00000000"/>
  </w:font>
  <w:font w:name="MS LineDraw">
    <w:altName w:val="Courier New"/>
    <w:panose1 w:val="00000000000000000000"/>
    <w:charset w:val="02"/>
    <w:family w:val="modern"/>
    <w:pitch w:val="default"/>
    <w:sig w:usb0="00000000" w:usb1="00000000" w:usb2="00000000" w:usb3="00000000" w:csb0="00000000" w:csb1="00000000"/>
  </w:font>
  <w:font w:name="Helvetica">
    <w:altName w:val="Arial"/>
    <w:panose1 w:val="020B0604020202020204"/>
    <w:charset w:val="00"/>
    <w:family w:val="swiss"/>
    <w:pitch w:val="default"/>
    <w:sig w:usb0="00000000" w:usb1="00000000" w:usb2="00000000" w:usb3="00000000" w:csb0="00000001" w:csb1="00000000"/>
  </w:font>
  <w:font w:name="Bookman">
    <w:altName w:val="Segoe Print"/>
    <w:panose1 w:val="00000000000000000000"/>
    <w:charset w:val="00"/>
    <w:family w:val="roman"/>
    <w:pitch w:val="default"/>
    <w:sig w:usb0="00000000" w:usb1="00000000" w:usb2="00000000" w:usb3="00000000" w:csb0="00000001" w:csb1="00000000"/>
  </w:font>
  <w:font w:name="ZapfDingbats">
    <w:altName w:val="Segoe Print"/>
    <w:panose1 w:val="00000000000000000000"/>
    <w:charset w:val="02"/>
    <w:family w:val="decorative"/>
    <w:pitch w:val="default"/>
    <w:sig w:usb0="00000000" w:usb1="00000000" w:usb2="00000000" w:usb3="00000000" w:csb0="80000000" w:csb1="00000000"/>
  </w:font>
  <w:font w:name="Batang">
    <w:panose1 w:val="02030600000101010101"/>
    <w:charset w:val="81"/>
    <w:family w:val="roman"/>
    <w:pitch w:val="default"/>
    <w:sig w:usb0="B00002AF" w:usb1="69D77CFB" w:usb2="00000030" w:usb3="00000000" w:csb0="4008009F" w:csb1="DFD70000"/>
  </w:font>
  <w:font w:name="Calibri">
    <w:panose1 w:val="020F0502020204030204"/>
    <w:charset w:val="00"/>
    <w:family w:val="swiss"/>
    <w:pitch w:val="default"/>
    <w:sig w:usb0="E00002FF" w:usb1="4000ACFF" w:usb2="00000001" w:usb3="00000000" w:csb0="2000019F" w:csb1="00000000"/>
  </w:font>
  <w:font w:name="PMingLiU">
    <w:panose1 w:val="02020500000000000000"/>
    <w:charset w:val="88"/>
    <w:family w:val="roman"/>
    <w:pitch w:val="default"/>
    <w:sig w:usb0="A00002FF" w:usb1="28CFFCFA" w:usb2="00000016" w:usb3="00000000" w:csb0="00100001" w:csb1="00000000"/>
  </w:font>
  <w:font w:name="Verdana">
    <w:panose1 w:val="020B0604030504040204"/>
    <w:charset w:val="00"/>
    <w:family w:val="swiss"/>
    <w:pitch w:val="default"/>
    <w:sig w:usb0="A10006FF" w:usb1="4000205B" w:usb2="00000010" w:usb3="00000000" w:csb0="2000019F" w:csb1="00000000"/>
  </w:font>
  <w:font w:name="Cambria">
    <w:panose1 w:val="02040503050406030204"/>
    <w:charset w:val="00"/>
    <w:family w:val="roman"/>
    <w:pitch w:val="default"/>
    <w:sig w:usb0="E00002FF" w:usb1="400004FF" w:usb2="00000000" w:usb3="00000000" w:csb0="2000019F" w:csb1="00000000"/>
  </w:font>
  <w:font w:name="Yu Mincho">
    <w:altName w:val="MS Mincho"/>
    <w:panose1 w:val="00000000000000000000"/>
    <w:charset w:val="80"/>
    <w:family w:val="roman"/>
    <w:pitch w:val="default"/>
    <w:sig w:usb0="00000000" w:usb1="00000000" w:usb2="00000012" w:usb3="00000000" w:csb0="0002009F" w:csb1="00000000"/>
  </w:font>
  <w:font w:name="DotumChe">
    <w:panose1 w:val="020B0609000101010101"/>
    <w:charset w:val="81"/>
    <w:family w:val="modern"/>
    <w:pitch w:val="default"/>
    <w:sig w:usb0="B00002AF" w:usb1="69D77CFB" w:usb2="00000030" w:usb3="00000000" w:csb0="4008009F" w:csb1="DFD70000"/>
  </w:font>
  <w:font w:name="minorBidi">
    <w:altName w:val="Times New Roman"/>
    <w:panose1 w:val="00000000000000000000"/>
    <w:charset w:val="00"/>
    <w:family w:val="roman"/>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rPr>
        <w:lang w:eastAsia="zh-CN"/>
      </w:rPr>
      <w:fldChar w:fldCharType="begin"/>
    </w:r>
    <w:r>
      <w:rPr>
        <w:lang w:eastAsia="zh-CN"/>
      </w:rPr>
      <w:instrText xml:space="preserve">PAGE</w:instrText>
    </w:r>
    <w:r>
      <w:rPr>
        <w:lang w:eastAsia="zh-CN"/>
      </w:rPr>
      <w:fldChar w:fldCharType="separate"/>
    </w:r>
    <w:r>
      <w:rPr>
        <w:lang w:eastAsia="zh-CN"/>
      </w:rPr>
      <w:t>1</w:t>
    </w:r>
    <w:r>
      <w:rPr>
        <w:lang w:eastAsia="zh-CN"/>
      </w:rPr>
      <w:fldChar w:fldCharType="end"/>
    </w:r>
    <w:r>
      <w:br w:type="textWrapp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tabs>
        <w:tab w:val="right" w:pos="9639"/>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F585B"/>
    <w:multiLevelType w:val="multilevel"/>
    <w:tmpl w:val="019F585B"/>
    <w:lvl w:ilvl="0" w:tentative="0">
      <w:start w:val="5"/>
      <w:numFmt w:val="bullet"/>
      <w:pStyle w:val="204"/>
      <w:lvlText w:val="-"/>
      <w:lvlJc w:val="left"/>
      <w:pPr>
        <w:tabs>
          <w:tab w:val="left" w:pos="644"/>
        </w:tabs>
        <w:ind w:left="644" w:hanging="360"/>
      </w:pPr>
      <w:rPr>
        <w:rFonts w:hint="default" w:ascii="Times New Roman" w:hAnsi="Times New Roman" w:eastAsia="Times New Roman" w:cs="Times New Roman"/>
      </w:rPr>
    </w:lvl>
    <w:lvl w:ilvl="1" w:tentative="0">
      <w:start w:val="1"/>
      <w:numFmt w:val="bullet"/>
      <w:lvlText w:val="o"/>
      <w:lvlJc w:val="left"/>
      <w:pPr>
        <w:tabs>
          <w:tab w:val="left" w:pos="1364"/>
        </w:tabs>
        <w:ind w:left="1364" w:hanging="360"/>
      </w:pPr>
      <w:rPr>
        <w:rFonts w:hint="default" w:ascii="Courier New" w:hAnsi="Courier New" w:cs="Courier New"/>
      </w:rPr>
    </w:lvl>
    <w:lvl w:ilvl="2" w:tentative="0">
      <w:start w:val="1"/>
      <w:numFmt w:val="bullet"/>
      <w:lvlText w:val=""/>
      <w:lvlJc w:val="left"/>
      <w:pPr>
        <w:tabs>
          <w:tab w:val="left" w:pos="2084"/>
        </w:tabs>
        <w:ind w:left="2084" w:hanging="360"/>
      </w:pPr>
      <w:rPr>
        <w:rFonts w:hint="default" w:ascii="Wingdings" w:hAnsi="Wingdings"/>
      </w:rPr>
    </w:lvl>
    <w:lvl w:ilvl="3" w:tentative="0">
      <w:start w:val="1"/>
      <w:numFmt w:val="bullet"/>
      <w:lvlText w:val=""/>
      <w:lvlJc w:val="left"/>
      <w:pPr>
        <w:tabs>
          <w:tab w:val="left" w:pos="2804"/>
        </w:tabs>
        <w:ind w:left="2804" w:hanging="360"/>
      </w:pPr>
      <w:rPr>
        <w:rFonts w:hint="default" w:ascii="Symbol" w:hAnsi="Symbol"/>
      </w:rPr>
    </w:lvl>
    <w:lvl w:ilvl="4" w:tentative="0">
      <w:start w:val="1"/>
      <w:numFmt w:val="bullet"/>
      <w:lvlText w:val="o"/>
      <w:lvlJc w:val="left"/>
      <w:pPr>
        <w:tabs>
          <w:tab w:val="left" w:pos="3524"/>
        </w:tabs>
        <w:ind w:left="3524" w:hanging="360"/>
      </w:pPr>
      <w:rPr>
        <w:rFonts w:hint="default" w:ascii="Courier New" w:hAnsi="Courier New" w:cs="Courier New"/>
      </w:rPr>
    </w:lvl>
    <w:lvl w:ilvl="5" w:tentative="0">
      <w:start w:val="1"/>
      <w:numFmt w:val="bullet"/>
      <w:lvlText w:val=""/>
      <w:lvlJc w:val="left"/>
      <w:pPr>
        <w:tabs>
          <w:tab w:val="left" w:pos="4244"/>
        </w:tabs>
        <w:ind w:left="4244" w:hanging="360"/>
      </w:pPr>
      <w:rPr>
        <w:rFonts w:hint="default" w:ascii="Wingdings" w:hAnsi="Wingdings"/>
      </w:rPr>
    </w:lvl>
    <w:lvl w:ilvl="6" w:tentative="0">
      <w:start w:val="1"/>
      <w:numFmt w:val="bullet"/>
      <w:lvlText w:val=""/>
      <w:lvlJc w:val="left"/>
      <w:pPr>
        <w:tabs>
          <w:tab w:val="left" w:pos="4964"/>
        </w:tabs>
        <w:ind w:left="4964" w:hanging="360"/>
      </w:pPr>
      <w:rPr>
        <w:rFonts w:hint="default" w:ascii="Symbol" w:hAnsi="Symbol"/>
      </w:rPr>
    </w:lvl>
    <w:lvl w:ilvl="7" w:tentative="0">
      <w:start w:val="1"/>
      <w:numFmt w:val="bullet"/>
      <w:lvlText w:val="o"/>
      <w:lvlJc w:val="left"/>
      <w:pPr>
        <w:tabs>
          <w:tab w:val="left" w:pos="5684"/>
        </w:tabs>
        <w:ind w:left="5684" w:hanging="360"/>
      </w:pPr>
      <w:rPr>
        <w:rFonts w:hint="default" w:ascii="Courier New" w:hAnsi="Courier New" w:cs="Courier New"/>
      </w:rPr>
    </w:lvl>
    <w:lvl w:ilvl="8" w:tentative="0">
      <w:start w:val="1"/>
      <w:numFmt w:val="bullet"/>
      <w:lvlText w:val=""/>
      <w:lvlJc w:val="left"/>
      <w:pPr>
        <w:tabs>
          <w:tab w:val="left" w:pos="6404"/>
        </w:tabs>
        <w:ind w:left="6404" w:hanging="360"/>
      </w:pPr>
      <w:rPr>
        <w:rFonts w:hint="default" w:ascii="Wingdings" w:hAnsi="Wingdings"/>
      </w:rPr>
    </w:lvl>
  </w:abstractNum>
  <w:abstractNum w:abstractNumId="1">
    <w:nsid w:val="116B73BA"/>
    <w:multiLevelType w:val="multilevel"/>
    <w:tmpl w:val="116B73BA"/>
    <w:lvl w:ilvl="0" w:tentative="0">
      <w:start w:val="1"/>
      <w:numFmt w:val="decimal"/>
      <w:pStyle w:val="35"/>
      <w:lvlText w:val="%1."/>
      <w:lvlJc w:val="left"/>
      <w:pPr>
        <w:tabs>
          <w:tab w:val="left" w:pos="720"/>
        </w:tabs>
        <w:ind w:left="720" w:hanging="360"/>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
    <w:nsid w:val="29F978E9"/>
    <w:multiLevelType w:val="multilevel"/>
    <w:tmpl w:val="29F978E9"/>
    <w:lvl w:ilvl="0" w:tentative="0">
      <w:start w:val="1"/>
      <w:numFmt w:val="bullet"/>
      <w:pStyle w:val="183"/>
      <w:lvlText w:val=""/>
      <w:lvlJc w:val="left"/>
      <w:pPr>
        <w:tabs>
          <w:tab w:val="left" w:pos="737"/>
        </w:tabs>
        <w:ind w:left="737" w:hanging="453"/>
      </w:pPr>
      <w:rPr>
        <w:rFonts w:hint="default" w:ascii="Symbol" w:hAnsi="Symbol"/>
        <w:color w:val="auto"/>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
    <w:nsid w:val="2CC7125C"/>
    <w:multiLevelType w:val="singleLevel"/>
    <w:tmpl w:val="2CC7125C"/>
    <w:lvl w:ilvl="0" w:tentative="0">
      <w:start w:val="1"/>
      <w:numFmt w:val="bullet"/>
      <w:pStyle w:val="190"/>
      <w:lvlText w:val=""/>
      <w:lvlJc w:val="left"/>
      <w:pPr>
        <w:tabs>
          <w:tab w:val="left" w:pos="360"/>
        </w:tabs>
        <w:ind w:left="360" w:hanging="360"/>
      </w:pPr>
      <w:rPr>
        <w:rFonts w:hint="default" w:ascii="Symbol" w:hAnsi="Symbol"/>
      </w:rPr>
    </w:lvl>
  </w:abstractNum>
  <w:abstractNum w:abstractNumId="4">
    <w:nsid w:val="2E7E4F31"/>
    <w:multiLevelType w:val="multilevel"/>
    <w:tmpl w:val="2E7E4F31"/>
    <w:lvl w:ilvl="0" w:tentative="0">
      <w:start w:val="13"/>
      <w:numFmt w:val="bullet"/>
      <w:lvlText w:val="-"/>
      <w:lvlJc w:val="left"/>
      <w:pPr>
        <w:tabs>
          <w:tab w:val="left" w:pos="648"/>
        </w:tabs>
        <w:ind w:left="648" w:hanging="360"/>
      </w:pPr>
      <w:rPr>
        <w:rFonts w:hint="default" w:ascii="Calibri" w:hAnsi="Calibri" w:cs="Calibri" w:eastAsiaTheme="minorHAnsi"/>
        <w:b/>
        <w:i w:val="0"/>
        <w:color w:val="auto"/>
        <w:sz w:val="22"/>
      </w:rPr>
    </w:lvl>
    <w:lvl w:ilvl="1" w:tentative="0">
      <w:start w:val="1"/>
      <w:numFmt w:val="bullet"/>
      <w:lvlText w:val="o"/>
      <w:lvlJc w:val="left"/>
      <w:pPr>
        <w:tabs>
          <w:tab w:val="left" w:pos="-5832"/>
        </w:tabs>
        <w:ind w:left="-5832" w:hanging="360"/>
      </w:pPr>
      <w:rPr>
        <w:rFonts w:hint="default" w:ascii="DotumChe" w:hAnsi="DotumChe" w:cs="DotumChe"/>
      </w:rPr>
    </w:lvl>
    <w:lvl w:ilvl="2" w:tentative="0">
      <w:start w:val="1"/>
      <w:numFmt w:val="bullet"/>
      <w:lvlText w:val=""/>
      <w:lvlJc w:val="left"/>
      <w:pPr>
        <w:tabs>
          <w:tab w:val="left" w:pos="-5112"/>
        </w:tabs>
        <w:ind w:left="-5112" w:hanging="360"/>
      </w:pPr>
      <w:rPr>
        <w:rFonts w:hint="default" w:ascii="Calibri" w:hAnsi="Calibri"/>
      </w:rPr>
    </w:lvl>
    <w:lvl w:ilvl="3" w:tentative="0">
      <w:start w:val="1"/>
      <w:numFmt w:val="bullet"/>
      <w:lvlText w:val=""/>
      <w:lvlJc w:val="left"/>
      <w:pPr>
        <w:tabs>
          <w:tab w:val="left" w:pos="-4392"/>
        </w:tabs>
        <w:ind w:left="-4392" w:hanging="360"/>
      </w:pPr>
      <w:rPr>
        <w:rFonts w:hint="default" w:ascii="minorBidi" w:hAnsi="minorBidi"/>
      </w:rPr>
    </w:lvl>
    <w:lvl w:ilvl="4" w:tentative="0">
      <w:start w:val="1"/>
      <w:numFmt w:val="decimal"/>
      <w:lvlText w:val="%5."/>
      <w:lvlJc w:val="left"/>
      <w:pPr>
        <w:tabs>
          <w:tab w:val="left" w:pos="1458"/>
        </w:tabs>
        <w:ind w:left="1458" w:hanging="360"/>
      </w:pPr>
    </w:lvl>
    <w:lvl w:ilvl="5" w:tentative="0">
      <w:start w:val="1"/>
      <w:numFmt w:val="decimal"/>
      <w:lvlText w:val="%6."/>
      <w:lvlJc w:val="left"/>
      <w:pPr>
        <w:tabs>
          <w:tab w:val="left" w:pos="2178"/>
        </w:tabs>
        <w:ind w:left="2178" w:hanging="360"/>
      </w:pPr>
    </w:lvl>
    <w:lvl w:ilvl="6" w:tentative="0">
      <w:start w:val="1"/>
      <w:numFmt w:val="decimal"/>
      <w:lvlText w:val="%7."/>
      <w:lvlJc w:val="left"/>
      <w:pPr>
        <w:tabs>
          <w:tab w:val="left" w:pos="2898"/>
        </w:tabs>
        <w:ind w:left="2898" w:hanging="360"/>
      </w:pPr>
    </w:lvl>
    <w:lvl w:ilvl="7" w:tentative="0">
      <w:start w:val="1"/>
      <w:numFmt w:val="decimal"/>
      <w:lvlText w:val="%8."/>
      <w:lvlJc w:val="left"/>
      <w:pPr>
        <w:tabs>
          <w:tab w:val="left" w:pos="3618"/>
        </w:tabs>
        <w:ind w:left="3618" w:hanging="360"/>
      </w:pPr>
    </w:lvl>
    <w:lvl w:ilvl="8" w:tentative="0">
      <w:start w:val="1"/>
      <w:numFmt w:val="decimal"/>
      <w:lvlText w:val="%9."/>
      <w:lvlJc w:val="left"/>
      <w:pPr>
        <w:tabs>
          <w:tab w:val="left" w:pos="4338"/>
        </w:tabs>
        <w:ind w:left="4338" w:hanging="360"/>
      </w:pPr>
    </w:lvl>
  </w:abstractNum>
  <w:abstractNum w:abstractNumId="5">
    <w:nsid w:val="2FB01FD2"/>
    <w:multiLevelType w:val="multilevel"/>
    <w:tmpl w:val="2FB01FD2"/>
    <w:lvl w:ilvl="0" w:tentative="0">
      <w:start w:val="1"/>
      <w:numFmt w:val="decimal"/>
      <w:pStyle w:val="38"/>
      <w:lvlText w:val="%1."/>
      <w:lvlJc w:val="left"/>
      <w:pPr>
        <w:tabs>
          <w:tab w:val="left" w:pos="720"/>
        </w:tabs>
        <w:ind w:left="720" w:hanging="360"/>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6">
    <w:nsid w:val="4CD6757D"/>
    <w:multiLevelType w:val="multilevel"/>
    <w:tmpl w:val="4CD6757D"/>
    <w:lvl w:ilvl="0" w:tentative="0">
      <w:start w:val="0"/>
      <w:numFmt w:val="bullet"/>
      <w:lvlText w:val="-"/>
      <w:lvlJc w:val="left"/>
      <w:pPr>
        <w:ind w:left="720" w:hanging="360"/>
      </w:pPr>
      <w:rPr>
        <w:rFonts w:hint="default" w:ascii="Arial" w:hAnsi="Arial" w:eastAsia="MS Mincho" w:cs="Aria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6F1D6A21"/>
    <w:multiLevelType w:val="singleLevel"/>
    <w:tmpl w:val="6F1D6A21"/>
    <w:lvl w:ilvl="0" w:tentative="0">
      <w:start w:val="1"/>
      <w:numFmt w:val="decimal"/>
      <w:pStyle w:val="177"/>
      <w:lvlText w:val="[%1]"/>
      <w:lvlJc w:val="left"/>
      <w:pPr>
        <w:tabs>
          <w:tab w:val="left" w:pos="360"/>
        </w:tabs>
        <w:ind w:left="360" w:hanging="360"/>
      </w:pPr>
      <w:rPr>
        <w:rFonts w:hint="default" w:ascii="Times New Roman" w:hAnsi="Times New Roman"/>
        <w:sz w:val="18"/>
      </w:rPr>
    </w:lvl>
  </w:abstractNum>
  <w:abstractNum w:abstractNumId="8">
    <w:nsid w:val="70146DC0"/>
    <w:multiLevelType w:val="multilevel"/>
    <w:tmpl w:val="70146DC0"/>
    <w:lvl w:ilvl="0" w:tentative="0">
      <w:start w:val="1"/>
      <w:numFmt w:val="bullet"/>
      <w:pStyle w:val="371"/>
      <w:lvlText w:val=""/>
      <w:lvlJc w:val="left"/>
      <w:pPr>
        <w:tabs>
          <w:tab w:val="left" w:pos="1619"/>
        </w:tabs>
        <w:ind w:left="1619"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9">
    <w:nsid w:val="7BC330F5"/>
    <w:multiLevelType w:val="multilevel"/>
    <w:tmpl w:val="7BC330F5"/>
    <w:lvl w:ilvl="0" w:tentative="0">
      <w:start w:val="1"/>
      <w:numFmt w:val="bullet"/>
      <w:pStyle w:val="178"/>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1"/>
  </w:num>
  <w:num w:numId="2">
    <w:abstractNumId w:val="5"/>
  </w:num>
  <w:num w:numId="3">
    <w:abstractNumId w:val="7"/>
  </w:num>
  <w:num w:numId="4">
    <w:abstractNumId w:val="9"/>
  </w:num>
  <w:num w:numId="5">
    <w:abstractNumId w:val="2"/>
  </w:num>
  <w:num w:numId="6">
    <w:abstractNumId w:val="3"/>
  </w:num>
  <w:num w:numId="7">
    <w:abstractNumId w:val="0"/>
  </w:num>
  <w:num w:numId="8">
    <w:abstractNumId w:val="8"/>
  </w:num>
  <w:num w:numId="9">
    <w:abstractNumId w:val="4"/>
  </w:num>
  <w:num w:numId="10">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QC-4">
    <w15:presenceInfo w15:providerId="None" w15:userId="QC-4"/>
  </w15:person>
  <w15:person w15:author="QC-3">
    <w15:presenceInfo w15:providerId="None" w15:userId="QC-3"/>
  </w15:person>
  <w15:person w15:author="Huawei-Yulong">
    <w15:presenceInfo w15:providerId="None" w15:userId="Huawei-Yulong"/>
  </w15:person>
  <w15:person w15:author="vivo">
    <w15:presenceInfo w15:providerId="None" w15:userId="vivo"/>
  </w15:person>
  <w15:person w15:author="Ericsson">
    <w15:presenceInfo w15:providerId="None" w15:userId="Ericsson"/>
  </w15:person>
  <w15:person w15:author="Samsung (June Hwang)">
    <w15:presenceInfo w15:providerId="None" w15:userId="Samsung (June Hwang)"/>
  </w15:person>
  <w15:person w15:author="Nokia">
    <w15:presenceInfo w15:providerId="None" w15:userId="Nokia"/>
  </w15:person>
  <w15:person w15:author="Ericsson2">
    <w15:presenceInfo w15:providerId="None" w15:userId="Ericsson2"/>
  </w15:person>
  <w15:person w15:author="Huawei-Yulong2">
    <w15:presenceInfo w15:providerId="None" w15:userId="Huawei-Yulong2"/>
  </w15:person>
  <w15:person w15:author="LG (GyeongCheol)">
    <w15:presenceInfo w15:providerId="None" w15:userId="LG (GyeongCheol)"/>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trackRevisions w:val="1"/>
  <w:documentProtection w:enforcement="0"/>
  <w:defaultTabStop w:val="284"/>
  <w:hyphenationZone w:val="425"/>
  <w:doNotHyphenateCaps/>
  <w:drawingGridHorizontalSpacing w:val="100"/>
  <w:displayHorizontalDrawingGridEvery w:val="0"/>
  <w:displayVerticalDrawingGridEvery w:val="0"/>
  <w:doNotShadeFormData w:val="1"/>
  <w:noPunctuationKerning w:val="1"/>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E2MDIxsrA0NTIzNzdS0lEKTi0uzszPAymwrAUAYnYGGCwAAAA="/>
  </w:docVars>
  <w:rsids>
    <w:rsidRoot w:val="00172A27"/>
    <w:rsid w:val="00001A91"/>
    <w:rsid w:val="000026A8"/>
    <w:rsid w:val="0000336E"/>
    <w:rsid w:val="000038B9"/>
    <w:rsid w:val="00004890"/>
    <w:rsid w:val="00004DC4"/>
    <w:rsid w:val="00005044"/>
    <w:rsid w:val="000051EB"/>
    <w:rsid w:val="000056A4"/>
    <w:rsid w:val="00006B80"/>
    <w:rsid w:val="000114C2"/>
    <w:rsid w:val="000115C9"/>
    <w:rsid w:val="000122A7"/>
    <w:rsid w:val="0001247C"/>
    <w:rsid w:val="000136DF"/>
    <w:rsid w:val="00013A85"/>
    <w:rsid w:val="00017804"/>
    <w:rsid w:val="00020A1E"/>
    <w:rsid w:val="00020B6F"/>
    <w:rsid w:val="00021E47"/>
    <w:rsid w:val="00021E9A"/>
    <w:rsid w:val="000224F2"/>
    <w:rsid w:val="0002260E"/>
    <w:rsid w:val="00022E4A"/>
    <w:rsid w:val="00023093"/>
    <w:rsid w:val="00023BD4"/>
    <w:rsid w:val="0002480A"/>
    <w:rsid w:val="00027995"/>
    <w:rsid w:val="00030D15"/>
    <w:rsid w:val="000313B2"/>
    <w:rsid w:val="00031D91"/>
    <w:rsid w:val="0003259A"/>
    <w:rsid w:val="00032BA8"/>
    <w:rsid w:val="00033BB3"/>
    <w:rsid w:val="000349EE"/>
    <w:rsid w:val="00034A36"/>
    <w:rsid w:val="0003519B"/>
    <w:rsid w:val="00035FFD"/>
    <w:rsid w:val="000376B7"/>
    <w:rsid w:val="00037855"/>
    <w:rsid w:val="00041792"/>
    <w:rsid w:val="00041A66"/>
    <w:rsid w:val="00041F3F"/>
    <w:rsid w:val="00043FA6"/>
    <w:rsid w:val="00045D0C"/>
    <w:rsid w:val="00046417"/>
    <w:rsid w:val="00047724"/>
    <w:rsid w:val="00050809"/>
    <w:rsid w:val="0005169A"/>
    <w:rsid w:val="00051AA6"/>
    <w:rsid w:val="0005234C"/>
    <w:rsid w:val="000524A4"/>
    <w:rsid w:val="000527CB"/>
    <w:rsid w:val="00052949"/>
    <w:rsid w:val="00054F4A"/>
    <w:rsid w:val="0005500D"/>
    <w:rsid w:val="00055345"/>
    <w:rsid w:val="00056454"/>
    <w:rsid w:val="000570E7"/>
    <w:rsid w:val="0006062F"/>
    <w:rsid w:val="00060E0B"/>
    <w:rsid w:val="00060F27"/>
    <w:rsid w:val="00061B38"/>
    <w:rsid w:val="00063C07"/>
    <w:rsid w:val="00064EB9"/>
    <w:rsid w:val="00065FBB"/>
    <w:rsid w:val="000661A3"/>
    <w:rsid w:val="0006755F"/>
    <w:rsid w:val="00070880"/>
    <w:rsid w:val="00071115"/>
    <w:rsid w:val="00071264"/>
    <w:rsid w:val="000717F1"/>
    <w:rsid w:val="0007185F"/>
    <w:rsid w:val="0007253B"/>
    <w:rsid w:val="00072677"/>
    <w:rsid w:val="00073B24"/>
    <w:rsid w:val="00074D80"/>
    <w:rsid w:val="0007503C"/>
    <w:rsid w:val="000750B7"/>
    <w:rsid w:val="00076828"/>
    <w:rsid w:val="00077B3F"/>
    <w:rsid w:val="00085598"/>
    <w:rsid w:val="000867FC"/>
    <w:rsid w:val="0008743C"/>
    <w:rsid w:val="00087B12"/>
    <w:rsid w:val="00090FD6"/>
    <w:rsid w:val="00091FF0"/>
    <w:rsid w:val="00093365"/>
    <w:rsid w:val="0009363A"/>
    <w:rsid w:val="000947B6"/>
    <w:rsid w:val="000951A3"/>
    <w:rsid w:val="000957EF"/>
    <w:rsid w:val="00095899"/>
    <w:rsid w:val="00095937"/>
    <w:rsid w:val="000969CF"/>
    <w:rsid w:val="000970E2"/>
    <w:rsid w:val="00097437"/>
    <w:rsid w:val="00097ACB"/>
    <w:rsid w:val="000A20EC"/>
    <w:rsid w:val="000A2DF8"/>
    <w:rsid w:val="000A301D"/>
    <w:rsid w:val="000A4252"/>
    <w:rsid w:val="000A52C4"/>
    <w:rsid w:val="000A52DF"/>
    <w:rsid w:val="000A608C"/>
    <w:rsid w:val="000A6394"/>
    <w:rsid w:val="000A658D"/>
    <w:rsid w:val="000B0E87"/>
    <w:rsid w:val="000B1BB6"/>
    <w:rsid w:val="000B207B"/>
    <w:rsid w:val="000B29AF"/>
    <w:rsid w:val="000B2A3C"/>
    <w:rsid w:val="000B2AFE"/>
    <w:rsid w:val="000B312B"/>
    <w:rsid w:val="000B34CE"/>
    <w:rsid w:val="000B38AA"/>
    <w:rsid w:val="000B441C"/>
    <w:rsid w:val="000B6135"/>
    <w:rsid w:val="000B7F36"/>
    <w:rsid w:val="000C038A"/>
    <w:rsid w:val="000C0DB5"/>
    <w:rsid w:val="000C12D1"/>
    <w:rsid w:val="000C2FEE"/>
    <w:rsid w:val="000C3615"/>
    <w:rsid w:val="000C57D7"/>
    <w:rsid w:val="000C5CB3"/>
    <w:rsid w:val="000C5D15"/>
    <w:rsid w:val="000C64E0"/>
    <w:rsid w:val="000C6598"/>
    <w:rsid w:val="000C7AD9"/>
    <w:rsid w:val="000D0524"/>
    <w:rsid w:val="000D12BC"/>
    <w:rsid w:val="000D1957"/>
    <w:rsid w:val="000D238E"/>
    <w:rsid w:val="000D32D6"/>
    <w:rsid w:val="000D4401"/>
    <w:rsid w:val="000D44F3"/>
    <w:rsid w:val="000D539A"/>
    <w:rsid w:val="000D79D5"/>
    <w:rsid w:val="000D7ABD"/>
    <w:rsid w:val="000D7C96"/>
    <w:rsid w:val="000E17F4"/>
    <w:rsid w:val="000E203C"/>
    <w:rsid w:val="000E33A8"/>
    <w:rsid w:val="000E3AA9"/>
    <w:rsid w:val="000E3E32"/>
    <w:rsid w:val="000E42B6"/>
    <w:rsid w:val="000E4C91"/>
    <w:rsid w:val="000E583A"/>
    <w:rsid w:val="000E73D8"/>
    <w:rsid w:val="000E771F"/>
    <w:rsid w:val="000E78A8"/>
    <w:rsid w:val="000F0DC1"/>
    <w:rsid w:val="000F171E"/>
    <w:rsid w:val="000F2D2B"/>
    <w:rsid w:val="000F4BA2"/>
    <w:rsid w:val="000F631F"/>
    <w:rsid w:val="00100718"/>
    <w:rsid w:val="00101739"/>
    <w:rsid w:val="00101D21"/>
    <w:rsid w:val="00102402"/>
    <w:rsid w:val="0010316F"/>
    <w:rsid w:val="00104223"/>
    <w:rsid w:val="00104596"/>
    <w:rsid w:val="00104DDF"/>
    <w:rsid w:val="00105934"/>
    <w:rsid w:val="001073F4"/>
    <w:rsid w:val="00107586"/>
    <w:rsid w:val="001075C2"/>
    <w:rsid w:val="001078EA"/>
    <w:rsid w:val="00107DF3"/>
    <w:rsid w:val="00111B1A"/>
    <w:rsid w:val="00111E80"/>
    <w:rsid w:val="00112984"/>
    <w:rsid w:val="00112B4C"/>
    <w:rsid w:val="001134AE"/>
    <w:rsid w:val="00114482"/>
    <w:rsid w:val="001145BB"/>
    <w:rsid w:val="00114F34"/>
    <w:rsid w:val="00115918"/>
    <w:rsid w:val="00115C05"/>
    <w:rsid w:val="00115CC2"/>
    <w:rsid w:val="00116EE4"/>
    <w:rsid w:val="00117BB7"/>
    <w:rsid w:val="00121606"/>
    <w:rsid w:val="00122434"/>
    <w:rsid w:val="00122D26"/>
    <w:rsid w:val="00122D37"/>
    <w:rsid w:val="00125BDC"/>
    <w:rsid w:val="00126676"/>
    <w:rsid w:val="001279BE"/>
    <w:rsid w:val="0013051A"/>
    <w:rsid w:val="00130E7E"/>
    <w:rsid w:val="0013132B"/>
    <w:rsid w:val="00131DD6"/>
    <w:rsid w:val="00132299"/>
    <w:rsid w:val="00132604"/>
    <w:rsid w:val="0013264F"/>
    <w:rsid w:val="0013292B"/>
    <w:rsid w:val="00132FF3"/>
    <w:rsid w:val="00133D13"/>
    <w:rsid w:val="0013426C"/>
    <w:rsid w:val="001348C5"/>
    <w:rsid w:val="0013535C"/>
    <w:rsid w:val="001353B3"/>
    <w:rsid w:val="0013691A"/>
    <w:rsid w:val="00136D2D"/>
    <w:rsid w:val="00136D52"/>
    <w:rsid w:val="001378E1"/>
    <w:rsid w:val="00140005"/>
    <w:rsid w:val="0014001B"/>
    <w:rsid w:val="001400B0"/>
    <w:rsid w:val="00142532"/>
    <w:rsid w:val="001428D4"/>
    <w:rsid w:val="0014383B"/>
    <w:rsid w:val="0014419F"/>
    <w:rsid w:val="00144A24"/>
    <w:rsid w:val="00144FEE"/>
    <w:rsid w:val="001459B4"/>
    <w:rsid w:val="00145D43"/>
    <w:rsid w:val="0014625C"/>
    <w:rsid w:val="00146CB6"/>
    <w:rsid w:val="00150E87"/>
    <w:rsid w:val="001518FB"/>
    <w:rsid w:val="00152A4A"/>
    <w:rsid w:val="00153641"/>
    <w:rsid w:val="00155768"/>
    <w:rsid w:val="001559D9"/>
    <w:rsid w:val="00155C81"/>
    <w:rsid w:val="00156CE0"/>
    <w:rsid w:val="00157293"/>
    <w:rsid w:val="00157D45"/>
    <w:rsid w:val="00160C1A"/>
    <w:rsid w:val="0016177B"/>
    <w:rsid w:val="0016376B"/>
    <w:rsid w:val="0016393C"/>
    <w:rsid w:val="00164D3F"/>
    <w:rsid w:val="00166315"/>
    <w:rsid w:val="00166335"/>
    <w:rsid w:val="001672F2"/>
    <w:rsid w:val="001675E2"/>
    <w:rsid w:val="00167A03"/>
    <w:rsid w:val="00170EE6"/>
    <w:rsid w:val="0017122D"/>
    <w:rsid w:val="00172A27"/>
    <w:rsid w:val="0017381B"/>
    <w:rsid w:val="00174345"/>
    <w:rsid w:val="00174972"/>
    <w:rsid w:val="00174C78"/>
    <w:rsid w:val="00175AF4"/>
    <w:rsid w:val="00175DD8"/>
    <w:rsid w:val="00175E73"/>
    <w:rsid w:val="00175F74"/>
    <w:rsid w:val="00176805"/>
    <w:rsid w:val="00176FB2"/>
    <w:rsid w:val="001777E8"/>
    <w:rsid w:val="00183480"/>
    <w:rsid w:val="0018546A"/>
    <w:rsid w:val="00185BA7"/>
    <w:rsid w:val="001867E0"/>
    <w:rsid w:val="00186F21"/>
    <w:rsid w:val="00187C43"/>
    <w:rsid w:val="00190CBB"/>
    <w:rsid w:val="001910E3"/>
    <w:rsid w:val="001919C4"/>
    <w:rsid w:val="00192C46"/>
    <w:rsid w:val="00193371"/>
    <w:rsid w:val="00194995"/>
    <w:rsid w:val="00196A4A"/>
    <w:rsid w:val="001971C7"/>
    <w:rsid w:val="001A0F2F"/>
    <w:rsid w:val="001A1239"/>
    <w:rsid w:val="001A2C5C"/>
    <w:rsid w:val="001A3DB4"/>
    <w:rsid w:val="001A53D8"/>
    <w:rsid w:val="001A5776"/>
    <w:rsid w:val="001A5BB3"/>
    <w:rsid w:val="001A5DD5"/>
    <w:rsid w:val="001A62E8"/>
    <w:rsid w:val="001A76D3"/>
    <w:rsid w:val="001A7B60"/>
    <w:rsid w:val="001B1894"/>
    <w:rsid w:val="001B1942"/>
    <w:rsid w:val="001B226F"/>
    <w:rsid w:val="001B23E8"/>
    <w:rsid w:val="001B3FC5"/>
    <w:rsid w:val="001B4ED8"/>
    <w:rsid w:val="001B56BA"/>
    <w:rsid w:val="001B59EC"/>
    <w:rsid w:val="001B6490"/>
    <w:rsid w:val="001B6AB7"/>
    <w:rsid w:val="001B7A65"/>
    <w:rsid w:val="001C0D84"/>
    <w:rsid w:val="001C1FE7"/>
    <w:rsid w:val="001C2224"/>
    <w:rsid w:val="001C2A03"/>
    <w:rsid w:val="001C38BC"/>
    <w:rsid w:val="001C3C2E"/>
    <w:rsid w:val="001C4D70"/>
    <w:rsid w:val="001C4DB4"/>
    <w:rsid w:val="001C4EEE"/>
    <w:rsid w:val="001C4F4B"/>
    <w:rsid w:val="001C59EB"/>
    <w:rsid w:val="001C65DB"/>
    <w:rsid w:val="001C6A6E"/>
    <w:rsid w:val="001C6DEB"/>
    <w:rsid w:val="001C702C"/>
    <w:rsid w:val="001C79E8"/>
    <w:rsid w:val="001D0484"/>
    <w:rsid w:val="001D091B"/>
    <w:rsid w:val="001D126B"/>
    <w:rsid w:val="001D2AE3"/>
    <w:rsid w:val="001D319E"/>
    <w:rsid w:val="001D34D6"/>
    <w:rsid w:val="001D42FA"/>
    <w:rsid w:val="001D50CB"/>
    <w:rsid w:val="001D6311"/>
    <w:rsid w:val="001D77AD"/>
    <w:rsid w:val="001D7973"/>
    <w:rsid w:val="001D7F9E"/>
    <w:rsid w:val="001E12DC"/>
    <w:rsid w:val="001E13F0"/>
    <w:rsid w:val="001E367E"/>
    <w:rsid w:val="001E3C71"/>
    <w:rsid w:val="001E41F3"/>
    <w:rsid w:val="001E4F1A"/>
    <w:rsid w:val="001E55A6"/>
    <w:rsid w:val="001E60D5"/>
    <w:rsid w:val="001E6431"/>
    <w:rsid w:val="001E6999"/>
    <w:rsid w:val="001F12A2"/>
    <w:rsid w:val="001F1572"/>
    <w:rsid w:val="001F27E4"/>
    <w:rsid w:val="001F4698"/>
    <w:rsid w:val="001F5E24"/>
    <w:rsid w:val="001F69EA"/>
    <w:rsid w:val="001F721B"/>
    <w:rsid w:val="001F7255"/>
    <w:rsid w:val="001F74E0"/>
    <w:rsid w:val="001F7ADB"/>
    <w:rsid w:val="001F7BC1"/>
    <w:rsid w:val="002015CE"/>
    <w:rsid w:val="00201932"/>
    <w:rsid w:val="0020343F"/>
    <w:rsid w:val="002048A1"/>
    <w:rsid w:val="00204C6A"/>
    <w:rsid w:val="0020520C"/>
    <w:rsid w:val="00205B4B"/>
    <w:rsid w:val="002067A6"/>
    <w:rsid w:val="00211FBF"/>
    <w:rsid w:val="0021294C"/>
    <w:rsid w:val="0021360F"/>
    <w:rsid w:val="00216B1F"/>
    <w:rsid w:val="002173EB"/>
    <w:rsid w:val="00217863"/>
    <w:rsid w:val="00217965"/>
    <w:rsid w:val="00217C0D"/>
    <w:rsid w:val="00220F26"/>
    <w:rsid w:val="0022361C"/>
    <w:rsid w:val="00223F27"/>
    <w:rsid w:val="002244CD"/>
    <w:rsid w:val="002247D5"/>
    <w:rsid w:val="00224B00"/>
    <w:rsid w:val="00224DBF"/>
    <w:rsid w:val="002262F8"/>
    <w:rsid w:val="00227B95"/>
    <w:rsid w:val="002328C2"/>
    <w:rsid w:val="0023295F"/>
    <w:rsid w:val="00232CCC"/>
    <w:rsid w:val="00234E3A"/>
    <w:rsid w:val="00235A34"/>
    <w:rsid w:val="00236ED4"/>
    <w:rsid w:val="002375EB"/>
    <w:rsid w:val="00237B33"/>
    <w:rsid w:val="0024136D"/>
    <w:rsid w:val="0024216D"/>
    <w:rsid w:val="00242B79"/>
    <w:rsid w:val="00242CAC"/>
    <w:rsid w:val="00242DA2"/>
    <w:rsid w:val="0024373D"/>
    <w:rsid w:val="002453E6"/>
    <w:rsid w:val="0024577D"/>
    <w:rsid w:val="0024599C"/>
    <w:rsid w:val="00247735"/>
    <w:rsid w:val="002504AF"/>
    <w:rsid w:val="00251DC9"/>
    <w:rsid w:val="002522B5"/>
    <w:rsid w:val="00252FF8"/>
    <w:rsid w:val="00254381"/>
    <w:rsid w:val="00255AA6"/>
    <w:rsid w:val="0025609C"/>
    <w:rsid w:val="00256E4A"/>
    <w:rsid w:val="002573FD"/>
    <w:rsid w:val="0026004D"/>
    <w:rsid w:val="00261400"/>
    <w:rsid w:val="00261889"/>
    <w:rsid w:val="002621FC"/>
    <w:rsid w:val="00262C8A"/>
    <w:rsid w:val="00263452"/>
    <w:rsid w:val="0026537D"/>
    <w:rsid w:val="002668ED"/>
    <w:rsid w:val="002671FD"/>
    <w:rsid w:val="00267406"/>
    <w:rsid w:val="002678D2"/>
    <w:rsid w:val="002703AB"/>
    <w:rsid w:val="002706B5"/>
    <w:rsid w:val="002713EE"/>
    <w:rsid w:val="00273021"/>
    <w:rsid w:val="00273C82"/>
    <w:rsid w:val="0027448C"/>
    <w:rsid w:val="0027482D"/>
    <w:rsid w:val="00274923"/>
    <w:rsid w:val="002756CE"/>
    <w:rsid w:val="002756E3"/>
    <w:rsid w:val="00275877"/>
    <w:rsid w:val="00275D05"/>
    <w:rsid w:val="00275D12"/>
    <w:rsid w:val="00276C03"/>
    <w:rsid w:val="002773CE"/>
    <w:rsid w:val="00277530"/>
    <w:rsid w:val="00277656"/>
    <w:rsid w:val="00277AFA"/>
    <w:rsid w:val="00280005"/>
    <w:rsid w:val="00282447"/>
    <w:rsid w:val="0028310E"/>
    <w:rsid w:val="0028370B"/>
    <w:rsid w:val="00283D0C"/>
    <w:rsid w:val="00283FF7"/>
    <w:rsid w:val="00284572"/>
    <w:rsid w:val="00285342"/>
    <w:rsid w:val="00285B62"/>
    <w:rsid w:val="002860C4"/>
    <w:rsid w:val="00286179"/>
    <w:rsid w:val="002866F6"/>
    <w:rsid w:val="002868CE"/>
    <w:rsid w:val="002872DA"/>
    <w:rsid w:val="00287A7A"/>
    <w:rsid w:val="00290384"/>
    <w:rsid w:val="00290E28"/>
    <w:rsid w:val="0029157A"/>
    <w:rsid w:val="0029383A"/>
    <w:rsid w:val="00293C8C"/>
    <w:rsid w:val="0029407A"/>
    <w:rsid w:val="002942F5"/>
    <w:rsid w:val="00295337"/>
    <w:rsid w:val="0029562A"/>
    <w:rsid w:val="002958D2"/>
    <w:rsid w:val="00295D56"/>
    <w:rsid w:val="00295DB1"/>
    <w:rsid w:val="00296902"/>
    <w:rsid w:val="00297A6A"/>
    <w:rsid w:val="00297E01"/>
    <w:rsid w:val="002A01CC"/>
    <w:rsid w:val="002A14A6"/>
    <w:rsid w:val="002A170D"/>
    <w:rsid w:val="002A1A95"/>
    <w:rsid w:val="002A2142"/>
    <w:rsid w:val="002A2236"/>
    <w:rsid w:val="002A3374"/>
    <w:rsid w:val="002A3BBA"/>
    <w:rsid w:val="002A4959"/>
    <w:rsid w:val="002A5393"/>
    <w:rsid w:val="002A5B41"/>
    <w:rsid w:val="002A631F"/>
    <w:rsid w:val="002A6A3E"/>
    <w:rsid w:val="002A74CC"/>
    <w:rsid w:val="002A770C"/>
    <w:rsid w:val="002A78D9"/>
    <w:rsid w:val="002B1A00"/>
    <w:rsid w:val="002B1BF2"/>
    <w:rsid w:val="002B1F52"/>
    <w:rsid w:val="002B20C2"/>
    <w:rsid w:val="002B26CD"/>
    <w:rsid w:val="002B3269"/>
    <w:rsid w:val="002B365D"/>
    <w:rsid w:val="002B378B"/>
    <w:rsid w:val="002B3870"/>
    <w:rsid w:val="002B403B"/>
    <w:rsid w:val="002B4B3C"/>
    <w:rsid w:val="002B4E9A"/>
    <w:rsid w:val="002B4F6F"/>
    <w:rsid w:val="002B5148"/>
    <w:rsid w:val="002B54E5"/>
    <w:rsid w:val="002B5741"/>
    <w:rsid w:val="002B6492"/>
    <w:rsid w:val="002B6635"/>
    <w:rsid w:val="002C01C9"/>
    <w:rsid w:val="002C1691"/>
    <w:rsid w:val="002C19EC"/>
    <w:rsid w:val="002C266E"/>
    <w:rsid w:val="002C3179"/>
    <w:rsid w:val="002C3EC3"/>
    <w:rsid w:val="002C4E1E"/>
    <w:rsid w:val="002C4EF5"/>
    <w:rsid w:val="002C5CBC"/>
    <w:rsid w:val="002C658B"/>
    <w:rsid w:val="002C674B"/>
    <w:rsid w:val="002C7C7E"/>
    <w:rsid w:val="002C7D2B"/>
    <w:rsid w:val="002D0454"/>
    <w:rsid w:val="002D15DC"/>
    <w:rsid w:val="002D15EB"/>
    <w:rsid w:val="002D23A5"/>
    <w:rsid w:val="002D4599"/>
    <w:rsid w:val="002D4AE4"/>
    <w:rsid w:val="002D64D3"/>
    <w:rsid w:val="002D6CEC"/>
    <w:rsid w:val="002D74E0"/>
    <w:rsid w:val="002D7E2A"/>
    <w:rsid w:val="002E0193"/>
    <w:rsid w:val="002E2CA0"/>
    <w:rsid w:val="002E2F18"/>
    <w:rsid w:val="002E3219"/>
    <w:rsid w:val="002E32A9"/>
    <w:rsid w:val="002E4603"/>
    <w:rsid w:val="002E4688"/>
    <w:rsid w:val="002E4F57"/>
    <w:rsid w:val="002E4F68"/>
    <w:rsid w:val="002E6169"/>
    <w:rsid w:val="002E7098"/>
    <w:rsid w:val="002E70A9"/>
    <w:rsid w:val="002E785D"/>
    <w:rsid w:val="002F03BD"/>
    <w:rsid w:val="002F0990"/>
    <w:rsid w:val="002F1246"/>
    <w:rsid w:val="002F1448"/>
    <w:rsid w:val="002F1470"/>
    <w:rsid w:val="002F1578"/>
    <w:rsid w:val="002F1AB6"/>
    <w:rsid w:val="002F1ABE"/>
    <w:rsid w:val="002F1EBE"/>
    <w:rsid w:val="002F2365"/>
    <w:rsid w:val="002F284C"/>
    <w:rsid w:val="002F4753"/>
    <w:rsid w:val="002F4B34"/>
    <w:rsid w:val="002F65B8"/>
    <w:rsid w:val="002F6790"/>
    <w:rsid w:val="002F6E01"/>
    <w:rsid w:val="002F799D"/>
    <w:rsid w:val="002F7C61"/>
    <w:rsid w:val="0030033D"/>
    <w:rsid w:val="00301B4B"/>
    <w:rsid w:val="0030213F"/>
    <w:rsid w:val="00302B87"/>
    <w:rsid w:val="00302E9D"/>
    <w:rsid w:val="00305409"/>
    <w:rsid w:val="003060BA"/>
    <w:rsid w:val="003066AF"/>
    <w:rsid w:val="00307F85"/>
    <w:rsid w:val="0031014F"/>
    <w:rsid w:val="0031139F"/>
    <w:rsid w:val="0031167B"/>
    <w:rsid w:val="00311D50"/>
    <w:rsid w:val="00312B18"/>
    <w:rsid w:val="00313E81"/>
    <w:rsid w:val="003146FE"/>
    <w:rsid w:val="003149DF"/>
    <w:rsid w:val="00315569"/>
    <w:rsid w:val="00315576"/>
    <w:rsid w:val="00315791"/>
    <w:rsid w:val="00315BA0"/>
    <w:rsid w:val="00317B89"/>
    <w:rsid w:val="00321380"/>
    <w:rsid w:val="0032157F"/>
    <w:rsid w:val="0032158E"/>
    <w:rsid w:val="003216A4"/>
    <w:rsid w:val="003225CA"/>
    <w:rsid w:val="003227BA"/>
    <w:rsid w:val="0032309C"/>
    <w:rsid w:val="00324159"/>
    <w:rsid w:val="00324322"/>
    <w:rsid w:val="0032530D"/>
    <w:rsid w:val="00325DB0"/>
    <w:rsid w:val="003324D3"/>
    <w:rsid w:val="00332568"/>
    <w:rsid w:val="003326C3"/>
    <w:rsid w:val="00332EA2"/>
    <w:rsid w:val="00333E81"/>
    <w:rsid w:val="003363A0"/>
    <w:rsid w:val="00337A0E"/>
    <w:rsid w:val="00341331"/>
    <w:rsid w:val="003417F4"/>
    <w:rsid w:val="00342FEB"/>
    <w:rsid w:val="00345808"/>
    <w:rsid w:val="00345ECB"/>
    <w:rsid w:val="0034609E"/>
    <w:rsid w:val="00346777"/>
    <w:rsid w:val="0034695C"/>
    <w:rsid w:val="003508A6"/>
    <w:rsid w:val="00350DF8"/>
    <w:rsid w:val="00352514"/>
    <w:rsid w:val="00352C1F"/>
    <w:rsid w:val="00353111"/>
    <w:rsid w:val="00353377"/>
    <w:rsid w:val="0035345C"/>
    <w:rsid w:val="003541F8"/>
    <w:rsid w:val="0035536F"/>
    <w:rsid w:val="00356415"/>
    <w:rsid w:val="00356DF4"/>
    <w:rsid w:val="00357DFB"/>
    <w:rsid w:val="00360708"/>
    <w:rsid w:val="00360957"/>
    <w:rsid w:val="00361B79"/>
    <w:rsid w:val="0036211C"/>
    <w:rsid w:val="00362285"/>
    <w:rsid w:val="00362586"/>
    <w:rsid w:val="00362B89"/>
    <w:rsid w:val="00363270"/>
    <w:rsid w:val="003646A6"/>
    <w:rsid w:val="00364A7A"/>
    <w:rsid w:val="00364C73"/>
    <w:rsid w:val="00365DF6"/>
    <w:rsid w:val="00366E65"/>
    <w:rsid w:val="00371EDD"/>
    <w:rsid w:val="00372861"/>
    <w:rsid w:val="003729B4"/>
    <w:rsid w:val="00372AAE"/>
    <w:rsid w:val="003749C3"/>
    <w:rsid w:val="00377365"/>
    <w:rsid w:val="0037746A"/>
    <w:rsid w:val="00377802"/>
    <w:rsid w:val="003805E4"/>
    <w:rsid w:val="00381283"/>
    <w:rsid w:val="00381501"/>
    <w:rsid w:val="003826A9"/>
    <w:rsid w:val="003843B3"/>
    <w:rsid w:val="003855AF"/>
    <w:rsid w:val="00386D49"/>
    <w:rsid w:val="00387C87"/>
    <w:rsid w:val="00390792"/>
    <w:rsid w:val="003909AB"/>
    <w:rsid w:val="00390CBD"/>
    <w:rsid w:val="00391247"/>
    <w:rsid w:val="003914FF"/>
    <w:rsid w:val="00392DDC"/>
    <w:rsid w:val="003939B5"/>
    <w:rsid w:val="00393BE2"/>
    <w:rsid w:val="00394517"/>
    <w:rsid w:val="0039478B"/>
    <w:rsid w:val="00394B9F"/>
    <w:rsid w:val="00394CFF"/>
    <w:rsid w:val="00394DF7"/>
    <w:rsid w:val="003956FE"/>
    <w:rsid w:val="0039587B"/>
    <w:rsid w:val="003958B8"/>
    <w:rsid w:val="003974C9"/>
    <w:rsid w:val="003A091A"/>
    <w:rsid w:val="003A0A2D"/>
    <w:rsid w:val="003A16CE"/>
    <w:rsid w:val="003A28A0"/>
    <w:rsid w:val="003A2A32"/>
    <w:rsid w:val="003A4315"/>
    <w:rsid w:val="003A4ED7"/>
    <w:rsid w:val="003A58DD"/>
    <w:rsid w:val="003A6A74"/>
    <w:rsid w:val="003A6B65"/>
    <w:rsid w:val="003A7B3F"/>
    <w:rsid w:val="003B0328"/>
    <w:rsid w:val="003B3030"/>
    <w:rsid w:val="003B3676"/>
    <w:rsid w:val="003B425C"/>
    <w:rsid w:val="003B5651"/>
    <w:rsid w:val="003B5B75"/>
    <w:rsid w:val="003B5CC3"/>
    <w:rsid w:val="003B6496"/>
    <w:rsid w:val="003B665B"/>
    <w:rsid w:val="003B6895"/>
    <w:rsid w:val="003B7379"/>
    <w:rsid w:val="003C04BB"/>
    <w:rsid w:val="003C06E4"/>
    <w:rsid w:val="003C07D1"/>
    <w:rsid w:val="003C0C75"/>
    <w:rsid w:val="003C28B1"/>
    <w:rsid w:val="003C3969"/>
    <w:rsid w:val="003C3A59"/>
    <w:rsid w:val="003C4CBE"/>
    <w:rsid w:val="003C4FB3"/>
    <w:rsid w:val="003C615B"/>
    <w:rsid w:val="003C6882"/>
    <w:rsid w:val="003C6AAE"/>
    <w:rsid w:val="003C7DCB"/>
    <w:rsid w:val="003D06CD"/>
    <w:rsid w:val="003D3F71"/>
    <w:rsid w:val="003D5291"/>
    <w:rsid w:val="003D5CB2"/>
    <w:rsid w:val="003D7E5C"/>
    <w:rsid w:val="003E1A36"/>
    <w:rsid w:val="003E1AD7"/>
    <w:rsid w:val="003E1B54"/>
    <w:rsid w:val="003E2152"/>
    <w:rsid w:val="003E28A9"/>
    <w:rsid w:val="003E2F11"/>
    <w:rsid w:val="003E3ACC"/>
    <w:rsid w:val="003E4893"/>
    <w:rsid w:val="003E48DC"/>
    <w:rsid w:val="003E4CBC"/>
    <w:rsid w:val="003E54C7"/>
    <w:rsid w:val="003E5C97"/>
    <w:rsid w:val="003E750A"/>
    <w:rsid w:val="003E7CBB"/>
    <w:rsid w:val="003E7F3A"/>
    <w:rsid w:val="003F04FE"/>
    <w:rsid w:val="003F0BAC"/>
    <w:rsid w:val="003F0DD1"/>
    <w:rsid w:val="003F114D"/>
    <w:rsid w:val="003F2C13"/>
    <w:rsid w:val="003F34B0"/>
    <w:rsid w:val="003F352F"/>
    <w:rsid w:val="003F6906"/>
    <w:rsid w:val="003F6B19"/>
    <w:rsid w:val="003F6FDE"/>
    <w:rsid w:val="003F70AC"/>
    <w:rsid w:val="00400D60"/>
    <w:rsid w:val="004015BC"/>
    <w:rsid w:val="00402247"/>
    <w:rsid w:val="00402956"/>
    <w:rsid w:val="00402F80"/>
    <w:rsid w:val="004036C5"/>
    <w:rsid w:val="004050AC"/>
    <w:rsid w:val="0040769A"/>
    <w:rsid w:val="004077D7"/>
    <w:rsid w:val="00411607"/>
    <w:rsid w:val="00411794"/>
    <w:rsid w:val="00411925"/>
    <w:rsid w:val="004132D8"/>
    <w:rsid w:val="0041408D"/>
    <w:rsid w:val="0041428A"/>
    <w:rsid w:val="004153E8"/>
    <w:rsid w:val="00415CB5"/>
    <w:rsid w:val="00416B0D"/>
    <w:rsid w:val="00416BCF"/>
    <w:rsid w:val="004171D4"/>
    <w:rsid w:val="0042036E"/>
    <w:rsid w:val="0042092E"/>
    <w:rsid w:val="00420A27"/>
    <w:rsid w:val="00420CD4"/>
    <w:rsid w:val="00422F3B"/>
    <w:rsid w:val="004242F1"/>
    <w:rsid w:val="004250EC"/>
    <w:rsid w:val="00425603"/>
    <w:rsid w:val="00426A8C"/>
    <w:rsid w:val="00427C26"/>
    <w:rsid w:val="00430825"/>
    <w:rsid w:val="00430A92"/>
    <w:rsid w:val="0043173E"/>
    <w:rsid w:val="00431850"/>
    <w:rsid w:val="00431FCE"/>
    <w:rsid w:val="00432948"/>
    <w:rsid w:val="004331C6"/>
    <w:rsid w:val="00433340"/>
    <w:rsid w:val="0043370B"/>
    <w:rsid w:val="00434970"/>
    <w:rsid w:val="00434A23"/>
    <w:rsid w:val="004355F0"/>
    <w:rsid w:val="004366AC"/>
    <w:rsid w:val="00436936"/>
    <w:rsid w:val="00436ACB"/>
    <w:rsid w:val="004373B3"/>
    <w:rsid w:val="00437C5F"/>
    <w:rsid w:val="00440815"/>
    <w:rsid w:val="00440D80"/>
    <w:rsid w:val="004424B6"/>
    <w:rsid w:val="004440C3"/>
    <w:rsid w:val="004443B8"/>
    <w:rsid w:val="00444731"/>
    <w:rsid w:val="00445544"/>
    <w:rsid w:val="00446ED3"/>
    <w:rsid w:val="00450411"/>
    <w:rsid w:val="00450872"/>
    <w:rsid w:val="00451A0E"/>
    <w:rsid w:val="00451D73"/>
    <w:rsid w:val="00453732"/>
    <w:rsid w:val="0045470C"/>
    <w:rsid w:val="00454E79"/>
    <w:rsid w:val="004552F3"/>
    <w:rsid w:val="00455DA8"/>
    <w:rsid w:val="004565FC"/>
    <w:rsid w:val="004566C4"/>
    <w:rsid w:val="00456DED"/>
    <w:rsid w:val="00457A73"/>
    <w:rsid w:val="00457C16"/>
    <w:rsid w:val="00462BEA"/>
    <w:rsid w:val="004637CA"/>
    <w:rsid w:val="004641F1"/>
    <w:rsid w:val="00464446"/>
    <w:rsid w:val="0046498A"/>
    <w:rsid w:val="00465497"/>
    <w:rsid w:val="0046605F"/>
    <w:rsid w:val="00466895"/>
    <w:rsid w:val="0046740F"/>
    <w:rsid w:val="00467462"/>
    <w:rsid w:val="00471DB6"/>
    <w:rsid w:val="00471F26"/>
    <w:rsid w:val="00473728"/>
    <w:rsid w:val="00474A63"/>
    <w:rsid w:val="00474BF2"/>
    <w:rsid w:val="00476763"/>
    <w:rsid w:val="00476FE4"/>
    <w:rsid w:val="004776D3"/>
    <w:rsid w:val="00477B80"/>
    <w:rsid w:val="00482880"/>
    <w:rsid w:val="004830B8"/>
    <w:rsid w:val="00483CFF"/>
    <w:rsid w:val="00485754"/>
    <w:rsid w:val="0048729B"/>
    <w:rsid w:val="004904A8"/>
    <w:rsid w:val="0049187F"/>
    <w:rsid w:val="00491B87"/>
    <w:rsid w:val="00492BB3"/>
    <w:rsid w:val="00493A2F"/>
    <w:rsid w:val="00494833"/>
    <w:rsid w:val="004949FC"/>
    <w:rsid w:val="00495FB2"/>
    <w:rsid w:val="00496E75"/>
    <w:rsid w:val="0049713E"/>
    <w:rsid w:val="00497631"/>
    <w:rsid w:val="00497A7D"/>
    <w:rsid w:val="00497ADD"/>
    <w:rsid w:val="00497E16"/>
    <w:rsid w:val="004A0E84"/>
    <w:rsid w:val="004A17DB"/>
    <w:rsid w:val="004A244A"/>
    <w:rsid w:val="004A2D1E"/>
    <w:rsid w:val="004A327C"/>
    <w:rsid w:val="004A3B40"/>
    <w:rsid w:val="004A507B"/>
    <w:rsid w:val="004A509D"/>
    <w:rsid w:val="004A63EF"/>
    <w:rsid w:val="004A6457"/>
    <w:rsid w:val="004B0567"/>
    <w:rsid w:val="004B1591"/>
    <w:rsid w:val="004B25A3"/>
    <w:rsid w:val="004B25C4"/>
    <w:rsid w:val="004B294A"/>
    <w:rsid w:val="004B2A45"/>
    <w:rsid w:val="004B3ABE"/>
    <w:rsid w:val="004B52A8"/>
    <w:rsid w:val="004B5B2E"/>
    <w:rsid w:val="004B60D1"/>
    <w:rsid w:val="004B61D7"/>
    <w:rsid w:val="004B6925"/>
    <w:rsid w:val="004B7011"/>
    <w:rsid w:val="004B71C6"/>
    <w:rsid w:val="004B75B7"/>
    <w:rsid w:val="004C0FD6"/>
    <w:rsid w:val="004C1468"/>
    <w:rsid w:val="004C1492"/>
    <w:rsid w:val="004C3C6D"/>
    <w:rsid w:val="004C6392"/>
    <w:rsid w:val="004C6744"/>
    <w:rsid w:val="004C78E1"/>
    <w:rsid w:val="004C7B15"/>
    <w:rsid w:val="004D0B08"/>
    <w:rsid w:val="004D1A12"/>
    <w:rsid w:val="004D2661"/>
    <w:rsid w:val="004D3249"/>
    <w:rsid w:val="004D3359"/>
    <w:rsid w:val="004D3F77"/>
    <w:rsid w:val="004D461F"/>
    <w:rsid w:val="004D46D7"/>
    <w:rsid w:val="004D52C3"/>
    <w:rsid w:val="004D6F9A"/>
    <w:rsid w:val="004E01F4"/>
    <w:rsid w:val="004E0CBF"/>
    <w:rsid w:val="004E12F1"/>
    <w:rsid w:val="004E1376"/>
    <w:rsid w:val="004E14A1"/>
    <w:rsid w:val="004E17AA"/>
    <w:rsid w:val="004E17CB"/>
    <w:rsid w:val="004E28AF"/>
    <w:rsid w:val="004E3039"/>
    <w:rsid w:val="004E30D8"/>
    <w:rsid w:val="004E6072"/>
    <w:rsid w:val="004F0AEA"/>
    <w:rsid w:val="004F0CA5"/>
    <w:rsid w:val="004F0F9F"/>
    <w:rsid w:val="004F2277"/>
    <w:rsid w:val="004F2D87"/>
    <w:rsid w:val="004F3DF8"/>
    <w:rsid w:val="004F3E35"/>
    <w:rsid w:val="004F3E48"/>
    <w:rsid w:val="004F41B2"/>
    <w:rsid w:val="004F466A"/>
    <w:rsid w:val="004F4D8C"/>
    <w:rsid w:val="004F507D"/>
    <w:rsid w:val="004F5163"/>
    <w:rsid w:val="004F598B"/>
    <w:rsid w:val="004F59FE"/>
    <w:rsid w:val="004F67BF"/>
    <w:rsid w:val="005014ED"/>
    <w:rsid w:val="005018CD"/>
    <w:rsid w:val="00502F50"/>
    <w:rsid w:val="00506198"/>
    <w:rsid w:val="00506C3E"/>
    <w:rsid w:val="00507801"/>
    <w:rsid w:val="005129B8"/>
    <w:rsid w:val="00512BD3"/>
    <w:rsid w:val="00513B6F"/>
    <w:rsid w:val="00514A0B"/>
    <w:rsid w:val="0051580D"/>
    <w:rsid w:val="00516A13"/>
    <w:rsid w:val="00517E58"/>
    <w:rsid w:val="005204F1"/>
    <w:rsid w:val="00520782"/>
    <w:rsid w:val="00520AA9"/>
    <w:rsid w:val="00520C3D"/>
    <w:rsid w:val="00522307"/>
    <w:rsid w:val="005228AC"/>
    <w:rsid w:val="005238C7"/>
    <w:rsid w:val="005251B5"/>
    <w:rsid w:val="005252EF"/>
    <w:rsid w:val="00525839"/>
    <w:rsid w:val="00525EA5"/>
    <w:rsid w:val="00526879"/>
    <w:rsid w:val="00526915"/>
    <w:rsid w:val="00530998"/>
    <w:rsid w:val="00531908"/>
    <w:rsid w:val="00532031"/>
    <w:rsid w:val="00534367"/>
    <w:rsid w:val="00534B10"/>
    <w:rsid w:val="00534D59"/>
    <w:rsid w:val="00536757"/>
    <w:rsid w:val="0053791C"/>
    <w:rsid w:val="005402D0"/>
    <w:rsid w:val="00540357"/>
    <w:rsid w:val="00540533"/>
    <w:rsid w:val="005421F0"/>
    <w:rsid w:val="00542E17"/>
    <w:rsid w:val="00543439"/>
    <w:rsid w:val="00543C90"/>
    <w:rsid w:val="00544095"/>
    <w:rsid w:val="0054539F"/>
    <w:rsid w:val="00545569"/>
    <w:rsid w:val="0054619B"/>
    <w:rsid w:val="00546D47"/>
    <w:rsid w:val="00547FE6"/>
    <w:rsid w:val="005505A8"/>
    <w:rsid w:val="00551DFC"/>
    <w:rsid w:val="00553CC3"/>
    <w:rsid w:val="00553E39"/>
    <w:rsid w:val="005543B9"/>
    <w:rsid w:val="005546F4"/>
    <w:rsid w:val="00555537"/>
    <w:rsid w:val="00556C88"/>
    <w:rsid w:val="005577A3"/>
    <w:rsid w:val="00557D56"/>
    <w:rsid w:val="005617FD"/>
    <w:rsid w:val="005626E1"/>
    <w:rsid w:val="00563F87"/>
    <w:rsid w:val="00565533"/>
    <w:rsid w:val="005656E4"/>
    <w:rsid w:val="005664E1"/>
    <w:rsid w:val="00567D6B"/>
    <w:rsid w:val="005702AD"/>
    <w:rsid w:val="00570611"/>
    <w:rsid w:val="0057066C"/>
    <w:rsid w:val="00570695"/>
    <w:rsid w:val="005710D5"/>
    <w:rsid w:val="00571636"/>
    <w:rsid w:val="00573431"/>
    <w:rsid w:val="00573576"/>
    <w:rsid w:val="005748E2"/>
    <w:rsid w:val="00574CB1"/>
    <w:rsid w:val="005752A5"/>
    <w:rsid w:val="00575395"/>
    <w:rsid w:val="005755F3"/>
    <w:rsid w:val="00575927"/>
    <w:rsid w:val="00576B6E"/>
    <w:rsid w:val="00577194"/>
    <w:rsid w:val="00577642"/>
    <w:rsid w:val="00577EB4"/>
    <w:rsid w:val="00581709"/>
    <w:rsid w:val="00581F0D"/>
    <w:rsid w:val="00582E22"/>
    <w:rsid w:val="00583CE7"/>
    <w:rsid w:val="0058491F"/>
    <w:rsid w:val="0058519C"/>
    <w:rsid w:val="00585379"/>
    <w:rsid w:val="0058589A"/>
    <w:rsid w:val="005859A5"/>
    <w:rsid w:val="005864A1"/>
    <w:rsid w:val="00586634"/>
    <w:rsid w:val="005877DB"/>
    <w:rsid w:val="00591C2A"/>
    <w:rsid w:val="00591C9E"/>
    <w:rsid w:val="00592D74"/>
    <w:rsid w:val="00593375"/>
    <w:rsid w:val="005947C7"/>
    <w:rsid w:val="00594923"/>
    <w:rsid w:val="00594BA4"/>
    <w:rsid w:val="00595A53"/>
    <w:rsid w:val="0059686A"/>
    <w:rsid w:val="00597AF3"/>
    <w:rsid w:val="00597E50"/>
    <w:rsid w:val="005A1651"/>
    <w:rsid w:val="005A24C9"/>
    <w:rsid w:val="005A2602"/>
    <w:rsid w:val="005A28E1"/>
    <w:rsid w:val="005A48F0"/>
    <w:rsid w:val="005A54E4"/>
    <w:rsid w:val="005A5A38"/>
    <w:rsid w:val="005A6275"/>
    <w:rsid w:val="005A6753"/>
    <w:rsid w:val="005A7453"/>
    <w:rsid w:val="005A7A44"/>
    <w:rsid w:val="005B1DF7"/>
    <w:rsid w:val="005B242F"/>
    <w:rsid w:val="005B2F5F"/>
    <w:rsid w:val="005B2F7D"/>
    <w:rsid w:val="005B401D"/>
    <w:rsid w:val="005B613F"/>
    <w:rsid w:val="005B6686"/>
    <w:rsid w:val="005B6DC3"/>
    <w:rsid w:val="005B6FA0"/>
    <w:rsid w:val="005C0040"/>
    <w:rsid w:val="005C089E"/>
    <w:rsid w:val="005C0DD0"/>
    <w:rsid w:val="005C18CB"/>
    <w:rsid w:val="005C1DF7"/>
    <w:rsid w:val="005C39B0"/>
    <w:rsid w:val="005C3BCE"/>
    <w:rsid w:val="005C3CE0"/>
    <w:rsid w:val="005C58B4"/>
    <w:rsid w:val="005C6324"/>
    <w:rsid w:val="005C7250"/>
    <w:rsid w:val="005D0030"/>
    <w:rsid w:val="005D0485"/>
    <w:rsid w:val="005D0663"/>
    <w:rsid w:val="005D0F8A"/>
    <w:rsid w:val="005D1DF4"/>
    <w:rsid w:val="005D2110"/>
    <w:rsid w:val="005D2CE3"/>
    <w:rsid w:val="005D39E7"/>
    <w:rsid w:val="005D4920"/>
    <w:rsid w:val="005D5F7C"/>
    <w:rsid w:val="005D69B5"/>
    <w:rsid w:val="005D71F3"/>
    <w:rsid w:val="005D728E"/>
    <w:rsid w:val="005E0038"/>
    <w:rsid w:val="005E109C"/>
    <w:rsid w:val="005E1B0F"/>
    <w:rsid w:val="005E1FC5"/>
    <w:rsid w:val="005E2C44"/>
    <w:rsid w:val="005E2D0B"/>
    <w:rsid w:val="005E3231"/>
    <w:rsid w:val="005E3A8B"/>
    <w:rsid w:val="005E3BA8"/>
    <w:rsid w:val="005E4724"/>
    <w:rsid w:val="005E5E81"/>
    <w:rsid w:val="005E5ECA"/>
    <w:rsid w:val="005E5FD7"/>
    <w:rsid w:val="005E72AA"/>
    <w:rsid w:val="005F0B7D"/>
    <w:rsid w:val="005F0C07"/>
    <w:rsid w:val="005F0CFC"/>
    <w:rsid w:val="005F1E65"/>
    <w:rsid w:val="005F3C0A"/>
    <w:rsid w:val="005F436E"/>
    <w:rsid w:val="005F59C3"/>
    <w:rsid w:val="005F6220"/>
    <w:rsid w:val="005F6E03"/>
    <w:rsid w:val="005F72C7"/>
    <w:rsid w:val="005F73F2"/>
    <w:rsid w:val="005F753A"/>
    <w:rsid w:val="006021A1"/>
    <w:rsid w:val="00602263"/>
    <w:rsid w:val="00602940"/>
    <w:rsid w:val="00602EE4"/>
    <w:rsid w:val="00603A0B"/>
    <w:rsid w:val="00603A56"/>
    <w:rsid w:val="0060420F"/>
    <w:rsid w:val="0060463F"/>
    <w:rsid w:val="00604BA0"/>
    <w:rsid w:val="00605813"/>
    <w:rsid w:val="006060A2"/>
    <w:rsid w:val="00610CD9"/>
    <w:rsid w:val="006114C7"/>
    <w:rsid w:val="00611C26"/>
    <w:rsid w:val="00612D17"/>
    <w:rsid w:val="00612E39"/>
    <w:rsid w:val="00613813"/>
    <w:rsid w:val="00613892"/>
    <w:rsid w:val="00613CA5"/>
    <w:rsid w:val="0061489A"/>
    <w:rsid w:val="006148D0"/>
    <w:rsid w:val="00614F2E"/>
    <w:rsid w:val="006176AC"/>
    <w:rsid w:val="0062002C"/>
    <w:rsid w:val="00621188"/>
    <w:rsid w:val="00622110"/>
    <w:rsid w:val="006223C4"/>
    <w:rsid w:val="00622C5C"/>
    <w:rsid w:val="00624675"/>
    <w:rsid w:val="006257ED"/>
    <w:rsid w:val="00626028"/>
    <w:rsid w:val="00626945"/>
    <w:rsid w:val="00631168"/>
    <w:rsid w:val="00633707"/>
    <w:rsid w:val="0063449B"/>
    <w:rsid w:val="00634619"/>
    <w:rsid w:val="00634A38"/>
    <w:rsid w:val="00635734"/>
    <w:rsid w:val="00635764"/>
    <w:rsid w:val="00637E56"/>
    <w:rsid w:val="00640782"/>
    <w:rsid w:val="00640CDD"/>
    <w:rsid w:val="0064152D"/>
    <w:rsid w:val="006418D5"/>
    <w:rsid w:val="006418E8"/>
    <w:rsid w:val="00644B22"/>
    <w:rsid w:val="0064515C"/>
    <w:rsid w:val="00646403"/>
    <w:rsid w:val="00646B07"/>
    <w:rsid w:val="00647ACE"/>
    <w:rsid w:val="00650FE5"/>
    <w:rsid w:val="0065257B"/>
    <w:rsid w:val="006531E6"/>
    <w:rsid w:val="006540F7"/>
    <w:rsid w:val="006542D5"/>
    <w:rsid w:val="00654D5E"/>
    <w:rsid w:val="0065518A"/>
    <w:rsid w:val="00655F82"/>
    <w:rsid w:val="0065738B"/>
    <w:rsid w:val="00660506"/>
    <w:rsid w:val="00660B2E"/>
    <w:rsid w:val="0066157E"/>
    <w:rsid w:val="00662172"/>
    <w:rsid w:val="00662A54"/>
    <w:rsid w:val="006631B6"/>
    <w:rsid w:val="0066355C"/>
    <w:rsid w:val="0066403B"/>
    <w:rsid w:val="006651A2"/>
    <w:rsid w:val="00666A6E"/>
    <w:rsid w:val="0067022C"/>
    <w:rsid w:val="006713B8"/>
    <w:rsid w:val="006718E4"/>
    <w:rsid w:val="006724F5"/>
    <w:rsid w:val="00672808"/>
    <w:rsid w:val="00672ADE"/>
    <w:rsid w:val="00673AAB"/>
    <w:rsid w:val="0067505E"/>
    <w:rsid w:val="0067601D"/>
    <w:rsid w:val="0067608D"/>
    <w:rsid w:val="006765A0"/>
    <w:rsid w:val="00676A16"/>
    <w:rsid w:val="00676A96"/>
    <w:rsid w:val="006774D1"/>
    <w:rsid w:val="00677C12"/>
    <w:rsid w:val="00677DF7"/>
    <w:rsid w:val="00680685"/>
    <w:rsid w:val="0068103F"/>
    <w:rsid w:val="006816CB"/>
    <w:rsid w:val="0068210F"/>
    <w:rsid w:val="0068248A"/>
    <w:rsid w:val="00682C8B"/>
    <w:rsid w:val="00682F21"/>
    <w:rsid w:val="00683D67"/>
    <w:rsid w:val="0068406F"/>
    <w:rsid w:val="0068411E"/>
    <w:rsid w:val="00684CAF"/>
    <w:rsid w:val="00685581"/>
    <w:rsid w:val="006858F9"/>
    <w:rsid w:val="0068740F"/>
    <w:rsid w:val="006874C5"/>
    <w:rsid w:val="006911DD"/>
    <w:rsid w:val="006932E2"/>
    <w:rsid w:val="006941B9"/>
    <w:rsid w:val="006950E1"/>
    <w:rsid w:val="00695808"/>
    <w:rsid w:val="006964C8"/>
    <w:rsid w:val="00696EDF"/>
    <w:rsid w:val="0069715D"/>
    <w:rsid w:val="006A011C"/>
    <w:rsid w:val="006A0AB5"/>
    <w:rsid w:val="006A0AEC"/>
    <w:rsid w:val="006A31C6"/>
    <w:rsid w:val="006A3EFA"/>
    <w:rsid w:val="006A4723"/>
    <w:rsid w:val="006A4EB0"/>
    <w:rsid w:val="006A5540"/>
    <w:rsid w:val="006A56F9"/>
    <w:rsid w:val="006A6218"/>
    <w:rsid w:val="006A65D8"/>
    <w:rsid w:val="006A67D1"/>
    <w:rsid w:val="006B05AE"/>
    <w:rsid w:val="006B167A"/>
    <w:rsid w:val="006B27CE"/>
    <w:rsid w:val="006B46FB"/>
    <w:rsid w:val="006B4926"/>
    <w:rsid w:val="006B6994"/>
    <w:rsid w:val="006C0747"/>
    <w:rsid w:val="006C1D23"/>
    <w:rsid w:val="006C1DC0"/>
    <w:rsid w:val="006C2DB3"/>
    <w:rsid w:val="006C4314"/>
    <w:rsid w:val="006C46E0"/>
    <w:rsid w:val="006C48EC"/>
    <w:rsid w:val="006C573F"/>
    <w:rsid w:val="006C57D0"/>
    <w:rsid w:val="006C58B9"/>
    <w:rsid w:val="006C5B9A"/>
    <w:rsid w:val="006C634A"/>
    <w:rsid w:val="006D045E"/>
    <w:rsid w:val="006D04BD"/>
    <w:rsid w:val="006D0D7A"/>
    <w:rsid w:val="006D170F"/>
    <w:rsid w:val="006D2380"/>
    <w:rsid w:val="006D29CE"/>
    <w:rsid w:val="006D2ED2"/>
    <w:rsid w:val="006D30B2"/>
    <w:rsid w:val="006D3B94"/>
    <w:rsid w:val="006D5584"/>
    <w:rsid w:val="006D7348"/>
    <w:rsid w:val="006D7D7F"/>
    <w:rsid w:val="006D7EE8"/>
    <w:rsid w:val="006D7EFD"/>
    <w:rsid w:val="006E10E9"/>
    <w:rsid w:val="006E21FB"/>
    <w:rsid w:val="006E2290"/>
    <w:rsid w:val="006E26C9"/>
    <w:rsid w:val="006E3942"/>
    <w:rsid w:val="006E4FE0"/>
    <w:rsid w:val="006E5BC2"/>
    <w:rsid w:val="006E75F9"/>
    <w:rsid w:val="006E78FE"/>
    <w:rsid w:val="006E7BFE"/>
    <w:rsid w:val="006F3826"/>
    <w:rsid w:val="006F40A4"/>
    <w:rsid w:val="006F609E"/>
    <w:rsid w:val="006F65A6"/>
    <w:rsid w:val="006F6C2E"/>
    <w:rsid w:val="006F6CF7"/>
    <w:rsid w:val="006F7BBB"/>
    <w:rsid w:val="00700A60"/>
    <w:rsid w:val="00701767"/>
    <w:rsid w:val="00701F28"/>
    <w:rsid w:val="007023DB"/>
    <w:rsid w:val="0070240C"/>
    <w:rsid w:val="007045A8"/>
    <w:rsid w:val="00704ABC"/>
    <w:rsid w:val="00704BA9"/>
    <w:rsid w:val="0070555D"/>
    <w:rsid w:val="007062FA"/>
    <w:rsid w:val="0070651F"/>
    <w:rsid w:val="00706F00"/>
    <w:rsid w:val="00707864"/>
    <w:rsid w:val="007110E7"/>
    <w:rsid w:val="007112B3"/>
    <w:rsid w:val="00711723"/>
    <w:rsid w:val="00712D84"/>
    <w:rsid w:val="00712D9F"/>
    <w:rsid w:val="00713A55"/>
    <w:rsid w:val="00714D62"/>
    <w:rsid w:val="00714DE5"/>
    <w:rsid w:val="0071620D"/>
    <w:rsid w:val="00716771"/>
    <w:rsid w:val="0072048C"/>
    <w:rsid w:val="007209EB"/>
    <w:rsid w:val="00721B5F"/>
    <w:rsid w:val="007223DE"/>
    <w:rsid w:val="0072249B"/>
    <w:rsid w:val="00723890"/>
    <w:rsid w:val="00723943"/>
    <w:rsid w:val="00723AF1"/>
    <w:rsid w:val="00723CCB"/>
    <w:rsid w:val="00723E7A"/>
    <w:rsid w:val="00726292"/>
    <w:rsid w:val="00726B57"/>
    <w:rsid w:val="00727B78"/>
    <w:rsid w:val="00730860"/>
    <w:rsid w:val="00730DA3"/>
    <w:rsid w:val="00731409"/>
    <w:rsid w:val="0073226A"/>
    <w:rsid w:val="00732883"/>
    <w:rsid w:val="00732F0F"/>
    <w:rsid w:val="00733893"/>
    <w:rsid w:val="007366E4"/>
    <w:rsid w:val="0073683D"/>
    <w:rsid w:val="007370C9"/>
    <w:rsid w:val="00737107"/>
    <w:rsid w:val="00740192"/>
    <w:rsid w:val="007408C1"/>
    <w:rsid w:val="007418C5"/>
    <w:rsid w:val="0074199F"/>
    <w:rsid w:val="0074225C"/>
    <w:rsid w:val="00742821"/>
    <w:rsid w:val="0074331C"/>
    <w:rsid w:val="007435F4"/>
    <w:rsid w:val="00743A93"/>
    <w:rsid w:val="0074559C"/>
    <w:rsid w:val="0074584A"/>
    <w:rsid w:val="00747657"/>
    <w:rsid w:val="007479A3"/>
    <w:rsid w:val="00747F61"/>
    <w:rsid w:val="00747FF5"/>
    <w:rsid w:val="00750CCA"/>
    <w:rsid w:val="00750E94"/>
    <w:rsid w:val="00751AC1"/>
    <w:rsid w:val="00752528"/>
    <w:rsid w:val="007531B7"/>
    <w:rsid w:val="007532BA"/>
    <w:rsid w:val="00753576"/>
    <w:rsid w:val="00753B57"/>
    <w:rsid w:val="00753BDF"/>
    <w:rsid w:val="00754A0D"/>
    <w:rsid w:val="00756079"/>
    <w:rsid w:val="007563E0"/>
    <w:rsid w:val="00756BC0"/>
    <w:rsid w:val="00757C59"/>
    <w:rsid w:val="00760AF1"/>
    <w:rsid w:val="00761083"/>
    <w:rsid w:val="007620CD"/>
    <w:rsid w:val="00764923"/>
    <w:rsid w:val="00765C12"/>
    <w:rsid w:val="00765CBA"/>
    <w:rsid w:val="00766299"/>
    <w:rsid w:val="00766BA5"/>
    <w:rsid w:val="00770A85"/>
    <w:rsid w:val="00770B93"/>
    <w:rsid w:val="007710E4"/>
    <w:rsid w:val="00771532"/>
    <w:rsid w:val="007736D0"/>
    <w:rsid w:val="007738E9"/>
    <w:rsid w:val="007748FD"/>
    <w:rsid w:val="00774C04"/>
    <w:rsid w:val="007752C8"/>
    <w:rsid w:val="00775FB8"/>
    <w:rsid w:val="00776568"/>
    <w:rsid w:val="007775D9"/>
    <w:rsid w:val="00780D54"/>
    <w:rsid w:val="00781481"/>
    <w:rsid w:val="007816F7"/>
    <w:rsid w:val="007817C9"/>
    <w:rsid w:val="00781807"/>
    <w:rsid w:val="00781A58"/>
    <w:rsid w:val="00781EF1"/>
    <w:rsid w:val="0078298F"/>
    <w:rsid w:val="007836E1"/>
    <w:rsid w:val="00784F5A"/>
    <w:rsid w:val="00785044"/>
    <w:rsid w:val="0078597A"/>
    <w:rsid w:val="0078609D"/>
    <w:rsid w:val="00790E29"/>
    <w:rsid w:val="00792342"/>
    <w:rsid w:val="007927EA"/>
    <w:rsid w:val="0079287E"/>
    <w:rsid w:val="00795C70"/>
    <w:rsid w:val="00795EED"/>
    <w:rsid w:val="0079632D"/>
    <w:rsid w:val="007A0502"/>
    <w:rsid w:val="007A17B7"/>
    <w:rsid w:val="007A19A8"/>
    <w:rsid w:val="007A1A67"/>
    <w:rsid w:val="007A1F65"/>
    <w:rsid w:val="007A1FFC"/>
    <w:rsid w:val="007A2442"/>
    <w:rsid w:val="007A2744"/>
    <w:rsid w:val="007A2991"/>
    <w:rsid w:val="007A2A39"/>
    <w:rsid w:val="007A499B"/>
    <w:rsid w:val="007A5064"/>
    <w:rsid w:val="007A51A6"/>
    <w:rsid w:val="007A5903"/>
    <w:rsid w:val="007A6C8B"/>
    <w:rsid w:val="007A72D5"/>
    <w:rsid w:val="007A7739"/>
    <w:rsid w:val="007A7A9B"/>
    <w:rsid w:val="007A7C58"/>
    <w:rsid w:val="007B0446"/>
    <w:rsid w:val="007B1215"/>
    <w:rsid w:val="007B29A9"/>
    <w:rsid w:val="007B37AD"/>
    <w:rsid w:val="007B512A"/>
    <w:rsid w:val="007B65B8"/>
    <w:rsid w:val="007C0019"/>
    <w:rsid w:val="007C12C4"/>
    <w:rsid w:val="007C2097"/>
    <w:rsid w:val="007C2A2B"/>
    <w:rsid w:val="007C2A71"/>
    <w:rsid w:val="007C36C9"/>
    <w:rsid w:val="007C429A"/>
    <w:rsid w:val="007C5925"/>
    <w:rsid w:val="007C652B"/>
    <w:rsid w:val="007C6759"/>
    <w:rsid w:val="007C6F8E"/>
    <w:rsid w:val="007D2226"/>
    <w:rsid w:val="007D2E41"/>
    <w:rsid w:val="007D2F6B"/>
    <w:rsid w:val="007D3463"/>
    <w:rsid w:val="007D3746"/>
    <w:rsid w:val="007D39ED"/>
    <w:rsid w:val="007D502F"/>
    <w:rsid w:val="007D5AA1"/>
    <w:rsid w:val="007D68EE"/>
    <w:rsid w:val="007D6A04"/>
    <w:rsid w:val="007D6A07"/>
    <w:rsid w:val="007D7D28"/>
    <w:rsid w:val="007E11A4"/>
    <w:rsid w:val="007E1BEB"/>
    <w:rsid w:val="007E2938"/>
    <w:rsid w:val="007E2DDD"/>
    <w:rsid w:val="007E4229"/>
    <w:rsid w:val="007E4848"/>
    <w:rsid w:val="007E4957"/>
    <w:rsid w:val="007E4C6A"/>
    <w:rsid w:val="007E50B1"/>
    <w:rsid w:val="007E6023"/>
    <w:rsid w:val="007E6061"/>
    <w:rsid w:val="007E6380"/>
    <w:rsid w:val="007E6659"/>
    <w:rsid w:val="007E6B29"/>
    <w:rsid w:val="007F18E4"/>
    <w:rsid w:val="007F1F17"/>
    <w:rsid w:val="007F2BFF"/>
    <w:rsid w:val="007F53C6"/>
    <w:rsid w:val="007F553E"/>
    <w:rsid w:val="007F732A"/>
    <w:rsid w:val="00800CD3"/>
    <w:rsid w:val="00801690"/>
    <w:rsid w:val="00801904"/>
    <w:rsid w:val="008038E5"/>
    <w:rsid w:val="008051AB"/>
    <w:rsid w:val="008051CB"/>
    <w:rsid w:val="00805CEC"/>
    <w:rsid w:val="00805F11"/>
    <w:rsid w:val="008110FF"/>
    <w:rsid w:val="008118F9"/>
    <w:rsid w:val="00812413"/>
    <w:rsid w:val="00812980"/>
    <w:rsid w:val="008139A2"/>
    <w:rsid w:val="00815747"/>
    <w:rsid w:val="00816546"/>
    <w:rsid w:val="00816CD3"/>
    <w:rsid w:val="0081774F"/>
    <w:rsid w:val="008207F6"/>
    <w:rsid w:val="00820B77"/>
    <w:rsid w:val="00821359"/>
    <w:rsid w:val="008219B0"/>
    <w:rsid w:val="00822DB9"/>
    <w:rsid w:val="00823012"/>
    <w:rsid w:val="00823FB5"/>
    <w:rsid w:val="00823FE0"/>
    <w:rsid w:val="0082411E"/>
    <w:rsid w:val="0082532A"/>
    <w:rsid w:val="00826AD2"/>
    <w:rsid w:val="008279FA"/>
    <w:rsid w:val="0083118B"/>
    <w:rsid w:val="00831D71"/>
    <w:rsid w:val="008324BB"/>
    <w:rsid w:val="008329A7"/>
    <w:rsid w:val="00832F42"/>
    <w:rsid w:val="00833026"/>
    <w:rsid w:val="008333A6"/>
    <w:rsid w:val="00834EF4"/>
    <w:rsid w:val="00835B4A"/>
    <w:rsid w:val="0083683E"/>
    <w:rsid w:val="008368CD"/>
    <w:rsid w:val="00837DCE"/>
    <w:rsid w:val="00837F81"/>
    <w:rsid w:val="00840154"/>
    <w:rsid w:val="00840331"/>
    <w:rsid w:val="0084087E"/>
    <w:rsid w:val="00840D69"/>
    <w:rsid w:val="00841D3C"/>
    <w:rsid w:val="00842B76"/>
    <w:rsid w:val="00843C3C"/>
    <w:rsid w:val="008440E7"/>
    <w:rsid w:val="00844136"/>
    <w:rsid w:val="00844BA7"/>
    <w:rsid w:val="0084533B"/>
    <w:rsid w:val="00845873"/>
    <w:rsid w:val="0085288C"/>
    <w:rsid w:val="00853465"/>
    <w:rsid w:val="0085391C"/>
    <w:rsid w:val="00853CBD"/>
    <w:rsid w:val="00853CDE"/>
    <w:rsid w:val="00855B61"/>
    <w:rsid w:val="008570D1"/>
    <w:rsid w:val="00857B24"/>
    <w:rsid w:val="0086028F"/>
    <w:rsid w:val="00860626"/>
    <w:rsid w:val="0086090F"/>
    <w:rsid w:val="00860A43"/>
    <w:rsid w:val="008612A2"/>
    <w:rsid w:val="00861AEB"/>
    <w:rsid w:val="008623B9"/>
    <w:rsid w:val="008626E7"/>
    <w:rsid w:val="00862AF2"/>
    <w:rsid w:val="008663E3"/>
    <w:rsid w:val="00867757"/>
    <w:rsid w:val="00870629"/>
    <w:rsid w:val="00870B2B"/>
    <w:rsid w:val="00870EE7"/>
    <w:rsid w:val="00871AA1"/>
    <w:rsid w:val="0087353C"/>
    <w:rsid w:val="00873B8A"/>
    <w:rsid w:val="008756EC"/>
    <w:rsid w:val="00875827"/>
    <w:rsid w:val="00875C54"/>
    <w:rsid w:val="00876EA0"/>
    <w:rsid w:val="00880306"/>
    <w:rsid w:val="00881AF1"/>
    <w:rsid w:val="00881D0F"/>
    <w:rsid w:val="00882407"/>
    <w:rsid w:val="00884FEE"/>
    <w:rsid w:val="008868DB"/>
    <w:rsid w:val="00886CB3"/>
    <w:rsid w:val="008873A4"/>
    <w:rsid w:val="008875BF"/>
    <w:rsid w:val="00887DF5"/>
    <w:rsid w:val="008901CA"/>
    <w:rsid w:val="00890F93"/>
    <w:rsid w:val="00891920"/>
    <w:rsid w:val="00891AE7"/>
    <w:rsid w:val="008921DF"/>
    <w:rsid w:val="0089316B"/>
    <w:rsid w:val="0089397B"/>
    <w:rsid w:val="00893D1F"/>
    <w:rsid w:val="008941A7"/>
    <w:rsid w:val="00894897"/>
    <w:rsid w:val="00894B58"/>
    <w:rsid w:val="00895361"/>
    <w:rsid w:val="00896B20"/>
    <w:rsid w:val="008979E9"/>
    <w:rsid w:val="008A0196"/>
    <w:rsid w:val="008A0712"/>
    <w:rsid w:val="008A1816"/>
    <w:rsid w:val="008A1A2C"/>
    <w:rsid w:val="008A2191"/>
    <w:rsid w:val="008A22B4"/>
    <w:rsid w:val="008A360E"/>
    <w:rsid w:val="008A36A1"/>
    <w:rsid w:val="008A39AA"/>
    <w:rsid w:val="008A5CDA"/>
    <w:rsid w:val="008A6219"/>
    <w:rsid w:val="008A626D"/>
    <w:rsid w:val="008A74F1"/>
    <w:rsid w:val="008A7C36"/>
    <w:rsid w:val="008B03C3"/>
    <w:rsid w:val="008B20CD"/>
    <w:rsid w:val="008B5587"/>
    <w:rsid w:val="008B63CD"/>
    <w:rsid w:val="008C1C3B"/>
    <w:rsid w:val="008C23C2"/>
    <w:rsid w:val="008C28FA"/>
    <w:rsid w:val="008C2DF9"/>
    <w:rsid w:val="008C36CF"/>
    <w:rsid w:val="008C39EC"/>
    <w:rsid w:val="008C5CBE"/>
    <w:rsid w:val="008C6540"/>
    <w:rsid w:val="008C6EF6"/>
    <w:rsid w:val="008C76C0"/>
    <w:rsid w:val="008D029B"/>
    <w:rsid w:val="008D117F"/>
    <w:rsid w:val="008D17A3"/>
    <w:rsid w:val="008D1A04"/>
    <w:rsid w:val="008D22E4"/>
    <w:rsid w:val="008D2B2F"/>
    <w:rsid w:val="008D2F4F"/>
    <w:rsid w:val="008D4A59"/>
    <w:rsid w:val="008D4D89"/>
    <w:rsid w:val="008D4DF4"/>
    <w:rsid w:val="008D4F32"/>
    <w:rsid w:val="008D58CA"/>
    <w:rsid w:val="008D7697"/>
    <w:rsid w:val="008D7FDC"/>
    <w:rsid w:val="008E2483"/>
    <w:rsid w:val="008E295D"/>
    <w:rsid w:val="008E342B"/>
    <w:rsid w:val="008E39B8"/>
    <w:rsid w:val="008E4991"/>
    <w:rsid w:val="008E5224"/>
    <w:rsid w:val="008E52F1"/>
    <w:rsid w:val="008E5317"/>
    <w:rsid w:val="008E567D"/>
    <w:rsid w:val="008F0405"/>
    <w:rsid w:val="008F0488"/>
    <w:rsid w:val="008F2E5D"/>
    <w:rsid w:val="008F3353"/>
    <w:rsid w:val="008F4E3B"/>
    <w:rsid w:val="008F5E77"/>
    <w:rsid w:val="008F686C"/>
    <w:rsid w:val="008F731A"/>
    <w:rsid w:val="008F7C66"/>
    <w:rsid w:val="009006B9"/>
    <w:rsid w:val="00901D3E"/>
    <w:rsid w:val="009020A5"/>
    <w:rsid w:val="00903452"/>
    <w:rsid w:val="00906876"/>
    <w:rsid w:val="00906D09"/>
    <w:rsid w:val="00906EFB"/>
    <w:rsid w:val="009114B5"/>
    <w:rsid w:val="009128B3"/>
    <w:rsid w:val="00912E68"/>
    <w:rsid w:val="009135B4"/>
    <w:rsid w:val="0091435E"/>
    <w:rsid w:val="00914569"/>
    <w:rsid w:val="009160FD"/>
    <w:rsid w:val="00916705"/>
    <w:rsid w:val="009209A0"/>
    <w:rsid w:val="00920AB2"/>
    <w:rsid w:val="009216F0"/>
    <w:rsid w:val="00921C79"/>
    <w:rsid w:val="00921C93"/>
    <w:rsid w:val="00922F67"/>
    <w:rsid w:val="0092330E"/>
    <w:rsid w:val="00923DA7"/>
    <w:rsid w:val="009252B7"/>
    <w:rsid w:val="00925EB0"/>
    <w:rsid w:val="009267C1"/>
    <w:rsid w:val="00926DF3"/>
    <w:rsid w:val="009279CB"/>
    <w:rsid w:val="0093004F"/>
    <w:rsid w:val="0093187D"/>
    <w:rsid w:val="00931ADC"/>
    <w:rsid w:val="0093291E"/>
    <w:rsid w:val="00932C3C"/>
    <w:rsid w:val="00934BA6"/>
    <w:rsid w:val="00937AD9"/>
    <w:rsid w:val="009412A6"/>
    <w:rsid w:val="00942151"/>
    <w:rsid w:val="009436A6"/>
    <w:rsid w:val="00943FC3"/>
    <w:rsid w:val="009444A3"/>
    <w:rsid w:val="00944665"/>
    <w:rsid w:val="00946121"/>
    <w:rsid w:val="00947609"/>
    <w:rsid w:val="00950403"/>
    <w:rsid w:val="009515EA"/>
    <w:rsid w:val="00951C16"/>
    <w:rsid w:val="00952A15"/>
    <w:rsid w:val="00952AF2"/>
    <w:rsid w:val="0095366C"/>
    <w:rsid w:val="00953CBA"/>
    <w:rsid w:val="009546C2"/>
    <w:rsid w:val="00954B65"/>
    <w:rsid w:val="00954FEB"/>
    <w:rsid w:val="00955118"/>
    <w:rsid w:val="009564BB"/>
    <w:rsid w:val="00956DEF"/>
    <w:rsid w:val="00957255"/>
    <w:rsid w:val="00961218"/>
    <w:rsid w:val="009615DD"/>
    <w:rsid w:val="00962D76"/>
    <w:rsid w:val="0096354A"/>
    <w:rsid w:val="00963A90"/>
    <w:rsid w:val="00963C18"/>
    <w:rsid w:val="00963FD9"/>
    <w:rsid w:val="00964373"/>
    <w:rsid w:val="009648CC"/>
    <w:rsid w:val="00964C78"/>
    <w:rsid w:val="0096513B"/>
    <w:rsid w:val="00965DA6"/>
    <w:rsid w:val="00966A6A"/>
    <w:rsid w:val="00970416"/>
    <w:rsid w:val="0097242C"/>
    <w:rsid w:val="0097261E"/>
    <w:rsid w:val="00972664"/>
    <w:rsid w:val="00972C66"/>
    <w:rsid w:val="0097333D"/>
    <w:rsid w:val="00973902"/>
    <w:rsid w:val="00974A7B"/>
    <w:rsid w:val="00974E81"/>
    <w:rsid w:val="009761E5"/>
    <w:rsid w:val="0097628B"/>
    <w:rsid w:val="009768A6"/>
    <w:rsid w:val="009771D7"/>
    <w:rsid w:val="009777D9"/>
    <w:rsid w:val="00980330"/>
    <w:rsid w:val="009804C6"/>
    <w:rsid w:val="00981CCA"/>
    <w:rsid w:val="00981EC5"/>
    <w:rsid w:val="0098296C"/>
    <w:rsid w:val="0098308F"/>
    <w:rsid w:val="00983BEE"/>
    <w:rsid w:val="0098562A"/>
    <w:rsid w:val="00985AB7"/>
    <w:rsid w:val="00986493"/>
    <w:rsid w:val="00991550"/>
    <w:rsid w:val="00991B88"/>
    <w:rsid w:val="00991D51"/>
    <w:rsid w:val="00994A98"/>
    <w:rsid w:val="00995642"/>
    <w:rsid w:val="00995B36"/>
    <w:rsid w:val="00995F9B"/>
    <w:rsid w:val="009963E2"/>
    <w:rsid w:val="00996574"/>
    <w:rsid w:val="0099668E"/>
    <w:rsid w:val="00996A93"/>
    <w:rsid w:val="00996E6C"/>
    <w:rsid w:val="00997826"/>
    <w:rsid w:val="009978DF"/>
    <w:rsid w:val="009A0313"/>
    <w:rsid w:val="009A0E3B"/>
    <w:rsid w:val="009A3185"/>
    <w:rsid w:val="009A34F9"/>
    <w:rsid w:val="009A3F59"/>
    <w:rsid w:val="009A4172"/>
    <w:rsid w:val="009A579D"/>
    <w:rsid w:val="009A5F22"/>
    <w:rsid w:val="009A6063"/>
    <w:rsid w:val="009A6347"/>
    <w:rsid w:val="009A76EE"/>
    <w:rsid w:val="009B01EF"/>
    <w:rsid w:val="009B0699"/>
    <w:rsid w:val="009B0A03"/>
    <w:rsid w:val="009B0B43"/>
    <w:rsid w:val="009B29C3"/>
    <w:rsid w:val="009B366D"/>
    <w:rsid w:val="009B384E"/>
    <w:rsid w:val="009B4249"/>
    <w:rsid w:val="009C14D2"/>
    <w:rsid w:val="009C1804"/>
    <w:rsid w:val="009C2083"/>
    <w:rsid w:val="009C21F8"/>
    <w:rsid w:val="009C3840"/>
    <w:rsid w:val="009C599E"/>
    <w:rsid w:val="009C643E"/>
    <w:rsid w:val="009C693D"/>
    <w:rsid w:val="009C6F9B"/>
    <w:rsid w:val="009C73D2"/>
    <w:rsid w:val="009C7620"/>
    <w:rsid w:val="009C7B5E"/>
    <w:rsid w:val="009D0011"/>
    <w:rsid w:val="009D0F0A"/>
    <w:rsid w:val="009D19E1"/>
    <w:rsid w:val="009D630A"/>
    <w:rsid w:val="009D6AFB"/>
    <w:rsid w:val="009E245D"/>
    <w:rsid w:val="009E3297"/>
    <w:rsid w:val="009E466F"/>
    <w:rsid w:val="009E5CC4"/>
    <w:rsid w:val="009E6A1F"/>
    <w:rsid w:val="009E76AB"/>
    <w:rsid w:val="009E788B"/>
    <w:rsid w:val="009E7DD3"/>
    <w:rsid w:val="009F130E"/>
    <w:rsid w:val="009F169E"/>
    <w:rsid w:val="009F19F1"/>
    <w:rsid w:val="009F4266"/>
    <w:rsid w:val="009F6CCB"/>
    <w:rsid w:val="009F6D3C"/>
    <w:rsid w:val="009F6FFA"/>
    <w:rsid w:val="009F7162"/>
    <w:rsid w:val="009F734F"/>
    <w:rsid w:val="009F7E22"/>
    <w:rsid w:val="00A0096B"/>
    <w:rsid w:val="00A01B3A"/>
    <w:rsid w:val="00A031B8"/>
    <w:rsid w:val="00A038FD"/>
    <w:rsid w:val="00A05047"/>
    <w:rsid w:val="00A05CEB"/>
    <w:rsid w:val="00A060E3"/>
    <w:rsid w:val="00A06352"/>
    <w:rsid w:val="00A06D29"/>
    <w:rsid w:val="00A07009"/>
    <w:rsid w:val="00A101DF"/>
    <w:rsid w:val="00A11E2E"/>
    <w:rsid w:val="00A13E8B"/>
    <w:rsid w:val="00A162CF"/>
    <w:rsid w:val="00A16A87"/>
    <w:rsid w:val="00A16E68"/>
    <w:rsid w:val="00A17FA8"/>
    <w:rsid w:val="00A20653"/>
    <w:rsid w:val="00A223F6"/>
    <w:rsid w:val="00A23EEF"/>
    <w:rsid w:val="00A246B6"/>
    <w:rsid w:val="00A24E53"/>
    <w:rsid w:val="00A25649"/>
    <w:rsid w:val="00A2569C"/>
    <w:rsid w:val="00A26FC4"/>
    <w:rsid w:val="00A30553"/>
    <w:rsid w:val="00A30583"/>
    <w:rsid w:val="00A30F1E"/>
    <w:rsid w:val="00A32042"/>
    <w:rsid w:val="00A32AFA"/>
    <w:rsid w:val="00A33CB2"/>
    <w:rsid w:val="00A34447"/>
    <w:rsid w:val="00A34B1D"/>
    <w:rsid w:val="00A35374"/>
    <w:rsid w:val="00A36200"/>
    <w:rsid w:val="00A406E1"/>
    <w:rsid w:val="00A4179B"/>
    <w:rsid w:val="00A419E5"/>
    <w:rsid w:val="00A41C22"/>
    <w:rsid w:val="00A44591"/>
    <w:rsid w:val="00A44872"/>
    <w:rsid w:val="00A44AD6"/>
    <w:rsid w:val="00A45599"/>
    <w:rsid w:val="00A4621E"/>
    <w:rsid w:val="00A464ED"/>
    <w:rsid w:val="00A469AE"/>
    <w:rsid w:val="00A46AFA"/>
    <w:rsid w:val="00A46B17"/>
    <w:rsid w:val="00A473CE"/>
    <w:rsid w:val="00A47753"/>
    <w:rsid w:val="00A47E70"/>
    <w:rsid w:val="00A50886"/>
    <w:rsid w:val="00A5109A"/>
    <w:rsid w:val="00A51EB4"/>
    <w:rsid w:val="00A535E6"/>
    <w:rsid w:val="00A53E10"/>
    <w:rsid w:val="00A54025"/>
    <w:rsid w:val="00A55A58"/>
    <w:rsid w:val="00A55CAC"/>
    <w:rsid w:val="00A602C5"/>
    <w:rsid w:val="00A60317"/>
    <w:rsid w:val="00A60D29"/>
    <w:rsid w:val="00A61ACA"/>
    <w:rsid w:val="00A62E65"/>
    <w:rsid w:val="00A63998"/>
    <w:rsid w:val="00A6489F"/>
    <w:rsid w:val="00A64CFC"/>
    <w:rsid w:val="00A650A5"/>
    <w:rsid w:val="00A654CD"/>
    <w:rsid w:val="00A65571"/>
    <w:rsid w:val="00A65841"/>
    <w:rsid w:val="00A6618E"/>
    <w:rsid w:val="00A668DA"/>
    <w:rsid w:val="00A6760B"/>
    <w:rsid w:val="00A677EF"/>
    <w:rsid w:val="00A67DEB"/>
    <w:rsid w:val="00A67F0D"/>
    <w:rsid w:val="00A67F13"/>
    <w:rsid w:val="00A7183D"/>
    <w:rsid w:val="00A718C1"/>
    <w:rsid w:val="00A72620"/>
    <w:rsid w:val="00A72CD5"/>
    <w:rsid w:val="00A72E11"/>
    <w:rsid w:val="00A7351F"/>
    <w:rsid w:val="00A73872"/>
    <w:rsid w:val="00A7392C"/>
    <w:rsid w:val="00A7509D"/>
    <w:rsid w:val="00A758C9"/>
    <w:rsid w:val="00A7671C"/>
    <w:rsid w:val="00A8044F"/>
    <w:rsid w:val="00A80C86"/>
    <w:rsid w:val="00A819FA"/>
    <w:rsid w:val="00A81EB7"/>
    <w:rsid w:val="00A81EDD"/>
    <w:rsid w:val="00A82601"/>
    <w:rsid w:val="00A82D44"/>
    <w:rsid w:val="00A83749"/>
    <w:rsid w:val="00A85144"/>
    <w:rsid w:val="00A85701"/>
    <w:rsid w:val="00A87A0C"/>
    <w:rsid w:val="00A91677"/>
    <w:rsid w:val="00A93950"/>
    <w:rsid w:val="00A946BD"/>
    <w:rsid w:val="00A94CE5"/>
    <w:rsid w:val="00A965E6"/>
    <w:rsid w:val="00A97051"/>
    <w:rsid w:val="00AA08A7"/>
    <w:rsid w:val="00AA0DA6"/>
    <w:rsid w:val="00AA0E76"/>
    <w:rsid w:val="00AA1183"/>
    <w:rsid w:val="00AA1D3E"/>
    <w:rsid w:val="00AA2D67"/>
    <w:rsid w:val="00AA3C30"/>
    <w:rsid w:val="00AA3DF6"/>
    <w:rsid w:val="00AA4458"/>
    <w:rsid w:val="00AA4A77"/>
    <w:rsid w:val="00AA62AD"/>
    <w:rsid w:val="00AA682A"/>
    <w:rsid w:val="00AB1034"/>
    <w:rsid w:val="00AB1A54"/>
    <w:rsid w:val="00AB211D"/>
    <w:rsid w:val="00AB3F26"/>
    <w:rsid w:val="00AB4748"/>
    <w:rsid w:val="00AB4F47"/>
    <w:rsid w:val="00AB4F62"/>
    <w:rsid w:val="00AC087B"/>
    <w:rsid w:val="00AC20BA"/>
    <w:rsid w:val="00AC27F0"/>
    <w:rsid w:val="00AC5443"/>
    <w:rsid w:val="00AC78E9"/>
    <w:rsid w:val="00AC7DF7"/>
    <w:rsid w:val="00AD0530"/>
    <w:rsid w:val="00AD1CD8"/>
    <w:rsid w:val="00AD2742"/>
    <w:rsid w:val="00AD28CA"/>
    <w:rsid w:val="00AD55F0"/>
    <w:rsid w:val="00AD5971"/>
    <w:rsid w:val="00AD5C98"/>
    <w:rsid w:val="00AD74FC"/>
    <w:rsid w:val="00AD7D5B"/>
    <w:rsid w:val="00AE0B27"/>
    <w:rsid w:val="00AE12E9"/>
    <w:rsid w:val="00AE14BE"/>
    <w:rsid w:val="00AE166A"/>
    <w:rsid w:val="00AE19F8"/>
    <w:rsid w:val="00AE234E"/>
    <w:rsid w:val="00AE240B"/>
    <w:rsid w:val="00AE2ED3"/>
    <w:rsid w:val="00AE2FC7"/>
    <w:rsid w:val="00AE2FE1"/>
    <w:rsid w:val="00AE394E"/>
    <w:rsid w:val="00AE5F6B"/>
    <w:rsid w:val="00AE6193"/>
    <w:rsid w:val="00AE6986"/>
    <w:rsid w:val="00AE6C5A"/>
    <w:rsid w:val="00AF0539"/>
    <w:rsid w:val="00AF1A96"/>
    <w:rsid w:val="00AF1FBA"/>
    <w:rsid w:val="00AF2408"/>
    <w:rsid w:val="00AF476C"/>
    <w:rsid w:val="00AF55CA"/>
    <w:rsid w:val="00AF5F85"/>
    <w:rsid w:val="00AF6047"/>
    <w:rsid w:val="00B00457"/>
    <w:rsid w:val="00B007DF"/>
    <w:rsid w:val="00B00F15"/>
    <w:rsid w:val="00B0127D"/>
    <w:rsid w:val="00B012BD"/>
    <w:rsid w:val="00B01CF4"/>
    <w:rsid w:val="00B01D2F"/>
    <w:rsid w:val="00B033C9"/>
    <w:rsid w:val="00B06679"/>
    <w:rsid w:val="00B06933"/>
    <w:rsid w:val="00B06D5A"/>
    <w:rsid w:val="00B0728E"/>
    <w:rsid w:val="00B07B2B"/>
    <w:rsid w:val="00B07E57"/>
    <w:rsid w:val="00B10ACF"/>
    <w:rsid w:val="00B10BCC"/>
    <w:rsid w:val="00B125E0"/>
    <w:rsid w:val="00B12E3C"/>
    <w:rsid w:val="00B12E44"/>
    <w:rsid w:val="00B13B74"/>
    <w:rsid w:val="00B15941"/>
    <w:rsid w:val="00B16853"/>
    <w:rsid w:val="00B1792A"/>
    <w:rsid w:val="00B224B5"/>
    <w:rsid w:val="00B24B09"/>
    <w:rsid w:val="00B2521F"/>
    <w:rsid w:val="00B258BB"/>
    <w:rsid w:val="00B26462"/>
    <w:rsid w:val="00B269C3"/>
    <w:rsid w:val="00B26E20"/>
    <w:rsid w:val="00B27CCF"/>
    <w:rsid w:val="00B27D66"/>
    <w:rsid w:val="00B27D6B"/>
    <w:rsid w:val="00B3146F"/>
    <w:rsid w:val="00B31DC6"/>
    <w:rsid w:val="00B34AFF"/>
    <w:rsid w:val="00B356EC"/>
    <w:rsid w:val="00B3687B"/>
    <w:rsid w:val="00B373F0"/>
    <w:rsid w:val="00B37504"/>
    <w:rsid w:val="00B41FDF"/>
    <w:rsid w:val="00B4273C"/>
    <w:rsid w:val="00B42F63"/>
    <w:rsid w:val="00B43814"/>
    <w:rsid w:val="00B44451"/>
    <w:rsid w:val="00B44462"/>
    <w:rsid w:val="00B44BD7"/>
    <w:rsid w:val="00B45224"/>
    <w:rsid w:val="00B461F1"/>
    <w:rsid w:val="00B466AE"/>
    <w:rsid w:val="00B4729A"/>
    <w:rsid w:val="00B524DE"/>
    <w:rsid w:val="00B5284F"/>
    <w:rsid w:val="00B5374E"/>
    <w:rsid w:val="00B56043"/>
    <w:rsid w:val="00B563BA"/>
    <w:rsid w:val="00B612DB"/>
    <w:rsid w:val="00B62358"/>
    <w:rsid w:val="00B628AC"/>
    <w:rsid w:val="00B62B12"/>
    <w:rsid w:val="00B633F2"/>
    <w:rsid w:val="00B63AC6"/>
    <w:rsid w:val="00B6463F"/>
    <w:rsid w:val="00B64CFA"/>
    <w:rsid w:val="00B64E55"/>
    <w:rsid w:val="00B65C9B"/>
    <w:rsid w:val="00B66FF9"/>
    <w:rsid w:val="00B678A9"/>
    <w:rsid w:val="00B67B97"/>
    <w:rsid w:val="00B70352"/>
    <w:rsid w:val="00B72316"/>
    <w:rsid w:val="00B7238C"/>
    <w:rsid w:val="00B743F8"/>
    <w:rsid w:val="00B74A3A"/>
    <w:rsid w:val="00B74B02"/>
    <w:rsid w:val="00B74BD4"/>
    <w:rsid w:val="00B74F3E"/>
    <w:rsid w:val="00B75EDE"/>
    <w:rsid w:val="00B829BB"/>
    <w:rsid w:val="00B82B74"/>
    <w:rsid w:val="00B836D8"/>
    <w:rsid w:val="00B84C96"/>
    <w:rsid w:val="00B860E1"/>
    <w:rsid w:val="00B86661"/>
    <w:rsid w:val="00B86C2A"/>
    <w:rsid w:val="00B87A25"/>
    <w:rsid w:val="00B907CB"/>
    <w:rsid w:val="00B90A10"/>
    <w:rsid w:val="00B90A44"/>
    <w:rsid w:val="00B9182D"/>
    <w:rsid w:val="00B91D54"/>
    <w:rsid w:val="00B92E36"/>
    <w:rsid w:val="00B93FE3"/>
    <w:rsid w:val="00B9418D"/>
    <w:rsid w:val="00B959F9"/>
    <w:rsid w:val="00B968C8"/>
    <w:rsid w:val="00B9691A"/>
    <w:rsid w:val="00B96CCE"/>
    <w:rsid w:val="00BA2B5B"/>
    <w:rsid w:val="00BA2DE1"/>
    <w:rsid w:val="00BA2F22"/>
    <w:rsid w:val="00BA3A8E"/>
    <w:rsid w:val="00BA3E08"/>
    <w:rsid w:val="00BA3EC5"/>
    <w:rsid w:val="00BA3ED9"/>
    <w:rsid w:val="00BA4833"/>
    <w:rsid w:val="00BA64A1"/>
    <w:rsid w:val="00BA684A"/>
    <w:rsid w:val="00BA6D73"/>
    <w:rsid w:val="00BA6DBC"/>
    <w:rsid w:val="00BA79ED"/>
    <w:rsid w:val="00BB0602"/>
    <w:rsid w:val="00BB172C"/>
    <w:rsid w:val="00BB2DA1"/>
    <w:rsid w:val="00BB4D90"/>
    <w:rsid w:val="00BB50E5"/>
    <w:rsid w:val="00BB544B"/>
    <w:rsid w:val="00BB5453"/>
    <w:rsid w:val="00BB5D31"/>
    <w:rsid w:val="00BB5DFC"/>
    <w:rsid w:val="00BB5E4C"/>
    <w:rsid w:val="00BB69F2"/>
    <w:rsid w:val="00BB6AD1"/>
    <w:rsid w:val="00BC03A2"/>
    <w:rsid w:val="00BC0DB8"/>
    <w:rsid w:val="00BC1393"/>
    <w:rsid w:val="00BC15B0"/>
    <w:rsid w:val="00BC1A71"/>
    <w:rsid w:val="00BC1C7A"/>
    <w:rsid w:val="00BC29F1"/>
    <w:rsid w:val="00BC3193"/>
    <w:rsid w:val="00BC5635"/>
    <w:rsid w:val="00BC5FC8"/>
    <w:rsid w:val="00BC5FF2"/>
    <w:rsid w:val="00BC69D0"/>
    <w:rsid w:val="00BC6AD8"/>
    <w:rsid w:val="00BC7928"/>
    <w:rsid w:val="00BD091D"/>
    <w:rsid w:val="00BD204B"/>
    <w:rsid w:val="00BD269A"/>
    <w:rsid w:val="00BD279D"/>
    <w:rsid w:val="00BD3013"/>
    <w:rsid w:val="00BD370F"/>
    <w:rsid w:val="00BD3B24"/>
    <w:rsid w:val="00BD3FBB"/>
    <w:rsid w:val="00BD679A"/>
    <w:rsid w:val="00BD6BB8"/>
    <w:rsid w:val="00BD6C52"/>
    <w:rsid w:val="00BE056D"/>
    <w:rsid w:val="00BE1D2E"/>
    <w:rsid w:val="00BE389A"/>
    <w:rsid w:val="00BE4394"/>
    <w:rsid w:val="00BE4F16"/>
    <w:rsid w:val="00BE5167"/>
    <w:rsid w:val="00BE5B60"/>
    <w:rsid w:val="00BE61CD"/>
    <w:rsid w:val="00BF015C"/>
    <w:rsid w:val="00BF0850"/>
    <w:rsid w:val="00BF16F6"/>
    <w:rsid w:val="00BF1B85"/>
    <w:rsid w:val="00BF2765"/>
    <w:rsid w:val="00BF4CCC"/>
    <w:rsid w:val="00BF6103"/>
    <w:rsid w:val="00BF61E7"/>
    <w:rsid w:val="00BF622E"/>
    <w:rsid w:val="00BF6E2B"/>
    <w:rsid w:val="00C00399"/>
    <w:rsid w:val="00C008F7"/>
    <w:rsid w:val="00C00BC3"/>
    <w:rsid w:val="00C012F8"/>
    <w:rsid w:val="00C01791"/>
    <w:rsid w:val="00C01F4B"/>
    <w:rsid w:val="00C02010"/>
    <w:rsid w:val="00C02102"/>
    <w:rsid w:val="00C026BD"/>
    <w:rsid w:val="00C02CBD"/>
    <w:rsid w:val="00C03BA4"/>
    <w:rsid w:val="00C04406"/>
    <w:rsid w:val="00C0525D"/>
    <w:rsid w:val="00C0584E"/>
    <w:rsid w:val="00C058AA"/>
    <w:rsid w:val="00C066A8"/>
    <w:rsid w:val="00C06DBC"/>
    <w:rsid w:val="00C100A8"/>
    <w:rsid w:val="00C10D5B"/>
    <w:rsid w:val="00C11180"/>
    <w:rsid w:val="00C11B2C"/>
    <w:rsid w:val="00C11FD8"/>
    <w:rsid w:val="00C120F6"/>
    <w:rsid w:val="00C122DC"/>
    <w:rsid w:val="00C12B5F"/>
    <w:rsid w:val="00C13A4E"/>
    <w:rsid w:val="00C13E90"/>
    <w:rsid w:val="00C14E2E"/>
    <w:rsid w:val="00C16423"/>
    <w:rsid w:val="00C16973"/>
    <w:rsid w:val="00C16DE5"/>
    <w:rsid w:val="00C207B5"/>
    <w:rsid w:val="00C2200F"/>
    <w:rsid w:val="00C22487"/>
    <w:rsid w:val="00C226E0"/>
    <w:rsid w:val="00C233C9"/>
    <w:rsid w:val="00C235CE"/>
    <w:rsid w:val="00C23FEA"/>
    <w:rsid w:val="00C24597"/>
    <w:rsid w:val="00C2471C"/>
    <w:rsid w:val="00C25552"/>
    <w:rsid w:val="00C25892"/>
    <w:rsid w:val="00C260D9"/>
    <w:rsid w:val="00C3041C"/>
    <w:rsid w:val="00C3177C"/>
    <w:rsid w:val="00C31C2C"/>
    <w:rsid w:val="00C33DB8"/>
    <w:rsid w:val="00C36BDF"/>
    <w:rsid w:val="00C37649"/>
    <w:rsid w:val="00C40A24"/>
    <w:rsid w:val="00C40DA4"/>
    <w:rsid w:val="00C426E0"/>
    <w:rsid w:val="00C44803"/>
    <w:rsid w:val="00C44F88"/>
    <w:rsid w:val="00C45966"/>
    <w:rsid w:val="00C45D4E"/>
    <w:rsid w:val="00C4600F"/>
    <w:rsid w:val="00C47228"/>
    <w:rsid w:val="00C500C5"/>
    <w:rsid w:val="00C53931"/>
    <w:rsid w:val="00C54432"/>
    <w:rsid w:val="00C552B5"/>
    <w:rsid w:val="00C554BA"/>
    <w:rsid w:val="00C55AF5"/>
    <w:rsid w:val="00C55F73"/>
    <w:rsid w:val="00C57337"/>
    <w:rsid w:val="00C57E28"/>
    <w:rsid w:val="00C606BE"/>
    <w:rsid w:val="00C60A08"/>
    <w:rsid w:val="00C60A65"/>
    <w:rsid w:val="00C60D8F"/>
    <w:rsid w:val="00C60E3A"/>
    <w:rsid w:val="00C6126C"/>
    <w:rsid w:val="00C62069"/>
    <w:rsid w:val="00C634C8"/>
    <w:rsid w:val="00C6518B"/>
    <w:rsid w:val="00C66B5F"/>
    <w:rsid w:val="00C67BCB"/>
    <w:rsid w:val="00C7028C"/>
    <w:rsid w:val="00C7284E"/>
    <w:rsid w:val="00C73579"/>
    <w:rsid w:val="00C73D92"/>
    <w:rsid w:val="00C746DC"/>
    <w:rsid w:val="00C74E95"/>
    <w:rsid w:val="00C76CBE"/>
    <w:rsid w:val="00C800E0"/>
    <w:rsid w:val="00C80DA8"/>
    <w:rsid w:val="00C8101B"/>
    <w:rsid w:val="00C810F5"/>
    <w:rsid w:val="00C813E5"/>
    <w:rsid w:val="00C81DF6"/>
    <w:rsid w:val="00C826F6"/>
    <w:rsid w:val="00C82BEB"/>
    <w:rsid w:val="00C83527"/>
    <w:rsid w:val="00C85186"/>
    <w:rsid w:val="00C91846"/>
    <w:rsid w:val="00C92750"/>
    <w:rsid w:val="00C92DC5"/>
    <w:rsid w:val="00C9377F"/>
    <w:rsid w:val="00C93F73"/>
    <w:rsid w:val="00C94EF9"/>
    <w:rsid w:val="00C95985"/>
    <w:rsid w:val="00C96795"/>
    <w:rsid w:val="00C96D38"/>
    <w:rsid w:val="00C975D0"/>
    <w:rsid w:val="00CA14D7"/>
    <w:rsid w:val="00CA1C41"/>
    <w:rsid w:val="00CA2361"/>
    <w:rsid w:val="00CA2A39"/>
    <w:rsid w:val="00CA2D8F"/>
    <w:rsid w:val="00CA5501"/>
    <w:rsid w:val="00CA785B"/>
    <w:rsid w:val="00CB1227"/>
    <w:rsid w:val="00CB1B55"/>
    <w:rsid w:val="00CB1FA0"/>
    <w:rsid w:val="00CB2DF5"/>
    <w:rsid w:val="00CB449B"/>
    <w:rsid w:val="00CB5BF6"/>
    <w:rsid w:val="00CC06A7"/>
    <w:rsid w:val="00CC0DE5"/>
    <w:rsid w:val="00CC1145"/>
    <w:rsid w:val="00CC1760"/>
    <w:rsid w:val="00CC4882"/>
    <w:rsid w:val="00CC4AE7"/>
    <w:rsid w:val="00CC5026"/>
    <w:rsid w:val="00CC57FD"/>
    <w:rsid w:val="00CC5AD4"/>
    <w:rsid w:val="00CC5E44"/>
    <w:rsid w:val="00CC780D"/>
    <w:rsid w:val="00CC7DBC"/>
    <w:rsid w:val="00CD0FDD"/>
    <w:rsid w:val="00CD1D80"/>
    <w:rsid w:val="00CD35B1"/>
    <w:rsid w:val="00CD3F81"/>
    <w:rsid w:val="00CD7D1F"/>
    <w:rsid w:val="00CE029F"/>
    <w:rsid w:val="00CE05B9"/>
    <w:rsid w:val="00CE0A2B"/>
    <w:rsid w:val="00CE1ABD"/>
    <w:rsid w:val="00CE232A"/>
    <w:rsid w:val="00CE2480"/>
    <w:rsid w:val="00CE3A88"/>
    <w:rsid w:val="00CE4635"/>
    <w:rsid w:val="00CE4E8C"/>
    <w:rsid w:val="00CE516A"/>
    <w:rsid w:val="00CE53AA"/>
    <w:rsid w:val="00CE5D92"/>
    <w:rsid w:val="00CE5FE0"/>
    <w:rsid w:val="00CE771F"/>
    <w:rsid w:val="00CF14CC"/>
    <w:rsid w:val="00CF1C0F"/>
    <w:rsid w:val="00CF277A"/>
    <w:rsid w:val="00CF34BC"/>
    <w:rsid w:val="00CF39EC"/>
    <w:rsid w:val="00CF4872"/>
    <w:rsid w:val="00CF4C4D"/>
    <w:rsid w:val="00CF59FE"/>
    <w:rsid w:val="00CF5B2B"/>
    <w:rsid w:val="00CF6046"/>
    <w:rsid w:val="00CF6869"/>
    <w:rsid w:val="00CF7A07"/>
    <w:rsid w:val="00D00616"/>
    <w:rsid w:val="00D00A49"/>
    <w:rsid w:val="00D00F44"/>
    <w:rsid w:val="00D03741"/>
    <w:rsid w:val="00D0392C"/>
    <w:rsid w:val="00D03DC5"/>
    <w:rsid w:val="00D03F9A"/>
    <w:rsid w:val="00D048CE"/>
    <w:rsid w:val="00D04A95"/>
    <w:rsid w:val="00D100B2"/>
    <w:rsid w:val="00D12A6B"/>
    <w:rsid w:val="00D1377C"/>
    <w:rsid w:val="00D13BDE"/>
    <w:rsid w:val="00D1493D"/>
    <w:rsid w:val="00D14AC5"/>
    <w:rsid w:val="00D15A9F"/>
    <w:rsid w:val="00D15B5B"/>
    <w:rsid w:val="00D1671C"/>
    <w:rsid w:val="00D20FE5"/>
    <w:rsid w:val="00D212CB"/>
    <w:rsid w:val="00D216C6"/>
    <w:rsid w:val="00D21D70"/>
    <w:rsid w:val="00D2208E"/>
    <w:rsid w:val="00D2245A"/>
    <w:rsid w:val="00D23429"/>
    <w:rsid w:val="00D238CF"/>
    <w:rsid w:val="00D2527D"/>
    <w:rsid w:val="00D258A7"/>
    <w:rsid w:val="00D26349"/>
    <w:rsid w:val="00D2666E"/>
    <w:rsid w:val="00D266BE"/>
    <w:rsid w:val="00D276D1"/>
    <w:rsid w:val="00D27A04"/>
    <w:rsid w:val="00D30DE9"/>
    <w:rsid w:val="00D31869"/>
    <w:rsid w:val="00D32BC5"/>
    <w:rsid w:val="00D32F0F"/>
    <w:rsid w:val="00D33332"/>
    <w:rsid w:val="00D3368C"/>
    <w:rsid w:val="00D35695"/>
    <w:rsid w:val="00D35AED"/>
    <w:rsid w:val="00D36410"/>
    <w:rsid w:val="00D366A6"/>
    <w:rsid w:val="00D37555"/>
    <w:rsid w:val="00D4063A"/>
    <w:rsid w:val="00D40D0D"/>
    <w:rsid w:val="00D411DF"/>
    <w:rsid w:val="00D42A42"/>
    <w:rsid w:val="00D42FAE"/>
    <w:rsid w:val="00D435A2"/>
    <w:rsid w:val="00D43AB8"/>
    <w:rsid w:val="00D45E51"/>
    <w:rsid w:val="00D4726C"/>
    <w:rsid w:val="00D4777F"/>
    <w:rsid w:val="00D47A32"/>
    <w:rsid w:val="00D52B2C"/>
    <w:rsid w:val="00D532DC"/>
    <w:rsid w:val="00D5361C"/>
    <w:rsid w:val="00D54880"/>
    <w:rsid w:val="00D55BE4"/>
    <w:rsid w:val="00D56E30"/>
    <w:rsid w:val="00D5794A"/>
    <w:rsid w:val="00D6061C"/>
    <w:rsid w:val="00D60AB4"/>
    <w:rsid w:val="00D61674"/>
    <w:rsid w:val="00D61760"/>
    <w:rsid w:val="00D63056"/>
    <w:rsid w:val="00D635C4"/>
    <w:rsid w:val="00D6484C"/>
    <w:rsid w:val="00D64B1D"/>
    <w:rsid w:val="00D65D2E"/>
    <w:rsid w:val="00D66211"/>
    <w:rsid w:val="00D66461"/>
    <w:rsid w:val="00D66A10"/>
    <w:rsid w:val="00D66B85"/>
    <w:rsid w:val="00D66EED"/>
    <w:rsid w:val="00D70647"/>
    <w:rsid w:val="00D70819"/>
    <w:rsid w:val="00D71DB1"/>
    <w:rsid w:val="00D739A1"/>
    <w:rsid w:val="00D74675"/>
    <w:rsid w:val="00D7544B"/>
    <w:rsid w:val="00D759F3"/>
    <w:rsid w:val="00D7645F"/>
    <w:rsid w:val="00D769CA"/>
    <w:rsid w:val="00D77381"/>
    <w:rsid w:val="00D77457"/>
    <w:rsid w:val="00D80816"/>
    <w:rsid w:val="00D80A5D"/>
    <w:rsid w:val="00D80B0A"/>
    <w:rsid w:val="00D80BF9"/>
    <w:rsid w:val="00D81341"/>
    <w:rsid w:val="00D82F26"/>
    <w:rsid w:val="00D83CD1"/>
    <w:rsid w:val="00D83FDA"/>
    <w:rsid w:val="00D844C5"/>
    <w:rsid w:val="00D84A8F"/>
    <w:rsid w:val="00D84EF9"/>
    <w:rsid w:val="00D8567C"/>
    <w:rsid w:val="00D86502"/>
    <w:rsid w:val="00D86FA6"/>
    <w:rsid w:val="00D90BC0"/>
    <w:rsid w:val="00D92AEC"/>
    <w:rsid w:val="00D92C64"/>
    <w:rsid w:val="00D93980"/>
    <w:rsid w:val="00D94D3E"/>
    <w:rsid w:val="00D94E31"/>
    <w:rsid w:val="00DA023D"/>
    <w:rsid w:val="00DA1024"/>
    <w:rsid w:val="00DA1377"/>
    <w:rsid w:val="00DA13A4"/>
    <w:rsid w:val="00DA1A40"/>
    <w:rsid w:val="00DA20D2"/>
    <w:rsid w:val="00DA3731"/>
    <w:rsid w:val="00DA37C5"/>
    <w:rsid w:val="00DA4AA2"/>
    <w:rsid w:val="00DA4DC8"/>
    <w:rsid w:val="00DA5E86"/>
    <w:rsid w:val="00DA7467"/>
    <w:rsid w:val="00DB0794"/>
    <w:rsid w:val="00DB0E91"/>
    <w:rsid w:val="00DB0FE4"/>
    <w:rsid w:val="00DB1371"/>
    <w:rsid w:val="00DB25B2"/>
    <w:rsid w:val="00DB3FA6"/>
    <w:rsid w:val="00DB48EC"/>
    <w:rsid w:val="00DB7E2A"/>
    <w:rsid w:val="00DB7F28"/>
    <w:rsid w:val="00DC12B4"/>
    <w:rsid w:val="00DC1F0B"/>
    <w:rsid w:val="00DC278B"/>
    <w:rsid w:val="00DC2943"/>
    <w:rsid w:val="00DC3D37"/>
    <w:rsid w:val="00DC452B"/>
    <w:rsid w:val="00DC6382"/>
    <w:rsid w:val="00DC66BF"/>
    <w:rsid w:val="00DC764D"/>
    <w:rsid w:val="00DD1BA4"/>
    <w:rsid w:val="00DD26C8"/>
    <w:rsid w:val="00DD6889"/>
    <w:rsid w:val="00DD6D8D"/>
    <w:rsid w:val="00DD755A"/>
    <w:rsid w:val="00DE0F0A"/>
    <w:rsid w:val="00DE1DA7"/>
    <w:rsid w:val="00DE1F86"/>
    <w:rsid w:val="00DE3068"/>
    <w:rsid w:val="00DE325C"/>
    <w:rsid w:val="00DE34CF"/>
    <w:rsid w:val="00DE498F"/>
    <w:rsid w:val="00DE4A7A"/>
    <w:rsid w:val="00DE52E5"/>
    <w:rsid w:val="00DE573E"/>
    <w:rsid w:val="00DE6DAF"/>
    <w:rsid w:val="00DE7917"/>
    <w:rsid w:val="00DE7BE2"/>
    <w:rsid w:val="00DF0A77"/>
    <w:rsid w:val="00DF0B52"/>
    <w:rsid w:val="00DF19EB"/>
    <w:rsid w:val="00DF28BC"/>
    <w:rsid w:val="00DF3A73"/>
    <w:rsid w:val="00DF439D"/>
    <w:rsid w:val="00DF4D0B"/>
    <w:rsid w:val="00DF4DAB"/>
    <w:rsid w:val="00DF655A"/>
    <w:rsid w:val="00DF7AAF"/>
    <w:rsid w:val="00E00D01"/>
    <w:rsid w:val="00E0125F"/>
    <w:rsid w:val="00E01A30"/>
    <w:rsid w:val="00E02D89"/>
    <w:rsid w:val="00E03C76"/>
    <w:rsid w:val="00E0501A"/>
    <w:rsid w:val="00E0647D"/>
    <w:rsid w:val="00E065A2"/>
    <w:rsid w:val="00E068C1"/>
    <w:rsid w:val="00E10710"/>
    <w:rsid w:val="00E10737"/>
    <w:rsid w:val="00E119F6"/>
    <w:rsid w:val="00E12451"/>
    <w:rsid w:val="00E131DA"/>
    <w:rsid w:val="00E13DDB"/>
    <w:rsid w:val="00E1480E"/>
    <w:rsid w:val="00E15DFF"/>
    <w:rsid w:val="00E1603D"/>
    <w:rsid w:val="00E16123"/>
    <w:rsid w:val="00E161DF"/>
    <w:rsid w:val="00E16DA4"/>
    <w:rsid w:val="00E16E5C"/>
    <w:rsid w:val="00E22DAF"/>
    <w:rsid w:val="00E25588"/>
    <w:rsid w:val="00E26E58"/>
    <w:rsid w:val="00E26E9F"/>
    <w:rsid w:val="00E30B3D"/>
    <w:rsid w:val="00E32624"/>
    <w:rsid w:val="00E32A66"/>
    <w:rsid w:val="00E34CF5"/>
    <w:rsid w:val="00E35403"/>
    <w:rsid w:val="00E37709"/>
    <w:rsid w:val="00E4040B"/>
    <w:rsid w:val="00E4164F"/>
    <w:rsid w:val="00E41A35"/>
    <w:rsid w:val="00E41FD1"/>
    <w:rsid w:val="00E4267D"/>
    <w:rsid w:val="00E44323"/>
    <w:rsid w:val="00E4465C"/>
    <w:rsid w:val="00E4572A"/>
    <w:rsid w:val="00E464BC"/>
    <w:rsid w:val="00E46A54"/>
    <w:rsid w:val="00E47A8A"/>
    <w:rsid w:val="00E51271"/>
    <w:rsid w:val="00E514E0"/>
    <w:rsid w:val="00E52023"/>
    <w:rsid w:val="00E52B30"/>
    <w:rsid w:val="00E52C56"/>
    <w:rsid w:val="00E53205"/>
    <w:rsid w:val="00E54A54"/>
    <w:rsid w:val="00E5572E"/>
    <w:rsid w:val="00E5581F"/>
    <w:rsid w:val="00E564F8"/>
    <w:rsid w:val="00E6146D"/>
    <w:rsid w:val="00E61706"/>
    <w:rsid w:val="00E61993"/>
    <w:rsid w:val="00E61F16"/>
    <w:rsid w:val="00E622A3"/>
    <w:rsid w:val="00E62314"/>
    <w:rsid w:val="00E62992"/>
    <w:rsid w:val="00E63136"/>
    <w:rsid w:val="00E638CE"/>
    <w:rsid w:val="00E64150"/>
    <w:rsid w:val="00E642F6"/>
    <w:rsid w:val="00E64C69"/>
    <w:rsid w:val="00E65949"/>
    <w:rsid w:val="00E66B28"/>
    <w:rsid w:val="00E679F4"/>
    <w:rsid w:val="00E701CB"/>
    <w:rsid w:val="00E706A0"/>
    <w:rsid w:val="00E70A3F"/>
    <w:rsid w:val="00E70B10"/>
    <w:rsid w:val="00E710D7"/>
    <w:rsid w:val="00E71259"/>
    <w:rsid w:val="00E71AA1"/>
    <w:rsid w:val="00E7253C"/>
    <w:rsid w:val="00E73412"/>
    <w:rsid w:val="00E73676"/>
    <w:rsid w:val="00E73E07"/>
    <w:rsid w:val="00E74EA3"/>
    <w:rsid w:val="00E74F42"/>
    <w:rsid w:val="00E76DFD"/>
    <w:rsid w:val="00E7768E"/>
    <w:rsid w:val="00E777DF"/>
    <w:rsid w:val="00E77858"/>
    <w:rsid w:val="00E80D36"/>
    <w:rsid w:val="00E827FB"/>
    <w:rsid w:val="00E8302B"/>
    <w:rsid w:val="00E83972"/>
    <w:rsid w:val="00E83F38"/>
    <w:rsid w:val="00E85AEF"/>
    <w:rsid w:val="00E871BE"/>
    <w:rsid w:val="00E87DD3"/>
    <w:rsid w:val="00E91C41"/>
    <w:rsid w:val="00E91D2D"/>
    <w:rsid w:val="00E922C9"/>
    <w:rsid w:val="00E92575"/>
    <w:rsid w:val="00E933B8"/>
    <w:rsid w:val="00E95A32"/>
    <w:rsid w:val="00EA0197"/>
    <w:rsid w:val="00EA100B"/>
    <w:rsid w:val="00EA127F"/>
    <w:rsid w:val="00EA12D3"/>
    <w:rsid w:val="00EA337C"/>
    <w:rsid w:val="00EA3B26"/>
    <w:rsid w:val="00EA3D56"/>
    <w:rsid w:val="00EA41E9"/>
    <w:rsid w:val="00EA4458"/>
    <w:rsid w:val="00EA465D"/>
    <w:rsid w:val="00EA47D0"/>
    <w:rsid w:val="00EA4B82"/>
    <w:rsid w:val="00EA4B8B"/>
    <w:rsid w:val="00EA52A1"/>
    <w:rsid w:val="00EA599A"/>
    <w:rsid w:val="00EA5B4F"/>
    <w:rsid w:val="00EA5CA7"/>
    <w:rsid w:val="00EB125E"/>
    <w:rsid w:val="00EB1DFB"/>
    <w:rsid w:val="00EB27F1"/>
    <w:rsid w:val="00EB32DF"/>
    <w:rsid w:val="00EB352A"/>
    <w:rsid w:val="00EB3837"/>
    <w:rsid w:val="00EB408A"/>
    <w:rsid w:val="00EB5FCC"/>
    <w:rsid w:val="00EB6629"/>
    <w:rsid w:val="00EB7AC0"/>
    <w:rsid w:val="00EC0782"/>
    <w:rsid w:val="00EC0F80"/>
    <w:rsid w:val="00EC23C7"/>
    <w:rsid w:val="00EC32AF"/>
    <w:rsid w:val="00EC34B5"/>
    <w:rsid w:val="00EC40A5"/>
    <w:rsid w:val="00EC42C6"/>
    <w:rsid w:val="00EC4365"/>
    <w:rsid w:val="00EC498D"/>
    <w:rsid w:val="00EC4A5C"/>
    <w:rsid w:val="00EC567D"/>
    <w:rsid w:val="00EC58A1"/>
    <w:rsid w:val="00EC68EB"/>
    <w:rsid w:val="00EC6B60"/>
    <w:rsid w:val="00EC720E"/>
    <w:rsid w:val="00EC75EA"/>
    <w:rsid w:val="00ED0165"/>
    <w:rsid w:val="00ED02E6"/>
    <w:rsid w:val="00ED1CD1"/>
    <w:rsid w:val="00ED2649"/>
    <w:rsid w:val="00ED4DA6"/>
    <w:rsid w:val="00ED5AA3"/>
    <w:rsid w:val="00ED5E9A"/>
    <w:rsid w:val="00ED61E2"/>
    <w:rsid w:val="00ED6938"/>
    <w:rsid w:val="00ED7DA2"/>
    <w:rsid w:val="00ED7DB7"/>
    <w:rsid w:val="00EE04EE"/>
    <w:rsid w:val="00EE1F70"/>
    <w:rsid w:val="00EE4287"/>
    <w:rsid w:val="00EE4A60"/>
    <w:rsid w:val="00EE5848"/>
    <w:rsid w:val="00EE5DEE"/>
    <w:rsid w:val="00EE6ADF"/>
    <w:rsid w:val="00EE6F32"/>
    <w:rsid w:val="00EE7519"/>
    <w:rsid w:val="00EE7D7C"/>
    <w:rsid w:val="00EF041B"/>
    <w:rsid w:val="00EF0821"/>
    <w:rsid w:val="00EF1754"/>
    <w:rsid w:val="00EF2118"/>
    <w:rsid w:val="00EF355C"/>
    <w:rsid w:val="00EF3AE8"/>
    <w:rsid w:val="00EF52A1"/>
    <w:rsid w:val="00EF56EA"/>
    <w:rsid w:val="00EF5F62"/>
    <w:rsid w:val="00EF7E9E"/>
    <w:rsid w:val="00F00D06"/>
    <w:rsid w:val="00F022CC"/>
    <w:rsid w:val="00F02372"/>
    <w:rsid w:val="00F02EE2"/>
    <w:rsid w:val="00F02FAF"/>
    <w:rsid w:val="00F030B8"/>
    <w:rsid w:val="00F03F26"/>
    <w:rsid w:val="00F04213"/>
    <w:rsid w:val="00F04782"/>
    <w:rsid w:val="00F05499"/>
    <w:rsid w:val="00F07368"/>
    <w:rsid w:val="00F10BCF"/>
    <w:rsid w:val="00F11B98"/>
    <w:rsid w:val="00F11CCB"/>
    <w:rsid w:val="00F1209E"/>
    <w:rsid w:val="00F144A1"/>
    <w:rsid w:val="00F16AE7"/>
    <w:rsid w:val="00F17613"/>
    <w:rsid w:val="00F17E6B"/>
    <w:rsid w:val="00F20378"/>
    <w:rsid w:val="00F20596"/>
    <w:rsid w:val="00F208E3"/>
    <w:rsid w:val="00F21155"/>
    <w:rsid w:val="00F2118F"/>
    <w:rsid w:val="00F214B8"/>
    <w:rsid w:val="00F2252F"/>
    <w:rsid w:val="00F2253C"/>
    <w:rsid w:val="00F2295D"/>
    <w:rsid w:val="00F24C39"/>
    <w:rsid w:val="00F24E4D"/>
    <w:rsid w:val="00F2529D"/>
    <w:rsid w:val="00F25D98"/>
    <w:rsid w:val="00F263D9"/>
    <w:rsid w:val="00F27782"/>
    <w:rsid w:val="00F27CCD"/>
    <w:rsid w:val="00F300FB"/>
    <w:rsid w:val="00F3061A"/>
    <w:rsid w:val="00F3090D"/>
    <w:rsid w:val="00F311BB"/>
    <w:rsid w:val="00F314FB"/>
    <w:rsid w:val="00F31D25"/>
    <w:rsid w:val="00F3316F"/>
    <w:rsid w:val="00F33661"/>
    <w:rsid w:val="00F33D2F"/>
    <w:rsid w:val="00F33D4E"/>
    <w:rsid w:val="00F35C4F"/>
    <w:rsid w:val="00F36515"/>
    <w:rsid w:val="00F36B0C"/>
    <w:rsid w:val="00F40165"/>
    <w:rsid w:val="00F40671"/>
    <w:rsid w:val="00F41028"/>
    <w:rsid w:val="00F41100"/>
    <w:rsid w:val="00F4216A"/>
    <w:rsid w:val="00F421D2"/>
    <w:rsid w:val="00F46979"/>
    <w:rsid w:val="00F47003"/>
    <w:rsid w:val="00F50A36"/>
    <w:rsid w:val="00F50A93"/>
    <w:rsid w:val="00F52CB1"/>
    <w:rsid w:val="00F53CFE"/>
    <w:rsid w:val="00F5467A"/>
    <w:rsid w:val="00F56F73"/>
    <w:rsid w:val="00F62854"/>
    <w:rsid w:val="00F62EEC"/>
    <w:rsid w:val="00F63243"/>
    <w:rsid w:val="00F633D8"/>
    <w:rsid w:val="00F666DC"/>
    <w:rsid w:val="00F667C8"/>
    <w:rsid w:val="00F67616"/>
    <w:rsid w:val="00F67AD1"/>
    <w:rsid w:val="00F70A90"/>
    <w:rsid w:val="00F71C41"/>
    <w:rsid w:val="00F7264C"/>
    <w:rsid w:val="00F7293D"/>
    <w:rsid w:val="00F730D4"/>
    <w:rsid w:val="00F733FF"/>
    <w:rsid w:val="00F73E46"/>
    <w:rsid w:val="00F7487E"/>
    <w:rsid w:val="00F74DC7"/>
    <w:rsid w:val="00F75A20"/>
    <w:rsid w:val="00F77659"/>
    <w:rsid w:val="00F80822"/>
    <w:rsid w:val="00F81430"/>
    <w:rsid w:val="00F815B1"/>
    <w:rsid w:val="00F81C4F"/>
    <w:rsid w:val="00F82821"/>
    <w:rsid w:val="00F83F26"/>
    <w:rsid w:val="00F8514F"/>
    <w:rsid w:val="00F853CB"/>
    <w:rsid w:val="00F856D4"/>
    <w:rsid w:val="00F85C20"/>
    <w:rsid w:val="00F85E38"/>
    <w:rsid w:val="00F86A70"/>
    <w:rsid w:val="00F86ACF"/>
    <w:rsid w:val="00F86ECC"/>
    <w:rsid w:val="00F86FA5"/>
    <w:rsid w:val="00F878BD"/>
    <w:rsid w:val="00F902B9"/>
    <w:rsid w:val="00F906BE"/>
    <w:rsid w:val="00F925C6"/>
    <w:rsid w:val="00F92AD9"/>
    <w:rsid w:val="00F94641"/>
    <w:rsid w:val="00F94826"/>
    <w:rsid w:val="00F95D50"/>
    <w:rsid w:val="00F962C2"/>
    <w:rsid w:val="00F96B6E"/>
    <w:rsid w:val="00F96DED"/>
    <w:rsid w:val="00FA0075"/>
    <w:rsid w:val="00FA0920"/>
    <w:rsid w:val="00FA1831"/>
    <w:rsid w:val="00FA1A08"/>
    <w:rsid w:val="00FA438F"/>
    <w:rsid w:val="00FA45B4"/>
    <w:rsid w:val="00FA59DB"/>
    <w:rsid w:val="00FA5C60"/>
    <w:rsid w:val="00FA65EA"/>
    <w:rsid w:val="00FA7070"/>
    <w:rsid w:val="00FA78DD"/>
    <w:rsid w:val="00FA7E0E"/>
    <w:rsid w:val="00FB0AD9"/>
    <w:rsid w:val="00FB0F92"/>
    <w:rsid w:val="00FB0FA1"/>
    <w:rsid w:val="00FB1480"/>
    <w:rsid w:val="00FB1DA4"/>
    <w:rsid w:val="00FB1E51"/>
    <w:rsid w:val="00FB21C2"/>
    <w:rsid w:val="00FB36F7"/>
    <w:rsid w:val="00FB4241"/>
    <w:rsid w:val="00FB57A7"/>
    <w:rsid w:val="00FB615E"/>
    <w:rsid w:val="00FB629A"/>
    <w:rsid w:val="00FB6386"/>
    <w:rsid w:val="00FB6613"/>
    <w:rsid w:val="00FB6CA5"/>
    <w:rsid w:val="00FB6DC8"/>
    <w:rsid w:val="00FB703B"/>
    <w:rsid w:val="00FB794E"/>
    <w:rsid w:val="00FB7BC1"/>
    <w:rsid w:val="00FC05EB"/>
    <w:rsid w:val="00FC08E1"/>
    <w:rsid w:val="00FC0C45"/>
    <w:rsid w:val="00FC1223"/>
    <w:rsid w:val="00FC142E"/>
    <w:rsid w:val="00FC3600"/>
    <w:rsid w:val="00FC39B9"/>
    <w:rsid w:val="00FC3AA6"/>
    <w:rsid w:val="00FC3ABD"/>
    <w:rsid w:val="00FC3EDD"/>
    <w:rsid w:val="00FC4B84"/>
    <w:rsid w:val="00FC59C4"/>
    <w:rsid w:val="00FC5D60"/>
    <w:rsid w:val="00FC607E"/>
    <w:rsid w:val="00FC678D"/>
    <w:rsid w:val="00FC6F84"/>
    <w:rsid w:val="00FD0363"/>
    <w:rsid w:val="00FD158B"/>
    <w:rsid w:val="00FD1887"/>
    <w:rsid w:val="00FD5186"/>
    <w:rsid w:val="00FD5F8D"/>
    <w:rsid w:val="00FD5FEF"/>
    <w:rsid w:val="00FD73D7"/>
    <w:rsid w:val="00FD7996"/>
    <w:rsid w:val="00FE00AF"/>
    <w:rsid w:val="00FE0121"/>
    <w:rsid w:val="00FE21F9"/>
    <w:rsid w:val="00FE3E10"/>
    <w:rsid w:val="00FE4FBB"/>
    <w:rsid w:val="00FE5C55"/>
    <w:rsid w:val="00FF0786"/>
    <w:rsid w:val="00FF253C"/>
    <w:rsid w:val="00FF2E18"/>
    <w:rsid w:val="00FF3C34"/>
    <w:rsid w:val="00FF43CF"/>
    <w:rsid w:val="00FF4FEF"/>
    <w:rsid w:val="00FF5BA2"/>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8127F8"/>
    <w:rsid w:val="098E09EE"/>
    <w:rsid w:val="0B5E0F63"/>
    <w:rsid w:val="0D621137"/>
    <w:rsid w:val="0D8B62E7"/>
    <w:rsid w:val="0E422D13"/>
    <w:rsid w:val="0EE1169C"/>
    <w:rsid w:val="0F024E4B"/>
    <w:rsid w:val="0F0B1E7F"/>
    <w:rsid w:val="0FD07D67"/>
    <w:rsid w:val="101D138B"/>
    <w:rsid w:val="106B6BBA"/>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7A05978"/>
    <w:rsid w:val="18102E34"/>
    <w:rsid w:val="1824438B"/>
    <w:rsid w:val="18896F6D"/>
    <w:rsid w:val="19060045"/>
    <w:rsid w:val="190C2F89"/>
    <w:rsid w:val="197C3BF8"/>
    <w:rsid w:val="19C218F2"/>
    <w:rsid w:val="19C923A9"/>
    <w:rsid w:val="1B607B1C"/>
    <w:rsid w:val="1C731A70"/>
    <w:rsid w:val="1CF80F39"/>
    <w:rsid w:val="1CFD2202"/>
    <w:rsid w:val="1D1A44C6"/>
    <w:rsid w:val="1DE64F2E"/>
    <w:rsid w:val="1E7565E6"/>
    <w:rsid w:val="1F3E0E37"/>
    <w:rsid w:val="1FAE07DD"/>
    <w:rsid w:val="248859AA"/>
    <w:rsid w:val="24DA45C2"/>
    <w:rsid w:val="24DD7FA6"/>
    <w:rsid w:val="25385C86"/>
    <w:rsid w:val="256D5C6E"/>
    <w:rsid w:val="26D255EE"/>
    <w:rsid w:val="28025A0F"/>
    <w:rsid w:val="290354FA"/>
    <w:rsid w:val="29086FD9"/>
    <w:rsid w:val="29E51507"/>
    <w:rsid w:val="29F227C9"/>
    <w:rsid w:val="2AA65BEB"/>
    <w:rsid w:val="2B312AF6"/>
    <w:rsid w:val="2BB11E8A"/>
    <w:rsid w:val="2BD557BB"/>
    <w:rsid w:val="2C3178DC"/>
    <w:rsid w:val="2C6F3007"/>
    <w:rsid w:val="2CFA6EE9"/>
    <w:rsid w:val="2CFB046E"/>
    <w:rsid w:val="2D8A6242"/>
    <w:rsid w:val="2F461BFE"/>
    <w:rsid w:val="2F953CE7"/>
    <w:rsid w:val="300911E5"/>
    <w:rsid w:val="307A0802"/>
    <w:rsid w:val="30CD4DA3"/>
    <w:rsid w:val="31276BE4"/>
    <w:rsid w:val="317D5D1F"/>
    <w:rsid w:val="322515BC"/>
    <w:rsid w:val="333A79FF"/>
    <w:rsid w:val="33F81C5F"/>
    <w:rsid w:val="343C76FE"/>
    <w:rsid w:val="344A3B7F"/>
    <w:rsid w:val="344B6B0D"/>
    <w:rsid w:val="3602131C"/>
    <w:rsid w:val="36AB6600"/>
    <w:rsid w:val="36B81E22"/>
    <w:rsid w:val="379063BD"/>
    <w:rsid w:val="37A1280D"/>
    <w:rsid w:val="38E82569"/>
    <w:rsid w:val="3A38148B"/>
    <w:rsid w:val="3AD6212F"/>
    <w:rsid w:val="3B1B13E5"/>
    <w:rsid w:val="3CD93C8B"/>
    <w:rsid w:val="3D0C105E"/>
    <w:rsid w:val="3D120C80"/>
    <w:rsid w:val="3E785CC7"/>
    <w:rsid w:val="3F28436D"/>
    <w:rsid w:val="40E86056"/>
    <w:rsid w:val="40FE3C74"/>
    <w:rsid w:val="413345D0"/>
    <w:rsid w:val="41376E39"/>
    <w:rsid w:val="42B46940"/>
    <w:rsid w:val="43201AF4"/>
    <w:rsid w:val="43A9470F"/>
    <w:rsid w:val="43E063A5"/>
    <w:rsid w:val="443C641B"/>
    <w:rsid w:val="44C22414"/>
    <w:rsid w:val="44D12A80"/>
    <w:rsid w:val="45061261"/>
    <w:rsid w:val="45A579AC"/>
    <w:rsid w:val="46DF0AE2"/>
    <w:rsid w:val="470E5930"/>
    <w:rsid w:val="480126ED"/>
    <w:rsid w:val="48F80DFF"/>
    <w:rsid w:val="498D4C82"/>
    <w:rsid w:val="49C83FD6"/>
    <w:rsid w:val="4C8967D8"/>
    <w:rsid w:val="4CF5533F"/>
    <w:rsid w:val="4DCF4F0A"/>
    <w:rsid w:val="4DDB0727"/>
    <w:rsid w:val="4E3A308A"/>
    <w:rsid w:val="4EA76A4E"/>
    <w:rsid w:val="4EA77B6E"/>
    <w:rsid w:val="4F904ADE"/>
    <w:rsid w:val="4FDA4F28"/>
    <w:rsid w:val="502A683A"/>
    <w:rsid w:val="503E7F75"/>
    <w:rsid w:val="50846BC7"/>
    <w:rsid w:val="514341F9"/>
    <w:rsid w:val="516A469C"/>
    <w:rsid w:val="518B4846"/>
    <w:rsid w:val="51E00E50"/>
    <w:rsid w:val="51E673DD"/>
    <w:rsid w:val="52556AE6"/>
    <w:rsid w:val="53182BA5"/>
    <w:rsid w:val="541E3F2F"/>
    <w:rsid w:val="545C4EA0"/>
    <w:rsid w:val="553C6CEE"/>
    <w:rsid w:val="553E4C1C"/>
    <w:rsid w:val="554D505D"/>
    <w:rsid w:val="556B452C"/>
    <w:rsid w:val="55BA0E98"/>
    <w:rsid w:val="55BE55C9"/>
    <w:rsid w:val="55F9785F"/>
    <w:rsid w:val="572C0169"/>
    <w:rsid w:val="57D5589F"/>
    <w:rsid w:val="581D08E0"/>
    <w:rsid w:val="5A7C1C2E"/>
    <w:rsid w:val="5B384D69"/>
    <w:rsid w:val="5B6F6C35"/>
    <w:rsid w:val="5C450CC1"/>
    <w:rsid w:val="5C515465"/>
    <w:rsid w:val="5C717B03"/>
    <w:rsid w:val="5E20704D"/>
    <w:rsid w:val="5EAB3065"/>
    <w:rsid w:val="5F6A0B67"/>
    <w:rsid w:val="6109772C"/>
    <w:rsid w:val="619D02B0"/>
    <w:rsid w:val="626F6689"/>
    <w:rsid w:val="63555ECC"/>
    <w:rsid w:val="639D1C3A"/>
    <w:rsid w:val="64265E3C"/>
    <w:rsid w:val="647C475B"/>
    <w:rsid w:val="65FD33DD"/>
    <w:rsid w:val="65FD6B89"/>
    <w:rsid w:val="66AB1378"/>
    <w:rsid w:val="67255CF4"/>
    <w:rsid w:val="69630841"/>
    <w:rsid w:val="69BF3962"/>
    <w:rsid w:val="6AA15DA6"/>
    <w:rsid w:val="6B4A0261"/>
    <w:rsid w:val="6B604FB4"/>
    <w:rsid w:val="6B814F29"/>
    <w:rsid w:val="6C310730"/>
    <w:rsid w:val="6C470C87"/>
    <w:rsid w:val="6CF45104"/>
    <w:rsid w:val="6D5E2DCE"/>
    <w:rsid w:val="6E9B5437"/>
    <w:rsid w:val="6EE83FB7"/>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B0D3BD1"/>
    <w:rsid w:val="7B100E21"/>
    <w:rsid w:val="7B1779CC"/>
    <w:rsid w:val="7B874BF7"/>
    <w:rsid w:val="7BC92A07"/>
    <w:rsid w:val="7C4B15EF"/>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Malgun Gothic"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nhideWhenUsed="0" w:uiPriority="0" w:semiHidden="0" w:name="index 1"/>
    <w:lsdException w:qFormat="1" w:unhideWhenUsed="0" w:uiPriority="0" w:semiHidden="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99" w:semiHidden="0" w:name="caption"/>
    <w:lsdException w:uiPriority="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iPriority="0" w:name="Body Text Indent 3"/>
    <w:lsdException w:uiPriority="0" w:name="Block Text"/>
    <w:lsdException w:qFormat="1" w:unhideWhenUsed="0" w:uiPriority="0"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99" w:semiHidden="0" w:name="Plain Text"/>
    <w:lsdException w:uiPriority="0" w:name="E-mail Signature"/>
    <w:lsdException w:qFormat="1" w:uiPriority="0" w:semiHidden="0" w:name="Normal (Web)"/>
    <w:lsdException w:qFormat="1" w:uiPriority="99" w:semiHidden="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Malgun Gothic" w:cs="Times New Roman"/>
      <w:lang w:val="en-GB" w:eastAsia="en-US" w:bidi="ar-SA"/>
    </w:rPr>
  </w:style>
  <w:style w:type="paragraph" w:styleId="2">
    <w:name w:val="heading 1"/>
    <w:next w:val="1"/>
    <w:link w:val="71"/>
    <w:qFormat/>
    <w:uiPriority w:val="0"/>
    <w:pPr>
      <w:keepNext/>
      <w:keepLines/>
      <w:pBdr>
        <w:top w:val="single" w:color="auto" w:sz="12" w:space="3"/>
      </w:pBdr>
      <w:spacing w:before="240" w:after="180"/>
      <w:ind w:left="1134" w:hanging="1134"/>
      <w:outlineLvl w:val="0"/>
    </w:pPr>
    <w:rPr>
      <w:rFonts w:ascii="Arial" w:hAnsi="Arial" w:eastAsia="Malgun Gothic" w:cs="Times New Roman"/>
      <w:sz w:val="36"/>
      <w:lang w:val="en-GB" w:eastAsia="en-US" w:bidi="ar-SA"/>
    </w:rPr>
  </w:style>
  <w:style w:type="paragraph" w:styleId="3">
    <w:name w:val="heading 2"/>
    <w:basedOn w:val="2"/>
    <w:next w:val="1"/>
    <w:link w:val="72"/>
    <w:qFormat/>
    <w:uiPriority w:val="0"/>
    <w:pPr>
      <w:pBdr>
        <w:top w:val="none" w:color="auto" w:sz="0" w:space="0"/>
      </w:pBdr>
      <w:spacing w:before="180"/>
      <w:outlineLvl w:val="1"/>
    </w:pPr>
    <w:rPr>
      <w:sz w:val="32"/>
    </w:rPr>
  </w:style>
  <w:style w:type="paragraph" w:styleId="4">
    <w:name w:val="heading 3"/>
    <w:basedOn w:val="3"/>
    <w:next w:val="1"/>
    <w:link w:val="73"/>
    <w:qFormat/>
    <w:uiPriority w:val="0"/>
    <w:pPr>
      <w:spacing w:before="120"/>
      <w:outlineLvl w:val="2"/>
    </w:pPr>
    <w:rPr>
      <w:sz w:val="28"/>
    </w:rPr>
  </w:style>
  <w:style w:type="paragraph" w:styleId="5">
    <w:name w:val="heading 4"/>
    <w:basedOn w:val="4"/>
    <w:next w:val="1"/>
    <w:link w:val="74"/>
    <w:qFormat/>
    <w:uiPriority w:val="0"/>
    <w:pPr>
      <w:ind w:left="1418" w:hanging="1418"/>
      <w:outlineLvl w:val="3"/>
    </w:pPr>
    <w:rPr>
      <w:sz w:val="24"/>
    </w:rPr>
  </w:style>
  <w:style w:type="paragraph" w:styleId="6">
    <w:name w:val="heading 5"/>
    <w:basedOn w:val="5"/>
    <w:next w:val="1"/>
    <w:link w:val="75"/>
    <w:qFormat/>
    <w:uiPriority w:val="9"/>
    <w:pPr>
      <w:ind w:left="1701" w:hanging="1701"/>
      <w:outlineLvl w:val="4"/>
    </w:pPr>
    <w:rPr>
      <w:sz w:val="22"/>
    </w:rPr>
  </w:style>
  <w:style w:type="paragraph" w:styleId="7">
    <w:name w:val="heading 6"/>
    <w:basedOn w:val="8"/>
    <w:next w:val="1"/>
    <w:link w:val="77"/>
    <w:qFormat/>
    <w:uiPriority w:val="9"/>
    <w:pPr>
      <w:outlineLvl w:val="5"/>
    </w:pPr>
  </w:style>
  <w:style w:type="paragraph" w:styleId="9">
    <w:name w:val="heading 7"/>
    <w:basedOn w:val="8"/>
    <w:next w:val="1"/>
    <w:link w:val="78"/>
    <w:qFormat/>
    <w:uiPriority w:val="9"/>
    <w:pPr>
      <w:outlineLvl w:val="6"/>
    </w:pPr>
  </w:style>
  <w:style w:type="paragraph" w:styleId="10">
    <w:name w:val="heading 8"/>
    <w:basedOn w:val="2"/>
    <w:next w:val="1"/>
    <w:link w:val="79"/>
    <w:qFormat/>
    <w:uiPriority w:val="9"/>
    <w:pPr>
      <w:ind w:left="0" w:firstLine="0"/>
      <w:outlineLvl w:val="7"/>
    </w:pPr>
  </w:style>
  <w:style w:type="paragraph" w:styleId="11">
    <w:name w:val="heading 9"/>
    <w:basedOn w:val="10"/>
    <w:next w:val="1"/>
    <w:link w:val="80"/>
    <w:qFormat/>
    <w:uiPriority w:val="9"/>
    <w:pPr>
      <w:outlineLvl w:val="8"/>
    </w:pPr>
  </w:style>
  <w:style w:type="character" w:default="1" w:styleId="61">
    <w:name w:val="Default Paragraph Font"/>
    <w:semiHidden/>
    <w:unhideWhenUsed/>
    <w:qFormat/>
    <w:uiPriority w:val="1"/>
  </w:style>
  <w:style w:type="table" w:default="1" w:styleId="59">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link w:val="76"/>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link w:val="82"/>
    <w:qFormat/>
    <w:uiPriority w:val="0"/>
    <w:pPr>
      <w:ind w:left="851"/>
    </w:pPr>
  </w:style>
  <w:style w:type="paragraph" w:styleId="14">
    <w:name w:val="List"/>
    <w:basedOn w:val="1"/>
    <w:link w:val="81"/>
    <w:qFormat/>
    <w:uiPriority w:val="0"/>
    <w:pPr>
      <w:ind w:left="568" w:hanging="284"/>
    </w:pPr>
  </w:style>
  <w:style w:type="paragraph" w:styleId="15">
    <w:name w:val="toc 7"/>
    <w:basedOn w:val="16"/>
    <w:next w:val="1"/>
    <w:qFormat/>
    <w:uiPriority w:val="39"/>
    <w:pPr>
      <w:tabs>
        <w:tab w:val="right" w:leader="dot" w:pos="9639"/>
      </w:tabs>
      <w:ind w:left="2268" w:hanging="2268"/>
    </w:pPr>
  </w:style>
  <w:style w:type="paragraph" w:styleId="16">
    <w:name w:val="toc 6"/>
    <w:basedOn w:val="17"/>
    <w:next w:val="1"/>
    <w:qFormat/>
    <w:uiPriority w:val="39"/>
    <w:pPr>
      <w:tabs>
        <w:tab w:val="right" w:leader="dot" w:pos="9639"/>
      </w:tabs>
      <w:ind w:left="1985" w:hanging="1985"/>
    </w:pPr>
  </w:style>
  <w:style w:type="paragraph" w:styleId="17">
    <w:name w:val="toc 5"/>
    <w:basedOn w:val="18"/>
    <w:next w:val="1"/>
    <w:qFormat/>
    <w:uiPriority w:val="39"/>
    <w:pPr>
      <w:tabs>
        <w:tab w:val="right" w:leader="dot" w:pos="9639"/>
      </w:tabs>
      <w:ind w:left="1701" w:hanging="1701"/>
    </w:pPr>
  </w:style>
  <w:style w:type="paragraph" w:styleId="18">
    <w:name w:val="toc 4"/>
    <w:basedOn w:val="19"/>
    <w:next w:val="1"/>
    <w:qFormat/>
    <w:uiPriority w:val="39"/>
    <w:pPr>
      <w:tabs>
        <w:tab w:val="right" w:leader="dot" w:pos="9639"/>
      </w:tabs>
      <w:ind w:left="1418" w:hanging="1418"/>
    </w:pPr>
  </w:style>
  <w:style w:type="paragraph" w:styleId="19">
    <w:name w:val="toc 3"/>
    <w:basedOn w:val="20"/>
    <w:next w:val="1"/>
    <w:qFormat/>
    <w:uiPriority w:val="39"/>
    <w:pPr>
      <w:tabs>
        <w:tab w:val="right" w:leader="dot" w:pos="9639"/>
      </w:tabs>
      <w:ind w:left="1134" w:hanging="1134"/>
    </w:pPr>
  </w:style>
  <w:style w:type="paragraph" w:styleId="20">
    <w:name w:val="toc 2"/>
    <w:basedOn w:val="21"/>
    <w:next w:val="1"/>
    <w:qFormat/>
    <w:uiPriority w:val="39"/>
    <w:pPr>
      <w:keepNext w:val="0"/>
      <w:tabs>
        <w:tab w:val="right" w:leader="dot" w:pos="9639"/>
      </w:tabs>
      <w:spacing w:before="0"/>
      <w:ind w:left="851" w:hanging="851"/>
    </w:pPr>
    <w:rPr>
      <w:sz w:val="20"/>
    </w:rPr>
  </w:style>
  <w:style w:type="paragraph" w:styleId="21">
    <w:name w:val="toc 1"/>
    <w:next w:val="1"/>
    <w:qFormat/>
    <w:uiPriority w:val="39"/>
    <w:pPr>
      <w:keepNext/>
      <w:keepLines/>
      <w:widowControl w:val="0"/>
      <w:tabs>
        <w:tab w:val="right" w:leader="dot" w:pos="9639"/>
      </w:tabs>
      <w:spacing w:before="120"/>
      <w:ind w:left="567" w:right="425" w:hanging="567"/>
    </w:pPr>
    <w:rPr>
      <w:rFonts w:ascii="Times New Roman" w:hAnsi="Times New Roman" w:eastAsia="Malgun Gothic" w:cs="Times New Roman"/>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pPr>
      <w:ind w:left="0" w:firstLine="0"/>
    </w:pPr>
  </w:style>
  <w:style w:type="paragraph" w:styleId="24">
    <w:name w:val="List Bullet 4"/>
    <w:basedOn w:val="25"/>
    <w:qFormat/>
    <w:uiPriority w:val="0"/>
    <w:pPr>
      <w:ind w:left="1418"/>
    </w:pPr>
  </w:style>
  <w:style w:type="paragraph" w:styleId="25">
    <w:name w:val="List Bullet 3"/>
    <w:basedOn w:val="26"/>
    <w:link w:val="85"/>
    <w:qFormat/>
    <w:uiPriority w:val="0"/>
    <w:pPr>
      <w:ind w:left="1135"/>
    </w:pPr>
  </w:style>
  <w:style w:type="paragraph" w:styleId="26">
    <w:name w:val="List Bullet 2"/>
    <w:basedOn w:val="27"/>
    <w:link w:val="84"/>
    <w:qFormat/>
    <w:uiPriority w:val="0"/>
    <w:pPr>
      <w:ind w:left="851"/>
    </w:pPr>
  </w:style>
  <w:style w:type="paragraph" w:styleId="27">
    <w:name w:val="List Bullet"/>
    <w:basedOn w:val="14"/>
    <w:link w:val="83"/>
    <w:qFormat/>
    <w:uiPriority w:val="0"/>
    <w:pPr>
      <w:ind w:left="0" w:firstLine="0"/>
    </w:pPr>
  </w:style>
  <w:style w:type="paragraph" w:styleId="28">
    <w:name w:val="Normal Indent"/>
    <w:basedOn w:val="1"/>
    <w:qFormat/>
    <w:uiPriority w:val="0"/>
    <w:pPr>
      <w:spacing w:after="0"/>
      <w:ind w:left="851"/>
    </w:pPr>
    <w:rPr>
      <w:rFonts w:eastAsia="MS Mincho"/>
      <w:lang w:val="it-IT" w:eastAsia="en-GB"/>
    </w:rPr>
  </w:style>
  <w:style w:type="paragraph" w:styleId="29">
    <w:name w:val="caption"/>
    <w:basedOn w:val="1"/>
    <w:next w:val="1"/>
    <w:link w:val="86"/>
    <w:qFormat/>
    <w:uiPriority w:val="99"/>
    <w:pPr>
      <w:spacing w:before="120" w:after="120"/>
    </w:pPr>
    <w:rPr>
      <w:rFonts w:eastAsia="MS Mincho"/>
      <w:b/>
    </w:rPr>
  </w:style>
  <w:style w:type="paragraph" w:styleId="30">
    <w:name w:val="Document Map"/>
    <w:basedOn w:val="1"/>
    <w:link w:val="87"/>
    <w:qFormat/>
    <w:uiPriority w:val="0"/>
    <w:pPr>
      <w:shd w:val="clear" w:color="auto" w:fill="000080"/>
    </w:pPr>
    <w:rPr>
      <w:rFonts w:ascii="Tahoma" w:hAnsi="Tahoma"/>
    </w:rPr>
  </w:style>
  <w:style w:type="paragraph" w:styleId="31">
    <w:name w:val="annotation text"/>
    <w:basedOn w:val="1"/>
    <w:link w:val="88"/>
    <w:qFormat/>
    <w:uiPriority w:val="99"/>
  </w:style>
  <w:style w:type="paragraph" w:styleId="32">
    <w:name w:val="Body Text 3"/>
    <w:basedOn w:val="1"/>
    <w:link w:val="89"/>
    <w:uiPriority w:val="0"/>
    <w:rPr>
      <w:rFonts w:eastAsia="MS Mincho"/>
      <w:b/>
      <w:i/>
    </w:rPr>
  </w:style>
  <w:style w:type="paragraph" w:styleId="33">
    <w:name w:val="Body Text"/>
    <w:basedOn w:val="1"/>
    <w:link w:val="90"/>
    <w:qFormat/>
    <w:uiPriority w:val="0"/>
    <w:pPr>
      <w:widowControl w:val="0"/>
      <w:spacing w:after="120"/>
    </w:pPr>
    <w:rPr>
      <w:rFonts w:eastAsia="MS Mincho"/>
      <w:sz w:val="24"/>
    </w:rPr>
  </w:style>
  <w:style w:type="paragraph" w:styleId="34">
    <w:name w:val="Body Text Indent"/>
    <w:basedOn w:val="1"/>
    <w:link w:val="91"/>
    <w:qFormat/>
    <w:uiPriority w:val="0"/>
    <w:pPr>
      <w:spacing w:before="240" w:after="0"/>
      <w:ind w:left="360"/>
      <w:jc w:val="both"/>
    </w:pPr>
    <w:rPr>
      <w:rFonts w:eastAsia="MS Mincho"/>
      <w:i/>
      <w:sz w:val="22"/>
    </w:rPr>
  </w:style>
  <w:style w:type="paragraph" w:styleId="35">
    <w:name w:val="List Number 3"/>
    <w:basedOn w:val="1"/>
    <w:qFormat/>
    <w:uiPriority w:val="0"/>
    <w:pPr>
      <w:numPr>
        <w:ilvl w:val="0"/>
        <w:numId w:val="1"/>
      </w:numPr>
      <w:tabs>
        <w:tab w:val="left" w:pos="926"/>
      </w:tabs>
      <w:overflowPunct w:val="0"/>
      <w:autoSpaceDE w:val="0"/>
      <w:autoSpaceDN w:val="0"/>
      <w:adjustRightInd w:val="0"/>
      <w:ind w:left="926"/>
      <w:textAlignment w:val="baseline"/>
    </w:pPr>
    <w:rPr>
      <w:rFonts w:eastAsia="MS Mincho"/>
      <w:lang w:eastAsia="en-GB"/>
    </w:rPr>
  </w:style>
  <w:style w:type="paragraph" w:styleId="36">
    <w:name w:val="Plain Text"/>
    <w:basedOn w:val="1"/>
    <w:link w:val="92"/>
    <w:qFormat/>
    <w:uiPriority w:val="99"/>
    <w:pPr>
      <w:spacing w:after="0"/>
    </w:pPr>
    <w:rPr>
      <w:rFonts w:ascii="Courier New" w:hAnsi="Courier New" w:eastAsia="MS Mincho"/>
    </w:rPr>
  </w:style>
  <w:style w:type="paragraph" w:styleId="37">
    <w:name w:val="List Bullet 5"/>
    <w:basedOn w:val="24"/>
    <w:qFormat/>
    <w:uiPriority w:val="0"/>
    <w:pPr>
      <w:ind w:left="1702"/>
    </w:pPr>
  </w:style>
  <w:style w:type="paragraph" w:styleId="38">
    <w:name w:val="List Number 4"/>
    <w:basedOn w:val="1"/>
    <w:qFormat/>
    <w:uiPriority w:val="0"/>
    <w:pPr>
      <w:numPr>
        <w:ilvl w:val="0"/>
        <w:numId w:val="2"/>
      </w:numPr>
      <w:tabs>
        <w:tab w:val="left" w:pos="1209"/>
      </w:tabs>
      <w:overflowPunct w:val="0"/>
      <w:autoSpaceDE w:val="0"/>
      <w:autoSpaceDN w:val="0"/>
      <w:adjustRightInd w:val="0"/>
      <w:ind w:left="1209"/>
      <w:textAlignment w:val="baseline"/>
    </w:pPr>
    <w:rPr>
      <w:rFonts w:eastAsia="MS Mincho"/>
      <w:lang w:eastAsia="en-GB"/>
    </w:rPr>
  </w:style>
  <w:style w:type="paragraph" w:styleId="39">
    <w:name w:val="toc 8"/>
    <w:basedOn w:val="21"/>
    <w:next w:val="1"/>
    <w:qFormat/>
    <w:uiPriority w:val="39"/>
    <w:pPr>
      <w:spacing w:before="180"/>
      <w:ind w:left="2693" w:hanging="2693"/>
    </w:pPr>
    <w:rPr>
      <w:b/>
    </w:rPr>
  </w:style>
  <w:style w:type="paragraph" w:styleId="40">
    <w:name w:val="Date"/>
    <w:basedOn w:val="1"/>
    <w:next w:val="1"/>
    <w:link w:val="93"/>
    <w:qFormat/>
    <w:uiPriority w:val="0"/>
    <w:pPr>
      <w:overflowPunct w:val="0"/>
      <w:autoSpaceDE w:val="0"/>
      <w:autoSpaceDN w:val="0"/>
      <w:adjustRightInd w:val="0"/>
      <w:textAlignment w:val="baseline"/>
    </w:pPr>
  </w:style>
  <w:style w:type="paragraph" w:styleId="41">
    <w:name w:val="Body Text Indent 2"/>
    <w:basedOn w:val="1"/>
    <w:link w:val="94"/>
    <w:qFormat/>
    <w:uiPriority w:val="0"/>
    <w:pPr>
      <w:ind w:left="568" w:hanging="568"/>
    </w:pPr>
    <w:rPr>
      <w:rFonts w:eastAsia="MS Mincho"/>
    </w:rPr>
  </w:style>
  <w:style w:type="paragraph" w:styleId="42">
    <w:name w:val="endnote text"/>
    <w:basedOn w:val="1"/>
    <w:link w:val="95"/>
    <w:qFormat/>
    <w:uiPriority w:val="0"/>
    <w:pPr>
      <w:snapToGrid w:val="0"/>
    </w:pPr>
    <w:rPr>
      <w:rFonts w:eastAsia="宋体"/>
    </w:rPr>
  </w:style>
  <w:style w:type="paragraph" w:styleId="43">
    <w:name w:val="Balloon Text"/>
    <w:basedOn w:val="1"/>
    <w:link w:val="96"/>
    <w:qFormat/>
    <w:uiPriority w:val="0"/>
    <w:rPr>
      <w:rFonts w:ascii="Tahoma" w:hAnsi="Tahoma"/>
      <w:sz w:val="16"/>
      <w:szCs w:val="16"/>
    </w:rPr>
  </w:style>
  <w:style w:type="paragraph" w:styleId="44">
    <w:name w:val="footer"/>
    <w:basedOn w:val="45"/>
    <w:link w:val="98"/>
    <w:qFormat/>
    <w:uiPriority w:val="0"/>
    <w:pPr>
      <w:jc w:val="center"/>
    </w:pPr>
    <w:rPr>
      <w:i/>
    </w:rPr>
  </w:style>
  <w:style w:type="paragraph" w:styleId="45">
    <w:name w:val="header"/>
    <w:link w:val="97"/>
    <w:qFormat/>
    <w:uiPriority w:val="0"/>
    <w:pPr>
      <w:widowControl w:val="0"/>
    </w:pPr>
    <w:rPr>
      <w:rFonts w:ascii="Arial" w:hAnsi="Arial" w:eastAsia="Malgun Gothic" w:cs="Times New Roman"/>
      <w:b/>
      <w:sz w:val="18"/>
      <w:lang w:val="en-GB" w:eastAsia="en-US" w:bidi="ar-SA"/>
    </w:rPr>
  </w:style>
  <w:style w:type="paragraph" w:styleId="46">
    <w:name w:val="index heading"/>
    <w:basedOn w:val="1"/>
    <w:next w:val="1"/>
    <w:qFormat/>
    <w:uiPriority w:val="0"/>
    <w:pPr>
      <w:pBdr>
        <w:top w:val="single" w:color="auto" w:sz="12" w:space="0"/>
      </w:pBdr>
      <w:spacing w:before="360" w:after="240"/>
    </w:pPr>
    <w:rPr>
      <w:rFonts w:eastAsia="MS Mincho"/>
      <w:b/>
      <w:i/>
      <w:sz w:val="26"/>
    </w:rPr>
  </w:style>
  <w:style w:type="paragraph" w:styleId="47">
    <w:name w:val="Subtitle"/>
    <w:basedOn w:val="1"/>
    <w:next w:val="1"/>
    <w:link w:val="99"/>
    <w:qFormat/>
    <w:uiPriority w:val="11"/>
    <w:pPr>
      <w:spacing w:before="240" w:after="60" w:line="312" w:lineRule="auto"/>
      <w:jc w:val="center"/>
      <w:outlineLvl w:val="1"/>
    </w:pPr>
    <w:rPr>
      <w:rFonts w:ascii="Calibri Light" w:hAnsi="Calibri Light"/>
      <w:b/>
      <w:bCs/>
      <w:kern w:val="28"/>
      <w:sz w:val="32"/>
      <w:szCs w:val="32"/>
    </w:rPr>
  </w:style>
  <w:style w:type="paragraph" w:styleId="48">
    <w:name w:val="List Number 5"/>
    <w:basedOn w:val="1"/>
    <w:qFormat/>
    <w:uiPriority w:val="0"/>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49">
    <w:name w:val="footnote text"/>
    <w:basedOn w:val="1"/>
    <w:link w:val="100"/>
    <w:qFormat/>
    <w:uiPriority w:val="0"/>
    <w:pPr>
      <w:keepLines/>
      <w:spacing w:after="0"/>
      <w:ind w:left="454" w:hanging="454"/>
    </w:pPr>
    <w:rPr>
      <w:sz w:val="16"/>
    </w:rPr>
  </w:style>
  <w:style w:type="paragraph" w:styleId="50">
    <w:name w:val="List 5"/>
    <w:basedOn w:val="51"/>
    <w:qFormat/>
    <w:uiPriority w:val="0"/>
    <w:pPr>
      <w:ind w:left="1702"/>
    </w:pPr>
  </w:style>
  <w:style w:type="paragraph" w:styleId="51">
    <w:name w:val="List 4"/>
    <w:basedOn w:val="12"/>
    <w:qFormat/>
    <w:uiPriority w:val="0"/>
    <w:pPr>
      <w:ind w:left="1418"/>
    </w:pPr>
  </w:style>
  <w:style w:type="paragraph" w:styleId="52">
    <w:name w:val="toc 9"/>
    <w:basedOn w:val="39"/>
    <w:next w:val="1"/>
    <w:qFormat/>
    <w:uiPriority w:val="39"/>
    <w:pPr>
      <w:ind w:left="1418" w:hanging="1418"/>
    </w:pPr>
  </w:style>
  <w:style w:type="paragraph" w:styleId="53">
    <w:name w:val="Body Text 2"/>
    <w:basedOn w:val="1"/>
    <w:link w:val="101"/>
    <w:qFormat/>
    <w:uiPriority w:val="0"/>
    <w:pPr>
      <w:spacing w:after="0"/>
      <w:jc w:val="both"/>
    </w:pPr>
    <w:rPr>
      <w:rFonts w:eastAsia="MS Mincho"/>
      <w:sz w:val="24"/>
    </w:rPr>
  </w:style>
  <w:style w:type="paragraph" w:styleId="54">
    <w:name w:val="Normal (Web)"/>
    <w:basedOn w:val="1"/>
    <w:unhideWhenUsed/>
    <w:qFormat/>
    <w:uiPriority w:val="0"/>
    <w:pPr>
      <w:spacing w:before="100" w:beforeAutospacing="1" w:after="100" w:afterAutospacing="1"/>
    </w:pPr>
    <w:rPr>
      <w:rFonts w:eastAsia="宋体"/>
      <w:sz w:val="24"/>
      <w:szCs w:val="24"/>
      <w:lang w:val="en-US"/>
    </w:rPr>
  </w:style>
  <w:style w:type="paragraph" w:styleId="55">
    <w:name w:val="index 1"/>
    <w:basedOn w:val="1"/>
    <w:next w:val="1"/>
    <w:qFormat/>
    <w:uiPriority w:val="0"/>
    <w:pPr>
      <w:keepLines/>
      <w:spacing w:after="0"/>
    </w:pPr>
  </w:style>
  <w:style w:type="paragraph" w:styleId="56">
    <w:name w:val="index 2"/>
    <w:basedOn w:val="55"/>
    <w:next w:val="1"/>
    <w:qFormat/>
    <w:uiPriority w:val="0"/>
    <w:pPr>
      <w:ind w:left="284"/>
    </w:pPr>
  </w:style>
  <w:style w:type="paragraph" w:styleId="57">
    <w:name w:val="Title"/>
    <w:basedOn w:val="1"/>
    <w:next w:val="1"/>
    <w:link w:val="102"/>
    <w:qFormat/>
    <w:uiPriority w:val="0"/>
    <w:pPr>
      <w:overflowPunct w:val="0"/>
      <w:autoSpaceDE w:val="0"/>
      <w:autoSpaceDN w:val="0"/>
      <w:adjustRightInd w:val="0"/>
      <w:spacing w:before="240" w:after="60"/>
      <w:textAlignment w:val="baseline"/>
      <w:outlineLvl w:val="0"/>
    </w:pPr>
    <w:rPr>
      <w:rFonts w:ascii="Courier New" w:hAnsi="Courier New"/>
      <w:lang w:val="nb-NO"/>
    </w:rPr>
  </w:style>
  <w:style w:type="paragraph" w:styleId="58">
    <w:name w:val="annotation subject"/>
    <w:basedOn w:val="31"/>
    <w:next w:val="31"/>
    <w:link w:val="103"/>
    <w:qFormat/>
    <w:uiPriority w:val="0"/>
    <w:rPr>
      <w:b/>
      <w:bCs/>
    </w:rPr>
  </w:style>
  <w:style w:type="table" w:styleId="60">
    <w:name w:val="Table Grid"/>
    <w:basedOn w:val="59"/>
    <w:qFormat/>
    <w:uiPriority w:val="59"/>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2">
    <w:name w:val="Strong"/>
    <w:qFormat/>
    <w:uiPriority w:val="0"/>
    <w:rPr>
      <w:b/>
      <w:bCs/>
    </w:rPr>
  </w:style>
  <w:style w:type="character" w:styleId="63">
    <w:name w:val="endnote reference"/>
    <w:qFormat/>
    <w:uiPriority w:val="0"/>
    <w:rPr>
      <w:vertAlign w:val="superscript"/>
    </w:rPr>
  </w:style>
  <w:style w:type="character" w:styleId="64">
    <w:name w:val="page number"/>
    <w:basedOn w:val="61"/>
    <w:qFormat/>
    <w:uiPriority w:val="0"/>
  </w:style>
  <w:style w:type="character" w:styleId="65">
    <w:name w:val="FollowedHyperlink"/>
    <w:qFormat/>
    <w:uiPriority w:val="99"/>
    <w:rPr>
      <w:color w:val="800080"/>
      <w:u w:val="single"/>
    </w:rPr>
  </w:style>
  <w:style w:type="character" w:styleId="66">
    <w:name w:val="Emphasis"/>
    <w:basedOn w:val="61"/>
    <w:qFormat/>
    <w:uiPriority w:val="20"/>
    <w:rPr>
      <w:i/>
      <w:iCs/>
    </w:rPr>
  </w:style>
  <w:style w:type="character" w:styleId="67">
    <w:name w:val="HTML Acronym"/>
    <w:unhideWhenUsed/>
    <w:qFormat/>
    <w:uiPriority w:val="99"/>
  </w:style>
  <w:style w:type="character" w:styleId="68">
    <w:name w:val="Hyperlink"/>
    <w:qFormat/>
    <w:uiPriority w:val="0"/>
    <w:rPr>
      <w:color w:val="0000FF"/>
      <w:u w:val="single"/>
    </w:rPr>
  </w:style>
  <w:style w:type="character" w:styleId="69">
    <w:name w:val="annotation reference"/>
    <w:qFormat/>
    <w:uiPriority w:val="0"/>
    <w:rPr>
      <w:sz w:val="16"/>
    </w:rPr>
  </w:style>
  <w:style w:type="character" w:styleId="70">
    <w:name w:val="footnote reference"/>
    <w:qFormat/>
    <w:uiPriority w:val="0"/>
    <w:rPr>
      <w:b/>
      <w:position w:val="6"/>
      <w:sz w:val="16"/>
    </w:rPr>
  </w:style>
  <w:style w:type="character" w:customStyle="1" w:styleId="71">
    <w:name w:val="Heading 1 Char"/>
    <w:link w:val="2"/>
    <w:qFormat/>
    <w:uiPriority w:val="0"/>
    <w:rPr>
      <w:rFonts w:ascii="Arial" w:hAnsi="Arial"/>
      <w:sz w:val="36"/>
      <w:lang w:val="en-GB" w:eastAsia="en-US" w:bidi="ar-SA"/>
    </w:rPr>
  </w:style>
  <w:style w:type="character" w:customStyle="1" w:styleId="72">
    <w:name w:val="Heading 2 Char"/>
    <w:link w:val="3"/>
    <w:uiPriority w:val="0"/>
    <w:rPr>
      <w:rFonts w:ascii="Arial" w:hAnsi="Arial"/>
      <w:sz w:val="32"/>
      <w:lang w:val="en-GB" w:eastAsia="en-US"/>
    </w:rPr>
  </w:style>
  <w:style w:type="character" w:customStyle="1" w:styleId="73">
    <w:name w:val="Heading 3 Char"/>
    <w:link w:val="4"/>
    <w:qFormat/>
    <w:locked/>
    <w:uiPriority w:val="0"/>
    <w:rPr>
      <w:rFonts w:ascii="Arial" w:hAnsi="Arial"/>
      <w:sz w:val="28"/>
      <w:lang w:val="en-GB" w:eastAsia="en-US"/>
    </w:rPr>
  </w:style>
  <w:style w:type="character" w:customStyle="1" w:styleId="74">
    <w:name w:val="Heading 4 Char"/>
    <w:link w:val="5"/>
    <w:qFormat/>
    <w:uiPriority w:val="0"/>
    <w:rPr>
      <w:rFonts w:ascii="Arial" w:hAnsi="Arial"/>
      <w:sz w:val="24"/>
      <w:lang w:val="en-GB" w:eastAsia="en-US"/>
    </w:rPr>
  </w:style>
  <w:style w:type="character" w:customStyle="1" w:styleId="75">
    <w:name w:val="Heading 5 Char"/>
    <w:link w:val="6"/>
    <w:qFormat/>
    <w:locked/>
    <w:uiPriority w:val="0"/>
    <w:rPr>
      <w:rFonts w:ascii="Arial" w:hAnsi="Arial"/>
      <w:sz w:val="22"/>
      <w:lang w:val="en-GB" w:eastAsia="en-US"/>
    </w:rPr>
  </w:style>
  <w:style w:type="character" w:customStyle="1" w:styleId="76">
    <w:name w:val="H6 Char"/>
    <w:link w:val="8"/>
    <w:uiPriority w:val="0"/>
    <w:rPr>
      <w:rFonts w:ascii="Arial" w:hAnsi="Arial"/>
      <w:lang w:val="en-GB" w:eastAsia="en-US"/>
    </w:rPr>
  </w:style>
  <w:style w:type="character" w:customStyle="1" w:styleId="77">
    <w:name w:val="Heading 6 Char"/>
    <w:link w:val="7"/>
    <w:qFormat/>
    <w:uiPriority w:val="0"/>
    <w:rPr>
      <w:rFonts w:ascii="Arial" w:hAnsi="Arial"/>
      <w:lang w:val="en-GB" w:eastAsia="en-US"/>
    </w:rPr>
  </w:style>
  <w:style w:type="character" w:customStyle="1" w:styleId="78">
    <w:name w:val="Heading 7 Char"/>
    <w:link w:val="9"/>
    <w:qFormat/>
    <w:uiPriority w:val="0"/>
    <w:rPr>
      <w:rFonts w:ascii="Arial" w:hAnsi="Arial"/>
      <w:lang w:val="en-GB" w:eastAsia="en-US"/>
    </w:rPr>
  </w:style>
  <w:style w:type="character" w:customStyle="1" w:styleId="79">
    <w:name w:val="Heading 8 Char"/>
    <w:link w:val="10"/>
    <w:uiPriority w:val="0"/>
    <w:rPr>
      <w:rFonts w:ascii="Arial" w:hAnsi="Arial"/>
      <w:sz w:val="36"/>
      <w:lang w:val="en-GB" w:eastAsia="en-US"/>
    </w:rPr>
  </w:style>
  <w:style w:type="character" w:customStyle="1" w:styleId="80">
    <w:name w:val="Heading 9 Char"/>
    <w:link w:val="11"/>
    <w:qFormat/>
    <w:uiPriority w:val="0"/>
    <w:rPr>
      <w:rFonts w:ascii="Arial" w:hAnsi="Arial"/>
      <w:sz w:val="36"/>
      <w:lang w:val="en-GB" w:eastAsia="en-US"/>
    </w:rPr>
  </w:style>
  <w:style w:type="character" w:customStyle="1" w:styleId="81">
    <w:name w:val="List Char"/>
    <w:link w:val="14"/>
    <w:uiPriority w:val="0"/>
    <w:rPr>
      <w:lang w:val="en-GB" w:eastAsia="en-US"/>
    </w:rPr>
  </w:style>
  <w:style w:type="character" w:customStyle="1" w:styleId="82">
    <w:name w:val="List 2 Char"/>
    <w:link w:val="13"/>
    <w:uiPriority w:val="0"/>
    <w:rPr>
      <w:lang w:val="en-GB" w:eastAsia="en-US"/>
    </w:rPr>
  </w:style>
  <w:style w:type="character" w:customStyle="1" w:styleId="83">
    <w:name w:val="List Bullet Char"/>
    <w:link w:val="27"/>
    <w:qFormat/>
    <w:uiPriority w:val="0"/>
    <w:rPr>
      <w:lang w:val="en-GB" w:eastAsia="en-US"/>
    </w:rPr>
  </w:style>
  <w:style w:type="character" w:customStyle="1" w:styleId="84">
    <w:name w:val="List Bullet 2 Char"/>
    <w:link w:val="26"/>
    <w:qFormat/>
    <w:uiPriority w:val="0"/>
    <w:rPr>
      <w:lang w:val="en-GB" w:eastAsia="en-US"/>
    </w:rPr>
  </w:style>
  <w:style w:type="character" w:customStyle="1" w:styleId="85">
    <w:name w:val="List Bullet 3 Char"/>
    <w:link w:val="25"/>
    <w:uiPriority w:val="0"/>
    <w:rPr>
      <w:lang w:val="en-GB" w:eastAsia="en-US"/>
    </w:rPr>
  </w:style>
  <w:style w:type="character" w:customStyle="1" w:styleId="86">
    <w:name w:val="Caption Char"/>
    <w:link w:val="29"/>
    <w:locked/>
    <w:uiPriority w:val="99"/>
    <w:rPr>
      <w:rFonts w:eastAsia="MS Mincho"/>
      <w:b/>
      <w:lang w:val="en-GB" w:eastAsia="en-US"/>
    </w:rPr>
  </w:style>
  <w:style w:type="character" w:customStyle="1" w:styleId="87">
    <w:name w:val="Document Map Char"/>
    <w:link w:val="30"/>
    <w:qFormat/>
    <w:uiPriority w:val="0"/>
    <w:rPr>
      <w:rFonts w:ascii="Tahoma" w:hAnsi="Tahoma" w:cs="Tahoma"/>
      <w:shd w:val="clear" w:color="auto" w:fill="000080"/>
      <w:lang w:val="en-GB" w:eastAsia="en-US"/>
    </w:rPr>
  </w:style>
  <w:style w:type="character" w:customStyle="1" w:styleId="88">
    <w:name w:val="Comment Text Char"/>
    <w:link w:val="31"/>
    <w:qFormat/>
    <w:uiPriority w:val="99"/>
    <w:rPr>
      <w:lang w:val="en-GB" w:eastAsia="en-US"/>
    </w:rPr>
  </w:style>
  <w:style w:type="character" w:customStyle="1" w:styleId="89">
    <w:name w:val="Body Text 3 Char"/>
    <w:link w:val="32"/>
    <w:qFormat/>
    <w:uiPriority w:val="0"/>
    <w:rPr>
      <w:rFonts w:eastAsia="MS Mincho"/>
      <w:b/>
      <w:i/>
      <w:lang w:val="en-GB" w:eastAsia="en-US"/>
    </w:rPr>
  </w:style>
  <w:style w:type="character" w:customStyle="1" w:styleId="90">
    <w:name w:val="Body Text Char"/>
    <w:link w:val="33"/>
    <w:qFormat/>
    <w:uiPriority w:val="0"/>
    <w:rPr>
      <w:rFonts w:eastAsia="MS Mincho"/>
      <w:sz w:val="24"/>
      <w:lang w:val="en-GB" w:eastAsia="en-US"/>
    </w:rPr>
  </w:style>
  <w:style w:type="character" w:customStyle="1" w:styleId="91">
    <w:name w:val="Body Text Indent Char"/>
    <w:link w:val="34"/>
    <w:qFormat/>
    <w:uiPriority w:val="0"/>
    <w:rPr>
      <w:rFonts w:eastAsia="MS Mincho"/>
      <w:i/>
      <w:sz w:val="22"/>
      <w:lang w:val="en-GB" w:eastAsia="en-US"/>
    </w:rPr>
  </w:style>
  <w:style w:type="character" w:customStyle="1" w:styleId="92">
    <w:name w:val="Plain Text Char"/>
    <w:link w:val="36"/>
    <w:qFormat/>
    <w:uiPriority w:val="99"/>
    <w:rPr>
      <w:rFonts w:ascii="Courier New" w:hAnsi="Courier New" w:eastAsia="MS Mincho"/>
      <w:lang w:val="en-GB" w:eastAsia="en-US"/>
    </w:rPr>
  </w:style>
  <w:style w:type="character" w:customStyle="1" w:styleId="93">
    <w:name w:val="Date Char"/>
    <w:link w:val="40"/>
    <w:qFormat/>
    <w:uiPriority w:val="0"/>
    <w:rPr>
      <w:lang w:val="en-GB" w:eastAsia="en-US"/>
    </w:rPr>
  </w:style>
  <w:style w:type="character" w:customStyle="1" w:styleId="94">
    <w:name w:val="Body Text Indent 2 Char"/>
    <w:link w:val="41"/>
    <w:qFormat/>
    <w:uiPriority w:val="0"/>
    <w:rPr>
      <w:rFonts w:eastAsia="MS Mincho"/>
      <w:lang w:val="en-GB" w:eastAsia="en-US"/>
    </w:rPr>
  </w:style>
  <w:style w:type="character" w:customStyle="1" w:styleId="95">
    <w:name w:val="Endnote Text Char"/>
    <w:link w:val="42"/>
    <w:qFormat/>
    <w:uiPriority w:val="0"/>
    <w:rPr>
      <w:rFonts w:eastAsia="宋体"/>
      <w:lang w:val="en-GB" w:eastAsia="en-US"/>
    </w:rPr>
  </w:style>
  <w:style w:type="character" w:customStyle="1" w:styleId="96">
    <w:name w:val="Balloon Text Char"/>
    <w:link w:val="43"/>
    <w:qFormat/>
    <w:uiPriority w:val="0"/>
    <w:rPr>
      <w:rFonts w:ascii="Tahoma" w:hAnsi="Tahoma" w:cs="Tahoma"/>
      <w:sz w:val="16"/>
      <w:szCs w:val="16"/>
      <w:lang w:val="en-GB" w:eastAsia="en-US"/>
    </w:rPr>
  </w:style>
  <w:style w:type="character" w:customStyle="1" w:styleId="97">
    <w:name w:val="Header Char"/>
    <w:link w:val="45"/>
    <w:qFormat/>
    <w:uiPriority w:val="0"/>
    <w:rPr>
      <w:rFonts w:ascii="Arial" w:hAnsi="Arial"/>
      <w:b/>
      <w:sz w:val="18"/>
      <w:lang w:val="en-GB" w:eastAsia="en-US" w:bidi="ar-SA"/>
    </w:rPr>
  </w:style>
  <w:style w:type="character" w:customStyle="1" w:styleId="98">
    <w:name w:val="Footer Char"/>
    <w:link w:val="44"/>
    <w:qFormat/>
    <w:uiPriority w:val="0"/>
    <w:rPr>
      <w:rFonts w:ascii="Arial" w:hAnsi="Arial"/>
      <w:b/>
      <w:i/>
      <w:sz w:val="18"/>
      <w:lang w:val="en-GB" w:eastAsia="en-US"/>
    </w:rPr>
  </w:style>
  <w:style w:type="character" w:customStyle="1" w:styleId="99">
    <w:name w:val="Subtitle Char"/>
    <w:link w:val="47"/>
    <w:qFormat/>
    <w:uiPriority w:val="11"/>
    <w:rPr>
      <w:rFonts w:ascii="Calibri Light" w:hAnsi="Calibri Light" w:cs="Times New Roman"/>
      <w:b/>
      <w:bCs/>
      <w:kern w:val="28"/>
      <w:sz w:val="32"/>
      <w:szCs w:val="32"/>
    </w:rPr>
  </w:style>
  <w:style w:type="character" w:customStyle="1" w:styleId="100">
    <w:name w:val="Footnote Text Char"/>
    <w:link w:val="49"/>
    <w:qFormat/>
    <w:uiPriority w:val="0"/>
    <w:rPr>
      <w:sz w:val="16"/>
      <w:lang w:val="en-GB" w:eastAsia="en-US"/>
    </w:rPr>
  </w:style>
  <w:style w:type="character" w:customStyle="1" w:styleId="101">
    <w:name w:val="Body Text 2 Char"/>
    <w:link w:val="53"/>
    <w:qFormat/>
    <w:uiPriority w:val="0"/>
    <w:rPr>
      <w:rFonts w:eastAsia="MS Mincho"/>
      <w:sz w:val="24"/>
      <w:lang w:val="en-GB" w:eastAsia="en-US"/>
    </w:rPr>
  </w:style>
  <w:style w:type="character" w:customStyle="1" w:styleId="102">
    <w:name w:val="Title Char"/>
    <w:link w:val="57"/>
    <w:qFormat/>
    <w:uiPriority w:val="0"/>
    <w:rPr>
      <w:rFonts w:ascii="Courier New" w:hAnsi="Courier New"/>
      <w:lang w:val="nb-NO" w:eastAsia="en-US"/>
    </w:rPr>
  </w:style>
  <w:style w:type="character" w:customStyle="1" w:styleId="103">
    <w:name w:val="Comment Subject Char"/>
    <w:link w:val="58"/>
    <w:uiPriority w:val="0"/>
    <w:rPr>
      <w:b/>
      <w:bCs/>
      <w:lang w:val="en-GB" w:eastAsia="en-US"/>
    </w:rPr>
  </w:style>
  <w:style w:type="character" w:customStyle="1" w:styleId="104">
    <w:name w:val="ZGSM"/>
    <w:qFormat/>
    <w:uiPriority w:val="0"/>
  </w:style>
  <w:style w:type="character" w:customStyle="1" w:styleId="105">
    <w:name w:val="TAH Car"/>
    <w:link w:val="106"/>
    <w:qFormat/>
    <w:uiPriority w:val="0"/>
    <w:rPr>
      <w:rFonts w:ascii="Arial" w:hAnsi="Arial"/>
      <w:b/>
      <w:sz w:val="18"/>
      <w:lang w:val="en-GB" w:eastAsia="en-US"/>
    </w:rPr>
  </w:style>
  <w:style w:type="paragraph" w:customStyle="1" w:styleId="106">
    <w:name w:val="TAH"/>
    <w:basedOn w:val="107"/>
    <w:link w:val="105"/>
    <w:qFormat/>
    <w:uiPriority w:val="0"/>
    <w:rPr>
      <w:b/>
    </w:rPr>
  </w:style>
  <w:style w:type="paragraph" w:customStyle="1" w:styleId="107">
    <w:name w:val="TAC"/>
    <w:basedOn w:val="108"/>
    <w:link w:val="110"/>
    <w:qFormat/>
    <w:uiPriority w:val="0"/>
    <w:pPr>
      <w:jc w:val="center"/>
    </w:pPr>
    <w:rPr>
      <w:rFonts w:eastAsia="Malgun Gothic"/>
    </w:rPr>
  </w:style>
  <w:style w:type="paragraph" w:customStyle="1" w:styleId="108">
    <w:name w:val="TAL"/>
    <w:basedOn w:val="1"/>
    <w:link w:val="109"/>
    <w:qFormat/>
    <w:uiPriority w:val="0"/>
    <w:pPr>
      <w:keepNext/>
      <w:keepLines/>
      <w:spacing w:after="0"/>
    </w:pPr>
    <w:rPr>
      <w:rFonts w:ascii="Arial" w:hAnsi="Arial" w:eastAsia="CG Times (WN)"/>
      <w:sz w:val="18"/>
    </w:rPr>
  </w:style>
  <w:style w:type="character" w:customStyle="1" w:styleId="109">
    <w:name w:val="TAL Car"/>
    <w:link w:val="108"/>
    <w:unhideWhenUsed/>
    <w:qFormat/>
    <w:uiPriority w:val="0"/>
    <w:rPr>
      <w:rFonts w:hint="default" w:ascii="Arial" w:hAnsi="Arial" w:eastAsia="CG Times (WN)"/>
      <w:sz w:val="18"/>
      <w:lang w:val="en-GB"/>
    </w:rPr>
  </w:style>
  <w:style w:type="character" w:customStyle="1" w:styleId="110">
    <w:name w:val="TAC Char"/>
    <w:link w:val="107"/>
    <w:qFormat/>
    <w:uiPriority w:val="0"/>
    <w:rPr>
      <w:rFonts w:ascii="Arial" w:hAnsi="Arial"/>
      <w:sz w:val="18"/>
      <w:lang w:val="en-GB" w:eastAsia="en-US"/>
    </w:rPr>
  </w:style>
  <w:style w:type="character" w:customStyle="1" w:styleId="111">
    <w:name w:val="TH Char"/>
    <w:link w:val="112"/>
    <w:qFormat/>
    <w:uiPriority w:val="0"/>
    <w:rPr>
      <w:rFonts w:ascii="Arial" w:hAnsi="Arial"/>
      <w:b/>
      <w:lang w:val="en-GB" w:eastAsia="en-US"/>
    </w:rPr>
  </w:style>
  <w:style w:type="paragraph" w:customStyle="1" w:styleId="112">
    <w:name w:val="TH"/>
    <w:basedOn w:val="1"/>
    <w:link w:val="111"/>
    <w:qFormat/>
    <w:uiPriority w:val="0"/>
    <w:pPr>
      <w:keepNext/>
      <w:keepLines/>
      <w:spacing w:before="60"/>
      <w:jc w:val="center"/>
    </w:pPr>
    <w:rPr>
      <w:rFonts w:ascii="Arial" w:hAnsi="Arial"/>
      <w:b/>
    </w:rPr>
  </w:style>
  <w:style w:type="paragraph" w:customStyle="1" w:styleId="113">
    <w:name w:val="Editor's Note"/>
    <w:basedOn w:val="114"/>
    <w:link w:val="116"/>
    <w:qFormat/>
    <w:uiPriority w:val="0"/>
    <w:rPr>
      <w:color w:val="FF0000"/>
    </w:rPr>
  </w:style>
  <w:style w:type="paragraph" w:customStyle="1" w:styleId="114">
    <w:name w:val="NO"/>
    <w:basedOn w:val="1"/>
    <w:link w:val="115"/>
    <w:qFormat/>
    <w:uiPriority w:val="0"/>
    <w:pPr>
      <w:keepLines/>
      <w:ind w:left="1135" w:hanging="851"/>
    </w:pPr>
  </w:style>
  <w:style w:type="character" w:customStyle="1" w:styleId="115">
    <w:name w:val="NO Char"/>
    <w:link w:val="114"/>
    <w:qFormat/>
    <w:uiPriority w:val="0"/>
    <w:rPr>
      <w:lang w:val="en-GB" w:eastAsia="en-US"/>
    </w:rPr>
  </w:style>
  <w:style w:type="character" w:customStyle="1" w:styleId="116">
    <w:name w:val="Editor's Note Char"/>
    <w:link w:val="113"/>
    <w:qFormat/>
    <w:uiPriority w:val="0"/>
    <w:rPr>
      <w:color w:val="FF0000"/>
      <w:lang w:val="en-GB" w:eastAsia="en-US"/>
    </w:rPr>
  </w:style>
  <w:style w:type="paragraph" w:customStyle="1" w:styleId="117">
    <w:name w:val="TAN"/>
    <w:basedOn w:val="108"/>
    <w:link w:val="118"/>
    <w:qFormat/>
    <w:uiPriority w:val="0"/>
    <w:pPr>
      <w:ind w:left="851" w:hanging="851"/>
    </w:pPr>
  </w:style>
  <w:style w:type="character" w:customStyle="1" w:styleId="118">
    <w:name w:val="TAN Char"/>
    <w:link w:val="117"/>
    <w:qFormat/>
    <w:uiPriority w:val="0"/>
    <w:rPr>
      <w:rFonts w:ascii="Arial" w:hAnsi="Arial" w:eastAsia="CG Times (WN)"/>
      <w:sz w:val="18"/>
      <w:lang w:val="en-GB"/>
    </w:rPr>
  </w:style>
  <w:style w:type="paragraph" w:customStyle="1" w:styleId="119">
    <w:name w:val="ZTD"/>
    <w:basedOn w:val="120"/>
    <w:qFormat/>
    <w:uiPriority w:val="0"/>
    <w:pPr>
      <w:framePr w:hRule="auto" w:y="852"/>
    </w:pPr>
    <w:rPr>
      <w:i w:val="0"/>
      <w:sz w:val="40"/>
    </w:rPr>
  </w:style>
  <w:style w:type="paragraph" w:customStyle="1" w:styleId="120">
    <w:name w:val="ZB"/>
    <w:qFormat/>
    <w:uiPriority w:val="0"/>
    <w:pPr>
      <w:framePr w:w="10206" w:h="284" w:hRule="exact" w:wrap="notBeside" w:vAnchor="page" w:hAnchor="margin" w:y="1986"/>
      <w:widowControl w:val="0"/>
      <w:ind w:right="28"/>
      <w:jc w:val="right"/>
    </w:pPr>
    <w:rPr>
      <w:rFonts w:ascii="Arial" w:hAnsi="Arial" w:eastAsia="Malgun Gothic" w:cs="Times New Roman"/>
      <w:i/>
      <w:lang w:val="en-GB" w:eastAsia="en-US" w:bidi="ar-SA"/>
    </w:rPr>
  </w:style>
  <w:style w:type="paragraph" w:customStyle="1" w:styleId="121">
    <w:name w:val="B5"/>
    <w:basedOn w:val="50"/>
    <w:link w:val="122"/>
    <w:qFormat/>
    <w:uiPriority w:val="0"/>
  </w:style>
  <w:style w:type="character" w:customStyle="1" w:styleId="122">
    <w:name w:val="B5 Char"/>
    <w:link w:val="121"/>
    <w:qFormat/>
    <w:uiPriority w:val="0"/>
    <w:rPr>
      <w:lang w:val="en-GB" w:eastAsia="en-US"/>
    </w:rPr>
  </w:style>
  <w:style w:type="paragraph" w:customStyle="1" w:styleId="123">
    <w:name w:val="B3"/>
    <w:basedOn w:val="12"/>
    <w:link w:val="124"/>
    <w:qFormat/>
    <w:uiPriority w:val="0"/>
  </w:style>
  <w:style w:type="character" w:customStyle="1" w:styleId="124">
    <w:name w:val="B3 Char2"/>
    <w:link w:val="123"/>
    <w:qFormat/>
    <w:uiPriority w:val="0"/>
    <w:rPr>
      <w:lang w:val="en-GB" w:eastAsia="en-US"/>
    </w:rPr>
  </w:style>
  <w:style w:type="paragraph" w:customStyle="1" w:styleId="125">
    <w:name w:val="ZV"/>
    <w:basedOn w:val="126"/>
    <w:qFormat/>
    <w:uiPriority w:val="0"/>
    <w:pPr>
      <w:framePr w:y="16161"/>
    </w:pPr>
  </w:style>
  <w:style w:type="paragraph" w:customStyle="1" w:styleId="126">
    <w:name w:val="ZU"/>
    <w:qFormat/>
    <w:uiPriority w:val="0"/>
    <w:pPr>
      <w:framePr w:w="10206" w:wrap="notBeside" w:vAnchor="page" w:hAnchor="margin" w:y="6238"/>
      <w:widowControl w:val="0"/>
      <w:pBdr>
        <w:top w:val="single" w:color="auto" w:sz="12" w:space="1"/>
      </w:pBdr>
      <w:jc w:val="right"/>
    </w:pPr>
    <w:rPr>
      <w:rFonts w:ascii="Arial" w:hAnsi="Arial" w:eastAsia="Malgun Gothic" w:cs="Times New Roman"/>
      <w:lang w:val="en-GB" w:eastAsia="en-US" w:bidi="ar-SA"/>
    </w:rPr>
  </w:style>
  <w:style w:type="paragraph" w:customStyle="1" w:styleId="127">
    <w:name w:val="TAR"/>
    <w:basedOn w:val="108"/>
    <w:qFormat/>
    <w:uiPriority w:val="0"/>
    <w:pPr>
      <w:jc w:val="right"/>
    </w:pPr>
  </w:style>
  <w:style w:type="paragraph" w:customStyle="1" w:styleId="128">
    <w:name w:val="B2"/>
    <w:basedOn w:val="13"/>
    <w:link w:val="129"/>
    <w:qFormat/>
    <w:uiPriority w:val="0"/>
  </w:style>
  <w:style w:type="character" w:customStyle="1" w:styleId="129">
    <w:name w:val="B2 Char"/>
    <w:link w:val="128"/>
    <w:qFormat/>
    <w:locked/>
    <w:uiPriority w:val="0"/>
    <w:rPr>
      <w:lang w:val="en-GB" w:eastAsia="en-US"/>
    </w:rPr>
  </w:style>
  <w:style w:type="paragraph" w:customStyle="1" w:styleId="130">
    <w:name w:val="CR Cover Page"/>
    <w:link w:val="131"/>
    <w:qFormat/>
    <w:uiPriority w:val="0"/>
    <w:pPr>
      <w:spacing w:after="120"/>
    </w:pPr>
    <w:rPr>
      <w:rFonts w:ascii="Arial" w:hAnsi="Arial" w:eastAsia="Malgun Gothic" w:cs="Times New Roman"/>
      <w:lang w:val="en-GB" w:eastAsia="en-US" w:bidi="ar-SA"/>
    </w:rPr>
  </w:style>
  <w:style w:type="character" w:customStyle="1" w:styleId="131">
    <w:name w:val="CR Cover Page Char"/>
    <w:link w:val="130"/>
    <w:qFormat/>
    <w:uiPriority w:val="0"/>
    <w:rPr>
      <w:rFonts w:ascii="Arial" w:hAnsi="Arial"/>
      <w:lang w:val="en-GB" w:eastAsia="en-US" w:bidi="ar-SA"/>
    </w:rPr>
  </w:style>
  <w:style w:type="paragraph" w:customStyle="1" w:styleId="132">
    <w:name w:val="NW"/>
    <w:basedOn w:val="114"/>
    <w:qFormat/>
    <w:uiPriority w:val="0"/>
    <w:pPr>
      <w:spacing w:after="0"/>
    </w:pPr>
  </w:style>
  <w:style w:type="paragraph" w:customStyle="1" w:styleId="133">
    <w:name w:val="EX"/>
    <w:basedOn w:val="1"/>
    <w:link w:val="134"/>
    <w:qFormat/>
    <w:uiPriority w:val="0"/>
    <w:pPr>
      <w:keepLines/>
      <w:ind w:left="1702" w:hanging="1418"/>
    </w:pPr>
  </w:style>
  <w:style w:type="character" w:customStyle="1" w:styleId="134">
    <w:name w:val="EX Char"/>
    <w:link w:val="133"/>
    <w:qFormat/>
    <w:uiPriority w:val="0"/>
    <w:rPr>
      <w:lang w:val="en-GB" w:eastAsia="en-US"/>
    </w:rPr>
  </w:style>
  <w:style w:type="paragraph" w:customStyle="1" w:styleId="135">
    <w:name w:val="B1"/>
    <w:basedOn w:val="14"/>
    <w:link w:val="136"/>
    <w:qFormat/>
    <w:uiPriority w:val="0"/>
  </w:style>
  <w:style w:type="character" w:customStyle="1" w:styleId="136">
    <w:name w:val="B1 Char"/>
    <w:link w:val="135"/>
    <w:qFormat/>
    <w:uiPriority w:val="0"/>
    <w:rPr>
      <w:lang w:val="en-GB" w:eastAsia="en-US"/>
    </w:rPr>
  </w:style>
  <w:style w:type="paragraph" w:customStyle="1" w:styleId="137">
    <w:name w:val="FP"/>
    <w:basedOn w:val="1"/>
    <w:qFormat/>
    <w:uiPriority w:val="0"/>
    <w:pPr>
      <w:spacing w:after="0"/>
    </w:pPr>
  </w:style>
  <w:style w:type="paragraph" w:customStyle="1" w:styleId="138">
    <w:name w:val="ZT"/>
    <w:qFormat/>
    <w:uiPriority w:val="0"/>
    <w:pPr>
      <w:framePr w:wrap="notBeside" w:vAnchor="margin" w:hAnchor="margin" w:yAlign="center"/>
      <w:widowControl w:val="0"/>
      <w:spacing w:line="240" w:lineRule="atLeast"/>
      <w:jc w:val="right"/>
    </w:pPr>
    <w:rPr>
      <w:rFonts w:ascii="Arial" w:hAnsi="Arial" w:eastAsia="Malgun Gothic" w:cs="Times New Roman"/>
      <w:b/>
      <w:sz w:val="34"/>
      <w:lang w:val="en-GB" w:eastAsia="en-US" w:bidi="ar-SA"/>
    </w:rPr>
  </w:style>
  <w:style w:type="paragraph" w:customStyle="1" w:styleId="139">
    <w:name w:val="LD"/>
    <w:qFormat/>
    <w:uiPriority w:val="0"/>
    <w:pPr>
      <w:keepNext/>
      <w:keepLines/>
      <w:spacing w:line="180" w:lineRule="exact"/>
    </w:pPr>
    <w:rPr>
      <w:rFonts w:ascii="MS LineDraw" w:hAnsi="MS LineDraw" w:eastAsia="Malgun Gothic" w:cs="Times New Roman"/>
      <w:lang w:val="en-GB" w:eastAsia="en-US" w:bidi="ar-SA"/>
    </w:rPr>
  </w:style>
  <w:style w:type="paragraph" w:customStyle="1" w:styleId="140">
    <w:name w:val="NF"/>
    <w:basedOn w:val="114"/>
    <w:uiPriority w:val="0"/>
    <w:pPr>
      <w:keepNext/>
      <w:spacing w:after="0"/>
    </w:pPr>
    <w:rPr>
      <w:rFonts w:ascii="Arial" w:hAnsi="Arial"/>
      <w:sz w:val="18"/>
    </w:rPr>
  </w:style>
  <w:style w:type="paragraph" w:customStyle="1" w:styleId="141">
    <w:name w:val="Guidance"/>
    <w:basedOn w:val="1"/>
    <w:unhideWhenUsed/>
    <w:qFormat/>
    <w:uiPriority w:val="0"/>
    <w:rPr>
      <w:rFonts w:hint="eastAsia" w:eastAsia="Times New Roman"/>
      <w:i/>
      <w:color w:val="0000FF"/>
    </w:rPr>
  </w:style>
  <w:style w:type="paragraph" w:customStyle="1" w:styleId="142">
    <w:name w:val="B4"/>
    <w:basedOn w:val="51"/>
    <w:link w:val="143"/>
    <w:qFormat/>
    <w:uiPriority w:val="0"/>
  </w:style>
  <w:style w:type="character" w:customStyle="1" w:styleId="143">
    <w:name w:val="B4 Char"/>
    <w:link w:val="142"/>
    <w:qFormat/>
    <w:uiPriority w:val="0"/>
    <w:rPr>
      <w:lang w:val="en-GB" w:eastAsia="en-US"/>
    </w:rPr>
  </w:style>
  <w:style w:type="paragraph" w:customStyle="1" w:styleId="144">
    <w:name w:val="TT"/>
    <w:basedOn w:val="2"/>
    <w:next w:val="1"/>
    <w:qFormat/>
    <w:uiPriority w:val="0"/>
    <w:pPr>
      <w:outlineLvl w:val="9"/>
    </w:pPr>
  </w:style>
  <w:style w:type="paragraph" w:customStyle="1" w:styleId="145">
    <w:name w:val="tdoc-header"/>
    <w:qFormat/>
    <w:uiPriority w:val="0"/>
    <w:rPr>
      <w:rFonts w:ascii="Arial" w:hAnsi="Arial" w:eastAsia="Malgun Gothic" w:cs="Times New Roman"/>
      <w:sz w:val="24"/>
      <w:lang w:val="en-GB" w:eastAsia="en-US" w:bidi="ar-SA"/>
    </w:rPr>
  </w:style>
  <w:style w:type="paragraph" w:customStyle="1" w:styleId="146">
    <w:name w:val="ZD"/>
    <w:qFormat/>
    <w:uiPriority w:val="0"/>
    <w:pPr>
      <w:framePr w:wrap="notBeside" w:vAnchor="page" w:hAnchor="margin" w:y="15764"/>
      <w:widowControl w:val="0"/>
    </w:pPr>
    <w:rPr>
      <w:rFonts w:ascii="Arial" w:hAnsi="Arial" w:eastAsia="Malgun Gothic" w:cs="Times New Roman"/>
      <w:sz w:val="32"/>
      <w:lang w:val="en-GB" w:eastAsia="en-US" w:bidi="ar-SA"/>
    </w:rPr>
  </w:style>
  <w:style w:type="paragraph" w:customStyle="1" w:styleId="147">
    <w:name w:val="EQ"/>
    <w:basedOn w:val="1"/>
    <w:next w:val="1"/>
    <w:link w:val="148"/>
    <w:qFormat/>
    <w:uiPriority w:val="0"/>
    <w:pPr>
      <w:keepLines/>
      <w:tabs>
        <w:tab w:val="center" w:pos="4536"/>
        <w:tab w:val="right" w:pos="9072"/>
      </w:tabs>
    </w:pPr>
    <w:rPr>
      <w:lang w:eastAsia="zh-CN"/>
    </w:rPr>
  </w:style>
  <w:style w:type="character" w:customStyle="1" w:styleId="148">
    <w:name w:val="EQ Char"/>
    <w:link w:val="147"/>
    <w:qFormat/>
    <w:uiPriority w:val="0"/>
    <w:rPr>
      <w:lang w:val="en-GB" w:eastAsia="zh-CN"/>
    </w:rPr>
  </w:style>
  <w:style w:type="paragraph" w:customStyle="1" w:styleId="149">
    <w:name w:val="ZH"/>
    <w:uiPriority w:val="0"/>
    <w:pPr>
      <w:framePr w:wrap="notBeside" w:vAnchor="page" w:hAnchor="margin" w:xAlign="center" w:y="6805"/>
      <w:widowControl w:val="0"/>
    </w:pPr>
    <w:rPr>
      <w:rFonts w:ascii="Arial" w:hAnsi="Arial" w:eastAsia="Malgun Gothic" w:cs="Times New Roman"/>
      <w:lang w:val="en-GB" w:eastAsia="en-US" w:bidi="ar-SA"/>
    </w:rPr>
  </w:style>
  <w:style w:type="paragraph" w:customStyle="1" w:styleId="150">
    <w:name w:val="ZA"/>
    <w:qFormat/>
    <w:uiPriority w:val="0"/>
    <w:pPr>
      <w:framePr w:w="10206" w:h="794" w:hRule="exact" w:wrap="notBeside" w:vAnchor="page" w:hAnchor="margin" w:y="1135"/>
      <w:widowControl w:val="0"/>
      <w:pBdr>
        <w:bottom w:val="single" w:color="auto" w:sz="12" w:space="1"/>
      </w:pBdr>
      <w:jc w:val="right"/>
    </w:pPr>
    <w:rPr>
      <w:rFonts w:ascii="Arial" w:hAnsi="Arial" w:eastAsia="Malgun Gothic" w:cs="Times New Roman"/>
      <w:sz w:val="40"/>
      <w:lang w:val="en-GB" w:eastAsia="en-US" w:bidi="ar-SA"/>
    </w:rPr>
  </w:style>
  <w:style w:type="paragraph" w:customStyle="1" w:styleId="151">
    <w:name w:val="EW"/>
    <w:basedOn w:val="133"/>
    <w:qFormat/>
    <w:uiPriority w:val="0"/>
    <w:pPr>
      <w:spacing w:after="0"/>
    </w:pPr>
  </w:style>
  <w:style w:type="paragraph" w:customStyle="1" w:styleId="152">
    <w:name w:val="ZG"/>
    <w:qFormat/>
    <w:uiPriority w:val="0"/>
    <w:pPr>
      <w:framePr w:wrap="notBeside" w:vAnchor="page" w:hAnchor="margin" w:xAlign="right" w:y="6805"/>
      <w:widowControl w:val="0"/>
      <w:jc w:val="right"/>
    </w:pPr>
    <w:rPr>
      <w:rFonts w:ascii="Arial" w:hAnsi="Arial" w:eastAsia="Malgun Gothic" w:cs="Times New Roman"/>
      <w:lang w:val="en-GB" w:eastAsia="en-US" w:bidi="ar-SA"/>
    </w:rPr>
  </w:style>
  <w:style w:type="paragraph" w:customStyle="1" w:styleId="153">
    <w:name w:val="TF"/>
    <w:basedOn w:val="112"/>
    <w:link w:val="154"/>
    <w:qFormat/>
    <w:uiPriority w:val="0"/>
    <w:pPr>
      <w:keepNext w:val="0"/>
      <w:spacing w:before="0" w:after="240"/>
    </w:pPr>
  </w:style>
  <w:style w:type="character" w:customStyle="1" w:styleId="154">
    <w:name w:val="TF Char"/>
    <w:link w:val="153"/>
    <w:qFormat/>
    <w:uiPriority w:val="0"/>
    <w:rPr>
      <w:rFonts w:ascii="Arial" w:hAnsi="Arial"/>
      <w:b/>
      <w:lang w:val="en-GB" w:eastAsia="en-US"/>
    </w:rPr>
  </w:style>
  <w:style w:type="paragraph" w:customStyle="1" w:styleId="155">
    <w:name w:val="PL"/>
    <w:link w:val="156"/>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Malgun Gothic" w:cs="Times New Roman"/>
      <w:sz w:val="16"/>
      <w:lang w:val="en-GB" w:eastAsia="en-US" w:bidi="ar-SA"/>
    </w:rPr>
  </w:style>
  <w:style w:type="character" w:customStyle="1" w:styleId="156">
    <w:name w:val="PL Char"/>
    <w:link w:val="155"/>
    <w:qFormat/>
    <w:uiPriority w:val="0"/>
    <w:rPr>
      <w:rFonts w:ascii="Courier New" w:hAnsi="Courier New"/>
      <w:sz w:val="16"/>
      <w:lang w:val="en-GB" w:eastAsia="en-US" w:bidi="ar-SA"/>
    </w:rPr>
  </w:style>
  <w:style w:type="paragraph" w:customStyle="1" w:styleId="157">
    <w:name w:val="TAJ"/>
    <w:basedOn w:val="112"/>
    <w:qFormat/>
    <w:uiPriority w:val="0"/>
    <w:rPr>
      <w:rFonts w:eastAsia="宋体"/>
    </w:rPr>
  </w:style>
  <w:style w:type="paragraph" w:customStyle="1" w:styleId="158">
    <w:name w:val="TabList"/>
    <w:basedOn w:val="1"/>
    <w:qFormat/>
    <w:uiPriority w:val="0"/>
    <w:pPr>
      <w:tabs>
        <w:tab w:val="left" w:pos="1134"/>
      </w:tabs>
      <w:spacing w:after="0"/>
    </w:pPr>
    <w:rPr>
      <w:rFonts w:eastAsia="MS Mincho"/>
    </w:rPr>
  </w:style>
  <w:style w:type="paragraph" w:customStyle="1" w:styleId="159">
    <w:name w:val="table text"/>
    <w:basedOn w:val="1"/>
    <w:next w:val="160"/>
    <w:qFormat/>
    <w:uiPriority w:val="0"/>
    <w:pPr>
      <w:spacing w:after="0"/>
    </w:pPr>
    <w:rPr>
      <w:rFonts w:eastAsia="MS Mincho"/>
      <w:i/>
    </w:rPr>
  </w:style>
  <w:style w:type="paragraph" w:customStyle="1" w:styleId="160">
    <w:name w:val="table"/>
    <w:basedOn w:val="1"/>
    <w:next w:val="1"/>
    <w:qFormat/>
    <w:uiPriority w:val="0"/>
    <w:pPr>
      <w:spacing w:after="0"/>
      <w:jc w:val="center"/>
    </w:pPr>
    <w:rPr>
      <w:rFonts w:eastAsia="MS Mincho"/>
      <w:lang w:val="en-US"/>
    </w:rPr>
  </w:style>
  <w:style w:type="paragraph" w:customStyle="1" w:styleId="161">
    <w:name w:val="HE"/>
    <w:basedOn w:val="1"/>
    <w:qFormat/>
    <w:uiPriority w:val="0"/>
    <w:pPr>
      <w:spacing w:after="0"/>
    </w:pPr>
    <w:rPr>
      <w:rFonts w:eastAsia="MS Mincho"/>
      <w:b/>
    </w:rPr>
  </w:style>
  <w:style w:type="paragraph" w:customStyle="1" w:styleId="162">
    <w:name w:val="text"/>
    <w:basedOn w:val="1"/>
    <w:qFormat/>
    <w:uiPriority w:val="0"/>
    <w:pPr>
      <w:widowControl w:val="0"/>
      <w:spacing w:after="240"/>
      <w:jc w:val="both"/>
    </w:pPr>
    <w:rPr>
      <w:rFonts w:eastAsia="MS Mincho"/>
      <w:sz w:val="24"/>
      <w:lang w:val="en-AU"/>
    </w:rPr>
  </w:style>
  <w:style w:type="paragraph" w:customStyle="1" w:styleId="163">
    <w:name w:val="Reference"/>
    <w:basedOn w:val="133"/>
    <w:qFormat/>
    <w:uiPriority w:val="0"/>
    <w:pPr>
      <w:tabs>
        <w:tab w:val="left" w:pos="567"/>
      </w:tabs>
      <w:ind w:left="567" w:hanging="567"/>
    </w:pPr>
    <w:rPr>
      <w:rFonts w:eastAsia="MS Mincho"/>
    </w:rPr>
  </w:style>
  <w:style w:type="paragraph" w:customStyle="1" w:styleId="164">
    <w:name w:val="Überschrift 1.H1"/>
    <w:basedOn w:val="1"/>
    <w:next w:val="1"/>
    <w:qFormat/>
    <w:uiPriority w:val="0"/>
    <w:pPr>
      <w:keepNext/>
      <w:keepLines/>
      <w:pBdr>
        <w:top w:val="single" w:color="auto" w:sz="12" w:space="3"/>
      </w:pBdr>
      <w:tabs>
        <w:tab w:val="left" w:pos="735"/>
      </w:tabs>
      <w:spacing w:before="240"/>
      <w:ind w:left="735" w:hanging="735"/>
      <w:outlineLvl w:val="0"/>
    </w:pPr>
    <w:rPr>
      <w:rFonts w:ascii="Arial" w:hAnsi="Arial" w:eastAsia="MS Mincho"/>
      <w:sz w:val="36"/>
      <w:lang w:eastAsia="de-DE"/>
    </w:rPr>
  </w:style>
  <w:style w:type="paragraph" w:customStyle="1" w:styleId="165">
    <w:name w:val="CR_front"/>
    <w:qFormat/>
    <w:uiPriority w:val="0"/>
    <w:rPr>
      <w:rFonts w:ascii="Arial" w:hAnsi="Arial" w:eastAsia="MS Mincho" w:cs="Times New Roman"/>
      <w:lang w:val="en-GB" w:eastAsia="en-US" w:bidi="ar-SA"/>
    </w:rPr>
  </w:style>
  <w:style w:type="paragraph" w:customStyle="1" w:styleId="166">
    <w:name w:val="text intend 1"/>
    <w:basedOn w:val="162"/>
    <w:qFormat/>
    <w:uiPriority w:val="0"/>
    <w:pPr>
      <w:widowControl/>
      <w:tabs>
        <w:tab w:val="left" w:pos="992"/>
      </w:tabs>
      <w:spacing w:after="120"/>
      <w:ind w:left="992" w:hanging="425"/>
    </w:pPr>
    <w:rPr>
      <w:lang w:val="en-US"/>
    </w:rPr>
  </w:style>
  <w:style w:type="paragraph" w:customStyle="1" w:styleId="167">
    <w:name w:val="text intend 2"/>
    <w:basedOn w:val="162"/>
    <w:qFormat/>
    <w:uiPriority w:val="0"/>
    <w:pPr>
      <w:widowControl/>
      <w:tabs>
        <w:tab w:val="left" w:pos="1418"/>
      </w:tabs>
      <w:spacing w:after="120"/>
      <w:ind w:left="1418" w:hanging="426"/>
    </w:pPr>
    <w:rPr>
      <w:lang w:val="en-US"/>
    </w:rPr>
  </w:style>
  <w:style w:type="paragraph" w:customStyle="1" w:styleId="168">
    <w:name w:val="text intend 3"/>
    <w:basedOn w:val="162"/>
    <w:qFormat/>
    <w:uiPriority w:val="0"/>
    <w:pPr>
      <w:widowControl/>
      <w:tabs>
        <w:tab w:val="left" w:pos="1843"/>
      </w:tabs>
      <w:spacing w:after="120"/>
      <w:ind w:left="1843" w:hanging="425"/>
    </w:pPr>
    <w:rPr>
      <w:lang w:val="en-US"/>
    </w:rPr>
  </w:style>
  <w:style w:type="paragraph" w:customStyle="1" w:styleId="169">
    <w:name w:val="normal puce"/>
    <w:basedOn w:val="1"/>
    <w:qFormat/>
    <w:uiPriority w:val="0"/>
    <w:pPr>
      <w:widowControl w:val="0"/>
      <w:tabs>
        <w:tab w:val="left" w:pos="360"/>
      </w:tabs>
      <w:spacing w:before="60" w:after="60"/>
      <w:ind w:left="360" w:hanging="360"/>
      <w:jc w:val="both"/>
    </w:pPr>
    <w:rPr>
      <w:rFonts w:eastAsia="MS Mincho"/>
    </w:rPr>
  </w:style>
  <w:style w:type="paragraph" w:customStyle="1" w:styleId="170">
    <w:name w:val="para"/>
    <w:basedOn w:val="1"/>
    <w:qFormat/>
    <w:uiPriority w:val="0"/>
    <w:pPr>
      <w:spacing w:after="240"/>
      <w:jc w:val="both"/>
    </w:pPr>
    <w:rPr>
      <w:rFonts w:ascii="Helvetica" w:hAnsi="Helvetica" w:eastAsia="MS Mincho"/>
    </w:rPr>
  </w:style>
  <w:style w:type="character" w:customStyle="1" w:styleId="171">
    <w:name w:val="MTEquationSection"/>
    <w:qFormat/>
    <w:uiPriority w:val="0"/>
    <w:rPr>
      <w:color w:val="FF0000"/>
      <w:lang w:eastAsia="en-US"/>
    </w:rPr>
  </w:style>
  <w:style w:type="paragraph" w:customStyle="1" w:styleId="172">
    <w:name w:val="MTDisplayEquation"/>
    <w:basedOn w:val="1"/>
    <w:qFormat/>
    <w:uiPriority w:val="0"/>
    <w:pPr>
      <w:tabs>
        <w:tab w:val="center" w:pos="4820"/>
        <w:tab w:val="right" w:pos="9640"/>
      </w:tabs>
    </w:pPr>
    <w:rPr>
      <w:rFonts w:eastAsia="MS Mincho"/>
    </w:rPr>
  </w:style>
  <w:style w:type="paragraph" w:customStyle="1" w:styleId="173">
    <w:name w:val="List1"/>
    <w:basedOn w:val="1"/>
    <w:qFormat/>
    <w:uiPriority w:val="0"/>
    <w:pPr>
      <w:spacing w:before="120" w:after="0" w:line="280" w:lineRule="atLeast"/>
      <w:ind w:left="360" w:hanging="360"/>
      <w:jc w:val="both"/>
    </w:pPr>
    <w:rPr>
      <w:rFonts w:ascii="Bookman" w:hAnsi="Bookman" w:eastAsia="MS Mincho"/>
      <w:lang w:val="en-US"/>
    </w:rPr>
  </w:style>
  <w:style w:type="paragraph" w:customStyle="1" w:styleId="174">
    <w:name w:val="Tdoc_Text"/>
    <w:basedOn w:val="1"/>
    <w:qFormat/>
    <w:uiPriority w:val="0"/>
    <w:pPr>
      <w:spacing w:before="120" w:after="0"/>
      <w:jc w:val="both"/>
    </w:pPr>
    <w:rPr>
      <w:rFonts w:eastAsia="MS Mincho"/>
      <w:lang w:val="en-US"/>
    </w:rPr>
  </w:style>
  <w:style w:type="paragraph" w:customStyle="1" w:styleId="175">
    <w:name w:val="centered"/>
    <w:basedOn w:val="1"/>
    <w:qFormat/>
    <w:uiPriority w:val="0"/>
    <w:pPr>
      <w:widowControl w:val="0"/>
      <w:spacing w:before="120" w:after="0" w:line="280" w:lineRule="atLeast"/>
      <w:jc w:val="center"/>
    </w:pPr>
    <w:rPr>
      <w:rFonts w:ascii="Bookman" w:hAnsi="Bookman" w:eastAsia="MS Mincho"/>
      <w:lang w:val="en-US"/>
    </w:rPr>
  </w:style>
  <w:style w:type="character" w:customStyle="1" w:styleId="176">
    <w:name w:val="superscript"/>
    <w:qFormat/>
    <w:uiPriority w:val="0"/>
    <w:rPr>
      <w:rFonts w:ascii="Bookman" w:hAnsi="Bookman"/>
      <w:position w:val="6"/>
      <w:sz w:val="18"/>
    </w:rPr>
  </w:style>
  <w:style w:type="paragraph" w:customStyle="1" w:styleId="177">
    <w:name w:val="References"/>
    <w:basedOn w:val="1"/>
    <w:qFormat/>
    <w:uiPriority w:val="0"/>
    <w:pPr>
      <w:numPr>
        <w:ilvl w:val="0"/>
        <w:numId w:val="3"/>
      </w:numPr>
      <w:spacing w:after="80"/>
    </w:pPr>
    <w:rPr>
      <w:rFonts w:eastAsia="MS Mincho"/>
      <w:sz w:val="18"/>
      <w:lang w:val="en-US"/>
    </w:rPr>
  </w:style>
  <w:style w:type="paragraph" w:customStyle="1" w:styleId="178">
    <w:name w:val="Zchn Zchn"/>
    <w:semiHidden/>
    <w:qFormat/>
    <w:uiPriority w:val="0"/>
    <w:pPr>
      <w:keepNext/>
      <w:numPr>
        <w:ilvl w:val="0"/>
        <w:numId w:val="4"/>
      </w:numPr>
      <w:autoSpaceDE w:val="0"/>
      <w:autoSpaceDN w:val="0"/>
      <w:adjustRightInd w:val="0"/>
      <w:spacing w:before="60" w:after="60"/>
      <w:jc w:val="both"/>
    </w:pPr>
    <w:rPr>
      <w:rFonts w:ascii="Arial" w:hAnsi="Arial" w:eastAsia="宋体" w:cs="Arial"/>
      <w:color w:val="0000FF"/>
      <w:kern w:val="2"/>
      <w:lang w:val="en-US" w:eastAsia="zh-CN" w:bidi="ar-SA"/>
    </w:rPr>
  </w:style>
  <w:style w:type="character" w:customStyle="1" w:styleId="179">
    <w:name w:val="NO Char1"/>
    <w:qFormat/>
    <w:uiPriority w:val="0"/>
    <w:rPr>
      <w:rFonts w:eastAsia="MS Mincho"/>
      <w:lang w:val="en-GB" w:eastAsia="en-US" w:bidi="ar-SA"/>
    </w:rPr>
  </w:style>
  <w:style w:type="character" w:customStyle="1" w:styleId="180">
    <w:name w:val="B1 Char1"/>
    <w:qFormat/>
    <w:uiPriority w:val="0"/>
    <w:rPr>
      <w:rFonts w:eastAsia="MS Mincho"/>
      <w:lang w:val="en-GB" w:eastAsia="en-US" w:bidi="ar-SA"/>
    </w:rPr>
  </w:style>
  <w:style w:type="paragraph" w:customStyle="1" w:styleId="181">
    <w:name w:val="TableText"/>
    <w:basedOn w:val="34"/>
    <w:qFormat/>
    <w:uiPriority w:val="0"/>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182">
    <w:name w:val="msoins"/>
    <w:basedOn w:val="61"/>
    <w:qFormat/>
    <w:uiPriority w:val="0"/>
  </w:style>
  <w:style w:type="paragraph" w:customStyle="1" w:styleId="183">
    <w:name w:val="B1+"/>
    <w:basedOn w:val="135"/>
    <w:next w:val="184"/>
    <w:qFormat/>
    <w:uiPriority w:val="0"/>
    <w:pPr>
      <w:numPr>
        <w:ilvl w:val="0"/>
        <w:numId w:val="5"/>
      </w:numPr>
      <w:overflowPunct w:val="0"/>
      <w:autoSpaceDE w:val="0"/>
      <w:autoSpaceDN w:val="0"/>
      <w:adjustRightInd w:val="0"/>
      <w:textAlignment w:val="baseline"/>
    </w:pPr>
    <w:rPr>
      <w:rFonts w:eastAsia="宋体"/>
      <w:lang w:eastAsia="zh-CN"/>
    </w:rPr>
  </w:style>
  <w:style w:type="paragraph" w:customStyle="1" w:styleId="184">
    <w:name w:val="- PAGE -"/>
    <w:qFormat/>
    <w:uiPriority w:val="0"/>
    <w:rPr>
      <w:rFonts w:ascii="Times New Roman" w:hAnsi="Times New Roman" w:eastAsia="Malgun Gothic" w:cs="Times New Roman"/>
      <w:sz w:val="24"/>
      <w:szCs w:val="24"/>
      <w:lang w:val="en-GB" w:eastAsia="ko-KR" w:bidi="ar-SA"/>
    </w:rPr>
  </w:style>
  <w:style w:type="paragraph" w:styleId="185">
    <w:name w:val="List Paragraph"/>
    <w:basedOn w:val="1"/>
    <w:link w:val="186"/>
    <w:qFormat/>
    <w:uiPriority w:val="34"/>
    <w:pPr>
      <w:spacing w:after="0"/>
      <w:ind w:left="720"/>
      <w:contextualSpacing/>
    </w:pPr>
    <w:rPr>
      <w:rFonts w:eastAsia="宋体"/>
      <w:sz w:val="24"/>
      <w:szCs w:val="24"/>
    </w:rPr>
  </w:style>
  <w:style w:type="character" w:customStyle="1" w:styleId="186">
    <w:name w:val="List Paragraph Char"/>
    <w:link w:val="185"/>
    <w:qFormat/>
    <w:uiPriority w:val="34"/>
    <w:rPr>
      <w:rFonts w:eastAsia="宋体"/>
      <w:sz w:val="24"/>
      <w:szCs w:val="24"/>
      <w:lang w:val="en-GB" w:eastAsia="en-US"/>
    </w:rPr>
  </w:style>
  <w:style w:type="paragraph" w:customStyle="1" w:styleId="187">
    <w:name w:val="Char Char Char Char1"/>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188">
    <w:name w:val="Tdoc_Heading_1"/>
    <w:basedOn w:val="2"/>
    <w:next w:val="33"/>
    <w:qFormat/>
    <w:uiPriority w:val="0"/>
    <w:pPr>
      <w:keepLines w:val="0"/>
      <w:pBdr>
        <w:top w:val="none" w:color="auto" w:sz="0" w:space="0"/>
      </w:pBdr>
      <w:tabs>
        <w:tab w:val="left" w:pos="360"/>
      </w:tabs>
      <w:spacing w:after="120"/>
      <w:ind w:left="357" w:hanging="357"/>
      <w:jc w:val="both"/>
    </w:pPr>
    <w:rPr>
      <w:rFonts w:eastAsia="Batang"/>
      <w:b/>
      <w:kern w:val="28"/>
      <w:sz w:val="24"/>
      <w:lang w:val="en-US"/>
    </w:rPr>
  </w:style>
  <w:style w:type="character" w:customStyle="1" w:styleId="189">
    <w:name w:val="Guidance Char"/>
    <w:qFormat/>
    <w:uiPriority w:val="0"/>
    <w:rPr>
      <w:rFonts w:eastAsia="宋体"/>
      <w:i/>
      <w:color w:val="0000FF"/>
      <w:lang w:val="en-GB" w:eastAsia="en-US"/>
    </w:rPr>
  </w:style>
  <w:style w:type="paragraph" w:customStyle="1" w:styleId="190">
    <w:name w:val="Bulleted o 1"/>
    <w:basedOn w:val="1"/>
    <w:qFormat/>
    <w:uiPriority w:val="0"/>
    <w:pPr>
      <w:numPr>
        <w:ilvl w:val="0"/>
        <w:numId w:val="6"/>
      </w:numPr>
      <w:overflowPunct w:val="0"/>
      <w:autoSpaceDE w:val="0"/>
      <w:autoSpaceDN w:val="0"/>
      <w:adjustRightInd w:val="0"/>
      <w:spacing w:before="120" w:after="120"/>
      <w:textAlignment w:val="baseline"/>
    </w:pPr>
    <w:rPr>
      <w:rFonts w:eastAsia="宋体"/>
    </w:rPr>
  </w:style>
  <w:style w:type="paragraph" w:customStyle="1" w:styleId="191">
    <w:name w:val="TOC 标题1"/>
    <w:basedOn w:val="2"/>
    <w:next w:val="1"/>
    <w:unhideWhenUsed/>
    <w:qFormat/>
    <w:uiPriority w:val="39"/>
    <w:pPr>
      <w:pBdr>
        <w:top w:val="none" w:color="auto" w:sz="0" w:space="0"/>
      </w:pBdr>
      <w:spacing w:after="0" w:line="259" w:lineRule="auto"/>
      <w:ind w:left="0" w:firstLine="0"/>
      <w:outlineLvl w:val="9"/>
    </w:pPr>
    <w:rPr>
      <w:rFonts w:ascii="Calibri Light" w:hAnsi="Calibri Light" w:eastAsia="宋体"/>
      <w:color w:val="2E74B5"/>
      <w:sz w:val="32"/>
      <w:szCs w:val="32"/>
      <w:lang w:val="en-US"/>
    </w:rPr>
  </w:style>
  <w:style w:type="character" w:customStyle="1" w:styleId="192">
    <w:name w:val="TAL Char"/>
    <w:qFormat/>
    <w:uiPriority w:val="0"/>
    <w:rPr>
      <w:rFonts w:ascii="Arial" w:hAnsi="Arial"/>
      <w:sz w:val="18"/>
      <w:lang w:val="en-GB"/>
    </w:rPr>
  </w:style>
  <w:style w:type="paragraph" w:customStyle="1" w:styleId="193">
    <w:name w:val="修订1"/>
    <w:hidden/>
    <w:semiHidden/>
    <w:uiPriority w:val="99"/>
    <w:rPr>
      <w:rFonts w:ascii="Times New Roman" w:hAnsi="Times New Roman" w:eastAsia="宋体" w:cs="Times New Roman"/>
      <w:lang w:val="en-GB" w:eastAsia="en-US" w:bidi="ar-SA"/>
    </w:rPr>
  </w:style>
  <w:style w:type="character" w:customStyle="1" w:styleId="194">
    <w:name w:val="TAL (文字)"/>
    <w:qFormat/>
    <w:uiPriority w:val="0"/>
    <w:rPr>
      <w:rFonts w:ascii="Arial" w:hAnsi="Arial"/>
      <w:sz w:val="18"/>
      <w:lang w:val="en-GB" w:eastAsia="ko-KR" w:bidi="ar-SA"/>
    </w:rPr>
  </w:style>
  <w:style w:type="character" w:customStyle="1" w:styleId="195">
    <w:name w:val="Char Char3"/>
    <w:qFormat/>
    <w:uiPriority w:val="0"/>
    <w:rPr>
      <w:rFonts w:ascii="Arial" w:hAnsi="Arial"/>
      <w:sz w:val="28"/>
      <w:lang w:val="en-GB" w:eastAsia="ko-KR" w:bidi="ar-SA"/>
    </w:rPr>
  </w:style>
  <w:style w:type="character" w:customStyle="1" w:styleId="196">
    <w:name w:val="bt Char"/>
    <w:qFormat/>
    <w:uiPriority w:val="0"/>
    <w:rPr>
      <w:lang w:val="en-GB" w:eastAsia="en-US" w:bidi="ar-SA"/>
    </w:rPr>
  </w:style>
  <w:style w:type="character" w:customStyle="1" w:styleId="197">
    <w:name w:val="msoins0"/>
    <w:qFormat/>
    <w:uiPriority w:val="0"/>
  </w:style>
  <w:style w:type="character" w:customStyle="1" w:styleId="198">
    <w:name w:val="Underrubrik2 Char2"/>
    <w:qFormat/>
    <w:uiPriority w:val="0"/>
    <w:rPr>
      <w:rFonts w:ascii="Arial" w:hAnsi="Arial"/>
      <w:sz w:val="28"/>
      <w:lang w:val="en-GB" w:eastAsia="en-US" w:bidi="ar-SA"/>
    </w:rPr>
  </w:style>
  <w:style w:type="character" w:customStyle="1" w:styleId="199">
    <w:name w:val="h4 Char2"/>
    <w:qFormat/>
    <w:uiPriority w:val="0"/>
    <w:rPr>
      <w:rFonts w:ascii="Arial" w:hAnsi="Arial"/>
      <w:sz w:val="24"/>
      <w:lang w:val="en-GB" w:eastAsia="en-US" w:bidi="ar-SA"/>
    </w:rPr>
  </w:style>
  <w:style w:type="paragraph" w:customStyle="1" w:styleId="200">
    <w:name w:val="no"/>
    <w:basedOn w:val="1"/>
    <w:qFormat/>
    <w:uiPriority w:val="0"/>
    <w:pPr>
      <w:overflowPunct w:val="0"/>
      <w:autoSpaceDE w:val="0"/>
      <w:autoSpaceDN w:val="0"/>
      <w:adjustRightInd w:val="0"/>
      <w:ind w:left="1135" w:hanging="851"/>
      <w:textAlignment w:val="baseline"/>
    </w:pPr>
    <w:rPr>
      <w:rFonts w:eastAsia="Calibri"/>
      <w:lang w:val="it-IT" w:eastAsia="it-IT"/>
    </w:rPr>
  </w:style>
  <w:style w:type="character" w:customStyle="1" w:styleId="201">
    <w:name w:val="Body Text Char2"/>
    <w:qFormat/>
    <w:locked/>
    <w:uiPriority w:val="0"/>
    <w:rPr>
      <w:sz w:val="24"/>
      <w:lang w:val="en-US" w:eastAsia="en-US"/>
    </w:rPr>
  </w:style>
  <w:style w:type="paragraph" w:customStyle="1" w:styleId="202">
    <w:name w:val="IvD bodytext"/>
    <w:basedOn w:val="33"/>
    <w:link w:val="203"/>
    <w:qFormat/>
    <w:uiPriority w:val="0"/>
    <w:pPr>
      <w:keepLines/>
      <w:widowControl/>
      <w:tabs>
        <w:tab w:val="left" w:pos="2552"/>
        <w:tab w:val="left" w:pos="3856"/>
        <w:tab w:val="left" w:pos="5216"/>
        <w:tab w:val="left" w:pos="6464"/>
        <w:tab w:val="left" w:pos="7768"/>
        <w:tab w:val="left" w:pos="9072"/>
        <w:tab w:val="left" w:pos="9639"/>
      </w:tabs>
      <w:spacing w:before="240" w:after="0"/>
    </w:pPr>
    <w:rPr>
      <w:rFonts w:ascii="Arial" w:hAnsi="Arial" w:eastAsia="Malgun Gothic"/>
      <w:spacing w:val="2"/>
      <w:sz w:val="20"/>
    </w:rPr>
  </w:style>
  <w:style w:type="character" w:customStyle="1" w:styleId="203">
    <w:name w:val="IvD bodytext Char"/>
    <w:link w:val="202"/>
    <w:qFormat/>
    <w:uiPriority w:val="0"/>
    <w:rPr>
      <w:rFonts w:ascii="Arial" w:hAnsi="Arial"/>
      <w:spacing w:val="2"/>
      <w:lang w:val="en-GB" w:eastAsia="en-US"/>
    </w:rPr>
  </w:style>
  <w:style w:type="paragraph" w:customStyle="1" w:styleId="204">
    <w:name w:val="BL"/>
    <w:basedOn w:val="1"/>
    <w:qFormat/>
    <w:uiPriority w:val="0"/>
    <w:pPr>
      <w:numPr>
        <w:ilvl w:val="0"/>
        <w:numId w:val="7"/>
      </w:numPr>
      <w:tabs>
        <w:tab w:val="left" w:pos="851"/>
      </w:tabs>
      <w:overflowPunct w:val="0"/>
      <w:autoSpaceDE w:val="0"/>
      <w:autoSpaceDN w:val="0"/>
      <w:adjustRightInd w:val="0"/>
      <w:textAlignment w:val="baseline"/>
    </w:pPr>
    <w:rPr>
      <w:rFonts w:eastAsia="PMingLiU"/>
    </w:rPr>
  </w:style>
  <w:style w:type="character" w:styleId="205">
    <w:name w:val="Placeholder Text"/>
    <w:semiHidden/>
    <w:qFormat/>
    <w:uiPriority w:val="99"/>
    <w:rPr>
      <w:color w:val="808080"/>
    </w:rPr>
  </w:style>
  <w:style w:type="character" w:customStyle="1" w:styleId="206">
    <w:name w:val="Heading 1 Char1"/>
    <w:qFormat/>
    <w:uiPriority w:val="0"/>
    <w:rPr>
      <w:rFonts w:ascii="Calibri Light" w:hAnsi="Calibri Light" w:eastAsia="Times New Roman" w:cs="Times New Roman"/>
      <w:color w:val="2F5496"/>
      <w:sz w:val="32"/>
      <w:szCs w:val="32"/>
      <w:lang w:eastAsia="en-US"/>
    </w:rPr>
  </w:style>
  <w:style w:type="character" w:customStyle="1" w:styleId="207">
    <w:name w:val="Heading 4 Char1"/>
    <w:qFormat/>
    <w:uiPriority w:val="0"/>
    <w:rPr>
      <w:rFonts w:ascii="Calibri Light" w:hAnsi="Calibri Light" w:eastAsia="Times New Roman" w:cs="Times New Roman"/>
      <w:i/>
      <w:iCs/>
      <w:color w:val="2F5496"/>
      <w:lang w:eastAsia="en-US"/>
    </w:rPr>
  </w:style>
  <w:style w:type="character" w:customStyle="1" w:styleId="208">
    <w:name w:val="Heading 5 Char1"/>
    <w:qFormat/>
    <w:uiPriority w:val="0"/>
    <w:rPr>
      <w:rFonts w:ascii="Calibri Light" w:hAnsi="Calibri Light" w:eastAsia="Times New Roman" w:cs="Times New Roman"/>
      <w:color w:val="2F5496"/>
      <w:lang w:eastAsia="en-US"/>
    </w:rPr>
  </w:style>
  <w:style w:type="paragraph" w:customStyle="1" w:styleId="209">
    <w:name w:val="msonormal"/>
    <w:basedOn w:val="1"/>
    <w:qFormat/>
    <w:uiPriority w:val="99"/>
    <w:pPr>
      <w:spacing w:before="100" w:beforeAutospacing="1" w:after="100" w:afterAutospacing="1"/>
    </w:pPr>
    <w:rPr>
      <w:rFonts w:eastAsia="宋体"/>
      <w:sz w:val="24"/>
      <w:szCs w:val="24"/>
      <w:lang w:val="en-US"/>
    </w:rPr>
  </w:style>
  <w:style w:type="character" w:customStyle="1" w:styleId="210">
    <w:name w:val="Footnote Text Char1"/>
    <w:semiHidden/>
    <w:qFormat/>
    <w:uiPriority w:val="0"/>
    <w:rPr>
      <w:rFonts w:ascii="Times New Roman" w:hAnsi="Times New Roman" w:eastAsia="宋体"/>
      <w:lang w:eastAsia="en-US"/>
    </w:rPr>
  </w:style>
  <w:style w:type="character" w:customStyle="1" w:styleId="211">
    <w:name w:val="Header Char1"/>
    <w:semiHidden/>
    <w:qFormat/>
    <w:uiPriority w:val="0"/>
    <w:rPr>
      <w:rFonts w:ascii="Times New Roman" w:hAnsi="Times New Roman" w:eastAsia="宋体"/>
      <w:lang w:eastAsia="en-US"/>
    </w:rPr>
  </w:style>
  <w:style w:type="character" w:customStyle="1" w:styleId="212">
    <w:name w:val="Char Char31"/>
    <w:semiHidden/>
    <w:qFormat/>
    <w:uiPriority w:val="0"/>
    <w:rPr>
      <w:rFonts w:hint="default" w:ascii="Arial" w:hAnsi="Arial" w:cs="Arial"/>
      <w:sz w:val="28"/>
      <w:lang w:val="en-GB" w:eastAsia="ko-KR" w:bidi="ar-SA"/>
    </w:rPr>
  </w:style>
  <w:style w:type="character" w:customStyle="1" w:styleId="213">
    <w:name w:val="Underrubrik2 Char3"/>
    <w:qFormat/>
    <w:uiPriority w:val="0"/>
    <w:rPr>
      <w:rFonts w:ascii="Arial" w:hAnsi="Arial" w:cs="Times New Roman"/>
      <w:sz w:val="28"/>
      <w:szCs w:val="20"/>
      <w:lang w:val="en-GB" w:eastAsia="en-US"/>
    </w:rPr>
  </w:style>
  <w:style w:type="paragraph" w:customStyle="1" w:styleId="214">
    <w:name w:val="Char Char Char Char Char"/>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215">
    <w:name w:val="Char Char"/>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216">
    <w:name w:val="Char"/>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217">
    <w:name w:val="Char Char Char"/>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218">
    <w:name w:val="Char Char1"/>
    <w:qFormat/>
    <w:uiPriority w:val="0"/>
    <w:rPr>
      <w:lang w:val="en-GB" w:eastAsia="ja-JP" w:bidi="ar-SA"/>
    </w:rPr>
  </w:style>
  <w:style w:type="paragraph" w:customStyle="1" w:styleId="219">
    <w:name w:val="(文字) (文字)1 Char (文字) (文字)"/>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220">
    <w:name w:val="Char Char1 Char Char"/>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221">
    <w:name w:val="(文字) (文字)1 Char (文字) (文字) Char (文字) (文字)1"/>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222">
    <w:name w:val="(文字) (文字)1 Char (文字) (文字) Char"/>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223">
    <w:name w:val="(文字) (文字)1 Char (文字) (文字) Char (文字) (文字)1 Char (文字) (文字) Char Char Char"/>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224">
    <w:name w:val="Char Char2 Char Char"/>
    <w:basedOn w:val="1"/>
    <w:qFormat/>
    <w:uiPriority w:val="0"/>
    <w:pPr>
      <w:tabs>
        <w:tab w:val="left" w:pos="540"/>
        <w:tab w:val="left" w:pos="1260"/>
        <w:tab w:val="left" w:pos="1800"/>
      </w:tabs>
      <w:spacing w:before="240" w:after="160" w:line="240" w:lineRule="exact"/>
    </w:pPr>
    <w:rPr>
      <w:rFonts w:ascii="Verdana" w:hAnsi="Verdana" w:eastAsia="Batang"/>
      <w:sz w:val="24"/>
      <w:lang w:val="en-US"/>
    </w:rPr>
  </w:style>
  <w:style w:type="character" w:customStyle="1" w:styleId="225">
    <w:name w:val="cap Char Char2"/>
    <w:qFormat/>
    <w:uiPriority w:val="0"/>
    <w:rPr>
      <w:b/>
      <w:lang w:val="en-GB" w:eastAsia="en-GB" w:bidi="ar-SA"/>
    </w:rPr>
  </w:style>
  <w:style w:type="character" w:customStyle="1" w:styleId="226">
    <w:name w:val="Head2A Char4"/>
    <w:qFormat/>
    <w:uiPriority w:val="0"/>
    <w:rPr>
      <w:rFonts w:ascii="Arial" w:hAnsi="Arial"/>
      <w:sz w:val="32"/>
      <w:lang w:val="en-GB" w:eastAsia="ja-JP" w:bidi="ar-SA"/>
    </w:rPr>
  </w:style>
  <w:style w:type="character" w:customStyle="1" w:styleId="227">
    <w:name w:val="Char Char4"/>
    <w:qFormat/>
    <w:uiPriority w:val="0"/>
    <w:rPr>
      <w:rFonts w:ascii="Courier New" w:hAnsi="Courier New"/>
      <w:lang w:val="nb-NO" w:eastAsia="ja-JP" w:bidi="ar-SA"/>
    </w:rPr>
  </w:style>
  <w:style w:type="character" w:customStyle="1" w:styleId="228">
    <w:name w:val="Andrea Leonardi"/>
    <w:semiHidden/>
    <w:qFormat/>
    <w:uiPriority w:val="0"/>
    <w:rPr>
      <w:rFonts w:ascii="Arial" w:hAnsi="Arial" w:cs="Arial"/>
      <w:color w:val="auto"/>
      <w:sz w:val="20"/>
      <w:szCs w:val="20"/>
    </w:rPr>
  </w:style>
  <w:style w:type="character" w:customStyle="1" w:styleId="229">
    <w:name w:val="NO Char Char"/>
    <w:qFormat/>
    <w:uiPriority w:val="0"/>
    <w:rPr>
      <w:lang w:val="en-GB" w:eastAsia="en-US" w:bidi="ar-SA"/>
    </w:rPr>
  </w:style>
  <w:style w:type="character" w:customStyle="1" w:styleId="230">
    <w:name w:val="NO Zchn"/>
    <w:qFormat/>
    <w:uiPriority w:val="0"/>
    <w:rPr>
      <w:lang w:val="en-GB" w:eastAsia="en-US" w:bidi="ar-SA"/>
    </w:rPr>
  </w:style>
  <w:style w:type="character" w:customStyle="1" w:styleId="231">
    <w:name w:val="TAC Car"/>
    <w:qFormat/>
    <w:uiPriority w:val="0"/>
    <w:rPr>
      <w:rFonts w:ascii="Arial" w:hAnsi="Arial"/>
      <w:sz w:val="18"/>
      <w:lang w:val="en-GB" w:eastAsia="ja-JP" w:bidi="ar-SA"/>
    </w:rPr>
  </w:style>
  <w:style w:type="paragraph" w:customStyle="1" w:styleId="232">
    <w:name w:val="Char Char Char Char Char Char"/>
    <w:semiHidden/>
    <w:qFormat/>
    <w:uiPriority w:val="0"/>
    <w:pPr>
      <w:keepNext/>
      <w:autoSpaceDE w:val="0"/>
      <w:autoSpaceDN w:val="0"/>
      <w:adjustRightInd w:val="0"/>
      <w:spacing w:before="60" w:after="60"/>
      <w:ind w:left="567" w:hanging="283"/>
      <w:jc w:val="both"/>
    </w:pPr>
    <w:rPr>
      <w:rFonts w:ascii="Arial" w:hAnsi="Arial" w:eastAsia="宋体" w:cs="Arial"/>
      <w:color w:val="0000FF"/>
      <w:kern w:val="2"/>
      <w:lang w:val="en-US" w:eastAsia="zh-CN" w:bidi="ar-SA"/>
    </w:rPr>
  </w:style>
  <w:style w:type="paragraph" w:customStyle="1" w:styleId="233">
    <w:name w:val="(文字) (文字)"/>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234">
    <w:name w:val="T1 Char"/>
    <w:qFormat/>
    <w:uiPriority w:val="0"/>
    <w:rPr>
      <w:rFonts w:ascii="Arial" w:hAnsi="Arial" w:cs="Times New Roman"/>
      <w:sz w:val="20"/>
      <w:szCs w:val="20"/>
      <w:lang w:val="en-GB" w:eastAsia="en-US"/>
    </w:rPr>
  </w:style>
  <w:style w:type="character" w:customStyle="1" w:styleId="235">
    <w:name w:val="T1 Char1"/>
    <w:qFormat/>
    <w:uiPriority w:val="0"/>
    <w:rPr>
      <w:rFonts w:ascii="Arial" w:hAnsi="Arial" w:cs="Times New Roman"/>
      <w:sz w:val="20"/>
      <w:szCs w:val="20"/>
      <w:lang w:val="en-GB" w:eastAsia="en-US"/>
    </w:rPr>
  </w:style>
  <w:style w:type="paragraph" w:customStyle="1" w:styleId="236">
    <w:name w:val="Car Car"/>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237">
    <w:name w:val="Head2A Char1"/>
    <w:qFormat/>
    <w:uiPriority w:val="0"/>
    <w:rPr>
      <w:rFonts w:ascii="Arial" w:hAnsi="Arial"/>
      <w:sz w:val="32"/>
      <w:lang w:val="en-GB" w:eastAsia="en-US" w:bidi="ar-SA"/>
    </w:rPr>
  </w:style>
  <w:style w:type="paragraph" w:customStyle="1" w:styleId="238">
    <w:name w:val="Zchn Zchn1"/>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239">
    <w:name w:val="Head2A Char2"/>
    <w:qFormat/>
    <w:uiPriority w:val="0"/>
    <w:rPr>
      <w:rFonts w:ascii="Arial" w:hAnsi="Arial"/>
      <w:sz w:val="32"/>
      <w:lang w:val="en-GB" w:eastAsia="en-US" w:bidi="ar-SA"/>
    </w:rPr>
  </w:style>
  <w:style w:type="paragraph" w:customStyle="1" w:styleId="240">
    <w:name w:val="(文字) (文字)2"/>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241">
    <w:name w:val="Head2A Char3"/>
    <w:qFormat/>
    <w:uiPriority w:val="0"/>
    <w:rPr>
      <w:rFonts w:ascii="Arial" w:hAnsi="Arial"/>
      <w:sz w:val="32"/>
      <w:lang w:val="en-GB" w:eastAsia="en-US" w:bidi="ar-SA"/>
    </w:rPr>
  </w:style>
  <w:style w:type="paragraph" w:customStyle="1" w:styleId="242">
    <w:name w:val="(文字) (文字)3"/>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243">
    <w:name w:val="Zchn Zchn2"/>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244">
    <w:name w:val="(文字) (文字)4"/>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245">
    <w:name w:val="T1 Char2"/>
    <w:qFormat/>
    <w:uiPriority w:val="0"/>
    <w:rPr>
      <w:rFonts w:ascii="Arial" w:hAnsi="Arial" w:cs="Times New Roman"/>
      <w:sz w:val="20"/>
      <w:szCs w:val="20"/>
      <w:lang w:val="en-GB" w:eastAsia="en-US"/>
    </w:rPr>
  </w:style>
  <w:style w:type="paragraph" w:customStyle="1" w:styleId="246">
    <w:name w:val="(文字) (文字)1"/>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247">
    <w:name w:val="Char Char7"/>
    <w:semiHidden/>
    <w:qFormat/>
    <w:uiPriority w:val="0"/>
    <w:rPr>
      <w:rFonts w:ascii="Tahoma" w:hAnsi="Tahoma" w:cs="Tahoma"/>
      <w:shd w:val="clear" w:color="auto" w:fill="000080"/>
      <w:lang w:val="en-GB" w:eastAsia="en-US"/>
    </w:rPr>
  </w:style>
  <w:style w:type="character" w:customStyle="1" w:styleId="248">
    <w:name w:val="Zchn Zchn5"/>
    <w:qFormat/>
    <w:uiPriority w:val="0"/>
    <w:rPr>
      <w:rFonts w:ascii="Courier New" w:hAnsi="Courier New" w:eastAsia="Batang"/>
      <w:lang w:val="nb-NO" w:eastAsia="en-US" w:bidi="ar-SA"/>
    </w:rPr>
  </w:style>
  <w:style w:type="character" w:customStyle="1" w:styleId="249">
    <w:name w:val="Char Char10"/>
    <w:semiHidden/>
    <w:qFormat/>
    <w:uiPriority w:val="0"/>
    <w:rPr>
      <w:rFonts w:ascii="Times New Roman" w:hAnsi="Times New Roman"/>
      <w:lang w:val="en-GB" w:eastAsia="en-US"/>
    </w:rPr>
  </w:style>
  <w:style w:type="character" w:customStyle="1" w:styleId="250">
    <w:name w:val="Char Char9"/>
    <w:qFormat/>
    <w:uiPriority w:val="0"/>
    <w:rPr>
      <w:rFonts w:ascii="Tahoma" w:hAnsi="Tahoma" w:cs="Tahoma"/>
      <w:sz w:val="16"/>
      <w:szCs w:val="16"/>
      <w:lang w:val="en-GB" w:eastAsia="en-US"/>
    </w:rPr>
  </w:style>
  <w:style w:type="character" w:customStyle="1" w:styleId="251">
    <w:name w:val="Char Char8"/>
    <w:semiHidden/>
    <w:qFormat/>
    <w:uiPriority w:val="0"/>
    <w:rPr>
      <w:rFonts w:ascii="Times New Roman" w:hAnsi="Times New Roman"/>
      <w:b/>
      <w:bCs/>
      <w:lang w:val="en-GB" w:eastAsia="en-US"/>
    </w:rPr>
  </w:style>
  <w:style w:type="paragraph" w:customStyle="1" w:styleId="252">
    <w:name w:val="修订10"/>
    <w:hidden/>
    <w:semiHidden/>
    <w:qFormat/>
    <w:uiPriority w:val="99"/>
    <w:rPr>
      <w:rFonts w:ascii="Times New Roman" w:hAnsi="Times New Roman" w:eastAsia="Batang" w:cs="Times New Roman"/>
      <w:lang w:val="en-GB" w:eastAsia="en-US" w:bidi="ar-SA"/>
    </w:rPr>
  </w:style>
  <w:style w:type="character" w:customStyle="1" w:styleId="253">
    <w:name w:val="bt Char3"/>
    <w:qFormat/>
    <w:uiPriority w:val="0"/>
    <w:rPr>
      <w:lang w:val="en-GB" w:eastAsia="ja-JP" w:bidi="ar-SA"/>
    </w:rPr>
  </w:style>
  <w:style w:type="paragraph" w:customStyle="1" w:styleId="254">
    <w:name w:val="FL"/>
    <w:basedOn w:val="1"/>
    <w:qFormat/>
    <w:uiPriority w:val="0"/>
    <w:pPr>
      <w:keepNext/>
      <w:keepLines/>
      <w:overflowPunct w:val="0"/>
      <w:autoSpaceDE w:val="0"/>
      <w:autoSpaceDN w:val="0"/>
      <w:adjustRightInd w:val="0"/>
      <w:spacing w:before="60"/>
      <w:jc w:val="center"/>
      <w:textAlignment w:val="baseline"/>
    </w:pPr>
    <w:rPr>
      <w:rFonts w:ascii="Arial" w:hAnsi="Arial" w:eastAsia="Times New Roman"/>
      <w:b/>
      <w:lang w:eastAsia="ko-KR"/>
    </w:rPr>
  </w:style>
  <w:style w:type="character" w:customStyle="1" w:styleId="255">
    <w:name w:val="h5 Char2"/>
    <w:qFormat/>
    <w:uiPriority w:val="0"/>
    <w:rPr>
      <w:rFonts w:ascii="Arial" w:hAnsi="Arial"/>
      <w:sz w:val="22"/>
      <w:lang w:val="en-GB" w:eastAsia="ja-JP" w:bidi="ar-SA"/>
    </w:rPr>
  </w:style>
  <w:style w:type="paragraph" w:customStyle="1" w:styleId="256">
    <w:name w:val="AutoCorrect"/>
    <w:qFormat/>
    <w:uiPriority w:val="0"/>
    <w:rPr>
      <w:rFonts w:ascii="Times New Roman" w:hAnsi="Times New Roman" w:eastAsia="Malgun Gothic" w:cs="Times New Roman"/>
      <w:sz w:val="24"/>
      <w:szCs w:val="24"/>
      <w:lang w:val="en-GB" w:eastAsia="ko-KR" w:bidi="ar-SA"/>
    </w:rPr>
  </w:style>
  <w:style w:type="paragraph" w:customStyle="1" w:styleId="257">
    <w:name w:val="Page X of Y"/>
    <w:qFormat/>
    <w:uiPriority w:val="0"/>
    <w:rPr>
      <w:rFonts w:ascii="Times New Roman" w:hAnsi="Times New Roman" w:eastAsia="Malgun Gothic" w:cs="Times New Roman"/>
      <w:sz w:val="24"/>
      <w:szCs w:val="24"/>
      <w:lang w:val="en-GB" w:eastAsia="ko-KR" w:bidi="ar-SA"/>
    </w:rPr>
  </w:style>
  <w:style w:type="paragraph" w:customStyle="1" w:styleId="258">
    <w:name w:val="Created by"/>
    <w:qFormat/>
    <w:uiPriority w:val="0"/>
    <w:rPr>
      <w:rFonts w:ascii="Times New Roman" w:hAnsi="Times New Roman" w:eastAsia="Malgun Gothic" w:cs="Times New Roman"/>
      <w:sz w:val="24"/>
      <w:szCs w:val="24"/>
      <w:lang w:val="en-GB" w:eastAsia="ko-KR" w:bidi="ar-SA"/>
    </w:rPr>
  </w:style>
  <w:style w:type="paragraph" w:customStyle="1" w:styleId="259">
    <w:name w:val="Created on"/>
    <w:qFormat/>
    <w:uiPriority w:val="0"/>
    <w:rPr>
      <w:rFonts w:ascii="Times New Roman" w:hAnsi="Times New Roman" w:eastAsia="Malgun Gothic" w:cs="Times New Roman"/>
      <w:sz w:val="24"/>
      <w:szCs w:val="24"/>
      <w:lang w:val="en-GB" w:eastAsia="ko-KR" w:bidi="ar-SA"/>
    </w:rPr>
  </w:style>
  <w:style w:type="paragraph" w:customStyle="1" w:styleId="260">
    <w:name w:val="Last printed"/>
    <w:qFormat/>
    <w:uiPriority w:val="0"/>
    <w:rPr>
      <w:rFonts w:ascii="Times New Roman" w:hAnsi="Times New Roman" w:eastAsia="Malgun Gothic" w:cs="Times New Roman"/>
      <w:sz w:val="24"/>
      <w:szCs w:val="24"/>
      <w:lang w:val="en-GB" w:eastAsia="ko-KR" w:bidi="ar-SA"/>
    </w:rPr>
  </w:style>
  <w:style w:type="paragraph" w:customStyle="1" w:styleId="261">
    <w:name w:val="Last saved by"/>
    <w:qFormat/>
    <w:uiPriority w:val="0"/>
    <w:rPr>
      <w:rFonts w:ascii="Times New Roman" w:hAnsi="Times New Roman" w:eastAsia="Malgun Gothic" w:cs="Times New Roman"/>
      <w:sz w:val="24"/>
      <w:szCs w:val="24"/>
      <w:lang w:val="en-GB" w:eastAsia="ko-KR" w:bidi="ar-SA"/>
    </w:rPr>
  </w:style>
  <w:style w:type="paragraph" w:customStyle="1" w:styleId="262">
    <w:name w:val="Filename"/>
    <w:qFormat/>
    <w:uiPriority w:val="0"/>
    <w:rPr>
      <w:rFonts w:ascii="Times New Roman" w:hAnsi="Times New Roman" w:eastAsia="Malgun Gothic" w:cs="Times New Roman"/>
      <w:sz w:val="24"/>
      <w:szCs w:val="24"/>
      <w:lang w:val="en-GB" w:eastAsia="ko-KR" w:bidi="ar-SA"/>
    </w:rPr>
  </w:style>
  <w:style w:type="paragraph" w:customStyle="1" w:styleId="263">
    <w:name w:val="Filename and path"/>
    <w:qFormat/>
    <w:uiPriority w:val="0"/>
    <w:rPr>
      <w:rFonts w:ascii="Times New Roman" w:hAnsi="Times New Roman" w:eastAsia="Malgun Gothic" w:cs="Times New Roman"/>
      <w:sz w:val="24"/>
      <w:szCs w:val="24"/>
      <w:lang w:val="en-GB" w:eastAsia="ko-KR" w:bidi="ar-SA"/>
    </w:rPr>
  </w:style>
  <w:style w:type="paragraph" w:customStyle="1" w:styleId="264">
    <w:name w:val="Author  Page #  Date"/>
    <w:qFormat/>
    <w:uiPriority w:val="0"/>
    <w:rPr>
      <w:rFonts w:ascii="Times New Roman" w:hAnsi="Times New Roman" w:eastAsia="Malgun Gothic" w:cs="Times New Roman"/>
      <w:sz w:val="24"/>
      <w:szCs w:val="24"/>
      <w:lang w:val="en-GB" w:eastAsia="ko-KR" w:bidi="ar-SA"/>
    </w:rPr>
  </w:style>
  <w:style w:type="paragraph" w:customStyle="1" w:styleId="265">
    <w:name w:val="Confidential  Page #  Date"/>
    <w:qFormat/>
    <w:uiPriority w:val="0"/>
    <w:rPr>
      <w:rFonts w:ascii="Times New Roman" w:hAnsi="Times New Roman" w:eastAsia="Malgun Gothic" w:cs="Times New Roman"/>
      <w:sz w:val="24"/>
      <w:szCs w:val="24"/>
      <w:lang w:val="en-GB" w:eastAsia="ko-KR" w:bidi="ar-SA"/>
    </w:rPr>
  </w:style>
  <w:style w:type="paragraph" w:customStyle="1" w:styleId="266">
    <w:name w:val="INDENT1"/>
    <w:basedOn w:val="1"/>
    <w:qFormat/>
    <w:uiPriority w:val="0"/>
    <w:pPr>
      <w:overflowPunct w:val="0"/>
      <w:autoSpaceDE w:val="0"/>
      <w:autoSpaceDN w:val="0"/>
      <w:adjustRightInd w:val="0"/>
      <w:ind w:left="851"/>
      <w:textAlignment w:val="baseline"/>
    </w:pPr>
    <w:rPr>
      <w:rFonts w:eastAsia="Times New Roman"/>
      <w:lang w:eastAsia="ja-JP"/>
    </w:rPr>
  </w:style>
  <w:style w:type="paragraph" w:customStyle="1" w:styleId="267">
    <w:name w:val="INDENT2"/>
    <w:basedOn w:val="1"/>
    <w:qFormat/>
    <w:uiPriority w:val="0"/>
    <w:pPr>
      <w:overflowPunct w:val="0"/>
      <w:autoSpaceDE w:val="0"/>
      <w:autoSpaceDN w:val="0"/>
      <w:adjustRightInd w:val="0"/>
      <w:ind w:left="1135" w:hanging="284"/>
      <w:textAlignment w:val="baseline"/>
    </w:pPr>
    <w:rPr>
      <w:rFonts w:eastAsia="Times New Roman"/>
      <w:lang w:eastAsia="ja-JP"/>
    </w:rPr>
  </w:style>
  <w:style w:type="paragraph" w:customStyle="1" w:styleId="268">
    <w:name w:val="INDENT3"/>
    <w:basedOn w:val="1"/>
    <w:qFormat/>
    <w:uiPriority w:val="0"/>
    <w:pPr>
      <w:overflowPunct w:val="0"/>
      <w:autoSpaceDE w:val="0"/>
      <w:autoSpaceDN w:val="0"/>
      <w:adjustRightInd w:val="0"/>
      <w:ind w:left="1701" w:hanging="567"/>
      <w:textAlignment w:val="baseline"/>
    </w:pPr>
    <w:rPr>
      <w:rFonts w:eastAsia="Times New Roman"/>
      <w:lang w:eastAsia="ja-JP"/>
    </w:rPr>
  </w:style>
  <w:style w:type="paragraph" w:customStyle="1" w:styleId="269">
    <w:name w:val="Figure_Title"/>
    <w:basedOn w:val="1"/>
    <w:next w:val="1"/>
    <w:qFormat/>
    <w:uiPriority w:val="0"/>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270">
    <w:name w:val="Rec_CCITT_#"/>
    <w:basedOn w:val="1"/>
    <w:qFormat/>
    <w:uiPriority w:val="0"/>
    <w:pPr>
      <w:keepNext/>
      <w:keepLines/>
      <w:overflowPunct w:val="0"/>
      <w:autoSpaceDE w:val="0"/>
      <w:autoSpaceDN w:val="0"/>
      <w:adjustRightInd w:val="0"/>
      <w:textAlignment w:val="baseline"/>
    </w:pPr>
    <w:rPr>
      <w:rFonts w:eastAsia="Times New Roman"/>
      <w:b/>
      <w:lang w:eastAsia="ja-JP"/>
    </w:rPr>
  </w:style>
  <w:style w:type="paragraph" w:customStyle="1" w:styleId="271">
    <w:name w:val="enumlev2"/>
    <w:basedOn w:val="1"/>
    <w:qFormat/>
    <w:uiPriority w:val="0"/>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272">
    <w:name w:val="Couv Rec Title"/>
    <w:basedOn w:val="1"/>
    <w:qFormat/>
    <w:uiPriority w:val="0"/>
    <w:pPr>
      <w:keepNext/>
      <w:keepLines/>
      <w:overflowPunct w:val="0"/>
      <w:autoSpaceDE w:val="0"/>
      <w:autoSpaceDN w:val="0"/>
      <w:adjustRightInd w:val="0"/>
      <w:spacing w:before="240"/>
      <w:ind w:left="1418"/>
      <w:textAlignment w:val="baseline"/>
    </w:pPr>
    <w:rPr>
      <w:rFonts w:ascii="Arial" w:hAnsi="Arial" w:eastAsia="Times New Roman"/>
      <w:b/>
      <w:sz w:val="36"/>
      <w:lang w:val="en-US" w:eastAsia="ja-JP"/>
    </w:rPr>
  </w:style>
  <w:style w:type="paragraph" w:customStyle="1" w:styleId="273">
    <w:name w:val="Figure"/>
    <w:basedOn w:val="1"/>
    <w:qFormat/>
    <w:uiPriority w:val="0"/>
    <w:pPr>
      <w:tabs>
        <w:tab w:val="left" w:pos="1440"/>
      </w:tabs>
      <w:spacing w:before="180" w:after="240" w:line="280" w:lineRule="atLeast"/>
      <w:ind w:left="720" w:hanging="360"/>
      <w:jc w:val="center"/>
    </w:pPr>
    <w:rPr>
      <w:rFonts w:ascii="Arial" w:hAnsi="Arial" w:eastAsia="Times New Roman"/>
      <w:b/>
      <w:lang w:val="en-US" w:eastAsia="ja-JP"/>
    </w:rPr>
  </w:style>
  <w:style w:type="table" w:customStyle="1" w:styleId="274">
    <w:name w:val="Table Grid1"/>
    <w:basedOn w:val="59"/>
    <w:qFormat/>
    <w:uiPriority w:val="39"/>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75">
    <w:name w:val="Data"/>
    <w:basedOn w:val="1"/>
    <w:qFormat/>
    <w:uiPriority w:val="0"/>
    <w:pPr>
      <w:tabs>
        <w:tab w:val="left" w:pos="1418"/>
      </w:tabs>
      <w:overflowPunct w:val="0"/>
      <w:autoSpaceDE w:val="0"/>
      <w:autoSpaceDN w:val="0"/>
      <w:adjustRightInd w:val="0"/>
      <w:spacing w:after="120"/>
      <w:textAlignment w:val="baseline"/>
    </w:pPr>
    <w:rPr>
      <w:rFonts w:ascii="Arial" w:hAnsi="Arial" w:eastAsia="MS Mincho"/>
      <w:sz w:val="24"/>
      <w:lang w:val="fr-FR" w:eastAsia="ko-KR"/>
    </w:rPr>
  </w:style>
  <w:style w:type="paragraph" w:customStyle="1" w:styleId="276">
    <w:name w:val="p20"/>
    <w:basedOn w:val="1"/>
    <w:qFormat/>
    <w:uiPriority w:val="0"/>
    <w:pPr>
      <w:snapToGrid w:val="0"/>
      <w:spacing w:after="0"/>
      <w:textAlignment w:val="baseline"/>
    </w:pPr>
    <w:rPr>
      <w:rFonts w:ascii="Arial" w:hAnsi="Arial" w:eastAsia="宋体" w:cs="Arial"/>
      <w:sz w:val="18"/>
      <w:szCs w:val="18"/>
      <w:lang w:val="en-US" w:eastAsia="zh-CN"/>
    </w:rPr>
  </w:style>
  <w:style w:type="paragraph" w:customStyle="1" w:styleId="277">
    <w:name w:val="ATC"/>
    <w:basedOn w:val="1"/>
    <w:qFormat/>
    <w:uiPriority w:val="0"/>
    <w:pPr>
      <w:overflowPunct w:val="0"/>
      <w:autoSpaceDE w:val="0"/>
      <w:autoSpaceDN w:val="0"/>
      <w:adjustRightInd w:val="0"/>
      <w:textAlignment w:val="baseline"/>
    </w:pPr>
    <w:rPr>
      <w:rFonts w:eastAsia="Times New Roman"/>
      <w:lang w:eastAsia="ja-JP"/>
    </w:rPr>
  </w:style>
  <w:style w:type="paragraph" w:customStyle="1" w:styleId="278">
    <w:name w:val="TaOC"/>
    <w:basedOn w:val="107"/>
    <w:qFormat/>
    <w:uiPriority w:val="0"/>
    <w:pPr>
      <w:overflowPunct w:val="0"/>
      <w:autoSpaceDE w:val="0"/>
      <w:autoSpaceDN w:val="0"/>
      <w:adjustRightInd w:val="0"/>
      <w:textAlignment w:val="baseline"/>
    </w:pPr>
    <w:rPr>
      <w:rFonts w:eastAsia="Times New Roman"/>
      <w:lang w:eastAsia="ja-JP"/>
    </w:rPr>
  </w:style>
  <w:style w:type="paragraph" w:customStyle="1" w:styleId="279">
    <w:name w:val="(文字) (文字)1 Char (文字) (文字) Char (文字) (文字)1 Char (文字) (文字)"/>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280">
    <w:name w:val="xl40"/>
    <w:basedOn w:val="1"/>
    <w:qFormat/>
    <w:uiPriority w:val="0"/>
    <w:pPr>
      <w:shd w:val="clear" w:color="000000" w:fill="FFFF00"/>
      <w:spacing w:before="100" w:beforeAutospacing="1" w:after="100" w:afterAutospacing="1"/>
      <w:jc w:val="center"/>
    </w:pPr>
    <w:rPr>
      <w:rFonts w:ascii="Arial" w:hAnsi="Arial" w:eastAsia="Times New Roman" w:cs="Arial"/>
      <w:b/>
      <w:bCs/>
      <w:color w:val="000000"/>
      <w:sz w:val="16"/>
      <w:szCs w:val="16"/>
      <w:lang w:eastAsia="en-GB"/>
    </w:rPr>
  </w:style>
  <w:style w:type="paragraph" w:customStyle="1" w:styleId="281">
    <w:name w:val="Separation"/>
    <w:basedOn w:val="2"/>
    <w:next w:val="1"/>
    <w:qFormat/>
    <w:uiPriority w:val="0"/>
    <w:pPr>
      <w:pBdr>
        <w:top w:val="none" w:color="auto" w:sz="0" w:space="0"/>
      </w:pBdr>
    </w:pPr>
    <w:rPr>
      <w:rFonts w:eastAsia="Times New Roman"/>
      <w:b/>
      <w:color w:val="0000FF"/>
      <w:lang w:eastAsia="ja-JP"/>
    </w:rPr>
  </w:style>
  <w:style w:type="character" w:customStyle="1" w:styleId="282">
    <w:name w:val="T1 Char3"/>
    <w:qFormat/>
    <w:uiPriority w:val="0"/>
    <w:rPr>
      <w:rFonts w:ascii="Arial" w:hAnsi="Arial"/>
      <w:lang w:val="en-GB" w:eastAsia="en-US" w:bidi="ar-SA"/>
    </w:rPr>
  </w:style>
  <w:style w:type="table" w:customStyle="1" w:styleId="283">
    <w:name w:val="Tabellengitternetz1"/>
    <w:basedOn w:val="59"/>
    <w:qFormat/>
    <w:uiPriority w:val="0"/>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4">
    <w:name w:val="Tabellengitternetz2"/>
    <w:basedOn w:val="59"/>
    <w:qFormat/>
    <w:uiPriority w:val="0"/>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5">
    <w:name w:val="Tabellengitternetz3"/>
    <w:basedOn w:val="59"/>
    <w:qFormat/>
    <w:uiPriority w:val="0"/>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6">
    <w:name w:val="Tabellengitternetz4"/>
    <w:basedOn w:val="59"/>
    <w:qFormat/>
    <w:uiPriority w:val="0"/>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7">
    <w:name w:val="Tabellengitternetz5"/>
    <w:basedOn w:val="59"/>
    <w:qFormat/>
    <w:uiPriority w:val="0"/>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8">
    <w:name w:val="Tabellengitternetz6"/>
    <w:basedOn w:val="59"/>
    <w:qFormat/>
    <w:uiPriority w:val="0"/>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9">
    <w:name w:val="Tabellengitternetz7"/>
    <w:basedOn w:val="59"/>
    <w:qFormat/>
    <w:uiPriority w:val="0"/>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0">
    <w:name w:val="Tabellengitternetz8"/>
    <w:basedOn w:val="59"/>
    <w:qFormat/>
    <w:uiPriority w:val="0"/>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1">
    <w:name w:val="Tabellengitternetz9"/>
    <w:basedOn w:val="59"/>
    <w:qFormat/>
    <w:uiPriority w:val="0"/>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92">
    <w:name w:val="Bullet"/>
    <w:basedOn w:val="1"/>
    <w:qFormat/>
    <w:uiPriority w:val="0"/>
    <w:pPr>
      <w:tabs>
        <w:tab w:val="left" w:pos="928"/>
      </w:tabs>
      <w:ind w:left="928" w:hanging="360"/>
    </w:pPr>
    <w:rPr>
      <w:rFonts w:eastAsia="Batang"/>
      <w:lang w:eastAsia="ko-KR"/>
    </w:rPr>
  </w:style>
  <w:style w:type="table" w:customStyle="1" w:styleId="293">
    <w:name w:val="Table Grid2"/>
    <w:basedOn w:val="59"/>
    <w:qFormat/>
    <w:uiPriority w:val="0"/>
    <w:pPr>
      <w:overflowPunct w:val="0"/>
      <w:autoSpaceDE w:val="0"/>
      <w:autoSpaceDN w:val="0"/>
      <w:adjustRightInd w:val="0"/>
      <w:spacing w:after="180"/>
      <w:textAlignment w:val="baseline"/>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94">
    <w:name w:val="Style Heading 6 + Left:  0 cm Hanging:  3.49 cm After:  9 pt"/>
    <w:basedOn w:val="7"/>
    <w:qFormat/>
    <w:uiPriority w:val="0"/>
    <w:pPr>
      <w:keepNext w:val="0"/>
      <w:keepLines w:val="0"/>
      <w:spacing w:before="240"/>
      <w:ind w:left="1980" w:hanging="1980"/>
    </w:pPr>
    <w:rPr>
      <w:rFonts w:eastAsia="MS Mincho"/>
      <w:bCs/>
    </w:rPr>
  </w:style>
  <w:style w:type="paragraph" w:customStyle="1" w:styleId="295">
    <w:name w:val="Style Heading 6 + After:  9 pt"/>
    <w:basedOn w:val="7"/>
    <w:qFormat/>
    <w:uiPriority w:val="0"/>
    <w:pPr>
      <w:keepNext w:val="0"/>
      <w:keepLines w:val="0"/>
      <w:spacing w:before="240"/>
      <w:ind w:left="0" w:firstLine="0"/>
    </w:pPr>
    <w:rPr>
      <w:rFonts w:eastAsia="MS Mincho"/>
      <w:bCs/>
    </w:rPr>
  </w:style>
  <w:style w:type="table" w:customStyle="1" w:styleId="296">
    <w:name w:val="Table Grid3"/>
    <w:basedOn w:val="59"/>
    <w:qFormat/>
    <w:uiPriority w:val="0"/>
    <w:pPr>
      <w:overflowPunct w:val="0"/>
      <w:autoSpaceDE w:val="0"/>
      <w:autoSpaceDN w:val="0"/>
      <w:adjustRightInd w:val="0"/>
      <w:spacing w:after="180"/>
      <w:textAlignment w:val="baseline"/>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97">
    <w:name w:val="吹き出し3"/>
    <w:basedOn w:val="1"/>
    <w:semiHidden/>
    <w:qFormat/>
    <w:uiPriority w:val="0"/>
    <w:rPr>
      <w:rFonts w:ascii="Tahoma" w:hAnsi="Tahoma" w:eastAsia="MS Mincho" w:cs="Tahoma"/>
      <w:sz w:val="16"/>
      <w:szCs w:val="16"/>
      <w:lang w:eastAsia="ko-KR"/>
    </w:rPr>
  </w:style>
  <w:style w:type="paragraph" w:customStyle="1" w:styleId="298">
    <w:name w:val="JK - text - simple doc"/>
    <w:basedOn w:val="33"/>
    <w:qFormat/>
    <w:uiPriority w:val="0"/>
    <w:pPr>
      <w:widowControl/>
      <w:tabs>
        <w:tab w:val="left" w:pos="928"/>
        <w:tab w:val="left" w:pos="1097"/>
      </w:tabs>
      <w:spacing w:line="288" w:lineRule="auto"/>
      <w:ind w:left="1097" w:hanging="360"/>
    </w:pPr>
    <w:rPr>
      <w:rFonts w:ascii="Arial" w:hAnsi="Arial" w:eastAsia="宋体" w:cs="Arial"/>
      <w:sz w:val="20"/>
      <w:lang w:val="en-US"/>
    </w:rPr>
  </w:style>
  <w:style w:type="paragraph" w:customStyle="1" w:styleId="299">
    <w:name w:val="b1"/>
    <w:basedOn w:val="1"/>
    <w:qFormat/>
    <w:uiPriority w:val="0"/>
    <w:pPr>
      <w:spacing w:before="100" w:beforeAutospacing="1" w:after="100" w:afterAutospacing="1"/>
    </w:pPr>
    <w:rPr>
      <w:rFonts w:eastAsia="Times New Roman"/>
      <w:sz w:val="24"/>
      <w:szCs w:val="24"/>
      <w:lang w:val="en-US" w:eastAsia="ko-KR"/>
    </w:rPr>
  </w:style>
  <w:style w:type="paragraph" w:customStyle="1" w:styleId="300">
    <w:name w:val="吹き出し1"/>
    <w:basedOn w:val="1"/>
    <w:semiHidden/>
    <w:qFormat/>
    <w:uiPriority w:val="0"/>
    <w:rPr>
      <w:rFonts w:ascii="Tahoma" w:hAnsi="Tahoma" w:eastAsia="MS Mincho" w:cs="Tahoma"/>
      <w:sz w:val="16"/>
      <w:szCs w:val="16"/>
      <w:lang w:eastAsia="ko-KR"/>
    </w:rPr>
  </w:style>
  <w:style w:type="paragraph" w:customStyle="1" w:styleId="301">
    <w:name w:val="吹き出し2"/>
    <w:basedOn w:val="1"/>
    <w:semiHidden/>
    <w:qFormat/>
    <w:uiPriority w:val="0"/>
    <w:rPr>
      <w:rFonts w:ascii="Tahoma" w:hAnsi="Tahoma" w:eastAsia="MS Mincho" w:cs="Tahoma"/>
      <w:sz w:val="16"/>
      <w:szCs w:val="16"/>
      <w:lang w:eastAsia="ko-KR"/>
    </w:rPr>
  </w:style>
  <w:style w:type="paragraph" w:customStyle="1" w:styleId="302">
    <w:name w:val="Note"/>
    <w:basedOn w:val="135"/>
    <w:qFormat/>
    <w:uiPriority w:val="0"/>
    <w:pPr>
      <w:overflowPunct w:val="0"/>
      <w:autoSpaceDE w:val="0"/>
      <w:autoSpaceDN w:val="0"/>
      <w:adjustRightInd w:val="0"/>
      <w:textAlignment w:val="baseline"/>
    </w:pPr>
    <w:rPr>
      <w:rFonts w:eastAsia="MS Mincho"/>
      <w:lang w:eastAsia="en-GB"/>
    </w:rPr>
  </w:style>
  <w:style w:type="paragraph" w:customStyle="1" w:styleId="303">
    <w:name w:val="目次 91"/>
    <w:basedOn w:val="39"/>
    <w:qFormat/>
    <w:uiPriority w:val="0"/>
    <w:pPr>
      <w:overflowPunct w:val="0"/>
      <w:autoSpaceDE w:val="0"/>
      <w:autoSpaceDN w:val="0"/>
      <w:adjustRightInd w:val="0"/>
      <w:ind w:left="1418" w:hanging="1418"/>
      <w:textAlignment w:val="baseline"/>
    </w:pPr>
    <w:rPr>
      <w:rFonts w:eastAsia="MS Mincho"/>
      <w:lang w:val="en-US" w:eastAsia="en-GB"/>
    </w:rPr>
  </w:style>
  <w:style w:type="paragraph" w:customStyle="1" w:styleId="304">
    <w:name w:val="図表番号1"/>
    <w:basedOn w:val="1"/>
    <w:next w:val="1"/>
    <w:qFormat/>
    <w:uiPriority w:val="0"/>
    <w:pPr>
      <w:overflowPunct w:val="0"/>
      <w:autoSpaceDE w:val="0"/>
      <w:autoSpaceDN w:val="0"/>
      <w:adjustRightInd w:val="0"/>
      <w:spacing w:before="120" w:after="120"/>
      <w:textAlignment w:val="baseline"/>
    </w:pPr>
    <w:rPr>
      <w:rFonts w:eastAsia="MS Mincho"/>
      <w:b/>
      <w:lang w:eastAsia="en-GB"/>
    </w:rPr>
  </w:style>
  <w:style w:type="paragraph" w:customStyle="1" w:styleId="305">
    <w:name w:val="HO"/>
    <w:basedOn w:val="1"/>
    <w:qFormat/>
    <w:uiPriority w:val="0"/>
    <w:pPr>
      <w:overflowPunct w:val="0"/>
      <w:autoSpaceDE w:val="0"/>
      <w:autoSpaceDN w:val="0"/>
      <w:adjustRightInd w:val="0"/>
      <w:spacing w:after="0"/>
      <w:jc w:val="right"/>
      <w:textAlignment w:val="baseline"/>
    </w:pPr>
    <w:rPr>
      <w:rFonts w:eastAsia="MS Mincho"/>
      <w:b/>
      <w:lang w:eastAsia="en-GB"/>
    </w:rPr>
  </w:style>
  <w:style w:type="paragraph" w:customStyle="1" w:styleId="306">
    <w:name w:val="WP"/>
    <w:basedOn w:val="1"/>
    <w:qFormat/>
    <w:uiPriority w:val="0"/>
    <w:pPr>
      <w:overflowPunct w:val="0"/>
      <w:autoSpaceDE w:val="0"/>
      <w:autoSpaceDN w:val="0"/>
      <w:adjustRightInd w:val="0"/>
      <w:spacing w:after="0"/>
      <w:jc w:val="both"/>
      <w:textAlignment w:val="baseline"/>
    </w:pPr>
    <w:rPr>
      <w:rFonts w:eastAsia="MS Mincho"/>
      <w:lang w:eastAsia="en-GB"/>
    </w:rPr>
  </w:style>
  <w:style w:type="paragraph" w:customStyle="1" w:styleId="307">
    <w:name w:val="ZK"/>
    <w:qFormat/>
    <w:uiPriority w:val="0"/>
    <w:pPr>
      <w:spacing w:after="240" w:line="240" w:lineRule="atLeast"/>
      <w:ind w:left="1191" w:right="113" w:hanging="1191"/>
    </w:pPr>
    <w:rPr>
      <w:rFonts w:ascii="Times New Roman" w:hAnsi="Times New Roman" w:eastAsia="MS Mincho" w:cs="Times New Roman"/>
      <w:lang w:val="en-GB" w:eastAsia="en-US" w:bidi="ar-SA"/>
    </w:rPr>
  </w:style>
  <w:style w:type="paragraph" w:customStyle="1" w:styleId="308">
    <w:name w:val="ZC"/>
    <w:qFormat/>
    <w:uiPriority w:val="0"/>
    <w:pPr>
      <w:spacing w:line="360" w:lineRule="atLeast"/>
      <w:jc w:val="center"/>
    </w:pPr>
    <w:rPr>
      <w:rFonts w:ascii="Times New Roman" w:hAnsi="Times New Roman" w:eastAsia="MS Mincho" w:cs="Times New Roman"/>
      <w:lang w:val="en-GB" w:eastAsia="en-US" w:bidi="ar-SA"/>
    </w:rPr>
  </w:style>
  <w:style w:type="paragraph" w:customStyle="1" w:styleId="309">
    <w:name w:val="FooterCentred"/>
    <w:basedOn w:val="44"/>
    <w:qFormat/>
    <w:uiPriority w:val="0"/>
    <w:pPr>
      <w:tabs>
        <w:tab w:val="center" w:pos="4678"/>
        <w:tab w:val="right" w:pos="9356"/>
      </w:tabs>
      <w:overflowPunct w:val="0"/>
      <w:autoSpaceDE w:val="0"/>
      <w:autoSpaceDN w:val="0"/>
      <w:adjustRightInd w:val="0"/>
      <w:jc w:val="both"/>
      <w:textAlignment w:val="baseline"/>
    </w:pPr>
    <w:rPr>
      <w:rFonts w:ascii="Times New Roman" w:hAnsi="Times New Roman" w:eastAsia="MS Mincho"/>
      <w:b w:val="0"/>
      <w:i w:val="0"/>
      <w:sz w:val="20"/>
      <w:lang w:eastAsia="en-GB"/>
    </w:rPr>
  </w:style>
  <w:style w:type="paragraph" w:customStyle="1" w:styleId="310">
    <w:name w:val="Numbered List"/>
    <w:basedOn w:val="311"/>
    <w:qFormat/>
    <w:uiPriority w:val="0"/>
    <w:pPr>
      <w:tabs>
        <w:tab w:val="left" w:pos="360"/>
      </w:tabs>
      <w:ind w:left="360" w:hanging="360"/>
    </w:pPr>
  </w:style>
  <w:style w:type="paragraph" w:customStyle="1" w:styleId="311">
    <w:name w:val="Para1"/>
    <w:basedOn w:val="1"/>
    <w:qFormat/>
    <w:uiPriority w:val="0"/>
    <w:pPr>
      <w:overflowPunct w:val="0"/>
      <w:autoSpaceDE w:val="0"/>
      <w:autoSpaceDN w:val="0"/>
      <w:adjustRightInd w:val="0"/>
      <w:spacing w:before="120" w:after="120"/>
      <w:textAlignment w:val="baseline"/>
    </w:pPr>
    <w:rPr>
      <w:rFonts w:eastAsia="MS Mincho"/>
      <w:lang w:val="en-US" w:eastAsia="en-GB"/>
    </w:rPr>
  </w:style>
  <w:style w:type="paragraph" w:customStyle="1" w:styleId="312">
    <w:name w:val="Test step"/>
    <w:basedOn w:val="1"/>
    <w:qFormat/>
    <w:uiPriority w:val="0"/>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313">
    <w:name w:val="TableTitle"/>
    <w:basedOn w:val="53"/>
    <w:next w:val="53"/>
    <w:qFormat/>
    <w:uiPriority w:val="0"/>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314">
    <w:name w:val="図表目次1"/>
    <w:basedOn w:val="1"/>
    <w:next w:val="1"/>
    <w:qFormat/>
    <w:uiPriority w:val="0"/>
    <w:pPr>
      <w:overflowPunct w:val="0"/>
      <w:autoSpaceDE w:val="0"/>
      <w:autoSpaceDN w:val="0"/>
      <w:adjustRightInd w:val="0"/>
      <w:ind w:left="400" w:hanging="400"/>
      <w:jc w:val="center"/>
      <w:textAlignment w:val="baseline"/>
    </w:pPr>
    <w:rPr>
      <w:rFonts w:eastAsia="MS Mincho"/>
      <w:b/>
      <w:lang w:eastAsia="en-GB"/>
    </w:rPr>
  </w:style>
  <w:style w:type="paragraph" w:customStyle="1" w:styleId="315">
    <w:name w:val="t2"/>
    <w:basedOn w:val="1"/>
    <w:qFormat/>
    <w:uiPriority w:val="0"/>
    <w:pPr>
      <w:overflowPunct w:val="0"/>
      <w:autoSpaceDE w:val="0"/>
      <w:autoSpaceDN w:val="0"/>
      <w:adjustRightInd w:val="0"/>
      <w:spacing w:after="0"/>
      <w:textAlignment w:val="baseline"/>
    </w:pPr>
    <w:rPr>
      <w:rFonts w:eastAsia="MS Mincho"/>
      <w:lang w:eastAsia="en-GB"/>
    </w:rPr>
  </w:style>
  <w:style w:type="paragraph" w:customStyle="1" w:styleId="316">
    <w:name w:val="Comment Nokia"/>
    <w:basedOn w:val="1"/>
    <w:qFormat/>
    <w:uiPriority w:val="0"/>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317">
    <w:name w:val="Copyright"/>
    <w:basedOn w:val="1"/>
    <w:qFormat/>
    <w:uiPriority w:val="0"/>
    <w:pPr>
      <w:overflowPunct w:val="0"/>
      <w:autoSpaceDE w:val="0"/>
      <w:autoSpaceDN w:val="0"/>
      <w:adjustRightInd w:val="0"/>
      <w:spacing w:after="0"/>
      <w:jc w:val="center"/>
      <w:textAlignment w:val="baseline"/>
    </w:pPr>
    <w:rPr>
      <w:rFonts w:ascii="Arial" w:hAnsi="Arial" w:eastAsia="MS Mincho"/>
      <w:b/>
      <w:sz w:val="16"/>
      <w:lang w:eastAsia="ja-JP"/>
    </w:rPr>
  </w:style>
  <w:style w:type="paragraph" w:customStyle="1" w:styleId="318">
    <w:name w:val="Tdoc_table"/>
    <w:qFormat/>
    <w:uiPriority w:val="0"/>
    <w:pPr>
      <w:ind w:left="244" w:hanging="244"/>
    </w:pPr>
    <w:rPr>
      <w:rFonts w:ascii="Arial" w:hAnsi="Arial" w:eastAsia="宋体" w:cs="Times New Roman"/>
      <w:color w:val="000000"/>
      <w:lang w:val="en-GB" w:eastAsia="en-US" w:bidi="ar-SA"/>
    </w:rPr>
  </w:style>
  <w:style w:type="paragraph" w:customStyle="1" w:styleId="319">
    <w:name w:val="Heading 3.Underrubrik2.H3"/>
    <w:basedOn w:val="320"/>
    <w:next w:val="1"/>
    <w:qFormat/>
    <w:uiPriority w:val="0"/>
    <w:pPr>
      <w:spacing w:before="120"/>
      <w:outlineLvl w:val="2"/>
    </w:pPr>
    <w:rPr>
      <w:sz w:val="28"/>
    </w:rPr>
  </w:style>
  <w:style w:type="paragraph" w:customStyle="1" w:styleId="320">
    <w:name w:val="Heading 2.Head2A.2"/>
    <w:basedOn w:val="2"/>
    <w:next w:val="1"/>
    <w:qFormat/>
    <w:uiPriority w:val="0"/>
    <w:pPr>
      <w:pBdr>
        <w:top w:val="none" w:color="auto" w:sz="0" w:space="0"/>
      </w:pBdr>
      <w:overflowPunct w:val="0"/>
      <w:autoSpaceDE w:val="0"/>
      <w:autoSpaceDN w:val="0"/>
      <w:adjustRightInd w:val="0"/>
      <w:spacing w:before="180"/>
      <w:textAlignment w:val="baseline"/>
      <w:outlineLvl w:val="1"/>
    </w:pPr>
    <w:rPr>
      <w:rFonts w:eastAsia="宋体"/>
      <w:sz w:val="32"/>
      <w:lang w:eastAsia="es-ES"/>
    </w:rPr>
  </w:style>
  <w:style w:type="paragraph" w:customStyle="1" w:styleId="321">
    <w:name w:val="Title Text"/>
    <w:basedOn w:val="1"/>
    <w:next w:val="1"/>
    <w:qFormat/>
    <w:uiPriority w:val="0"/>
    <w:pPr>
      <w:overflowPunct w:val="0"/>
      <w:autoSpaceDE w:val="0"/>
      <w:autoSpaceDN w:val="0"/>
      <w:adjustRightInd w:val="0"/>
      <w:spacing w:after="220"/>
      <w:textAlignment w:val="baseline"/>
    </w:pPr>
    <w:rPr>
      <w:rFonts w:eastAsia="MS Mincho"/>
      <w:b/>
      <w:lang w:val="en-US" w:eastAsia="en-GB"/>
    </w:rPr>
  </w:style>
  <w:style w:type="paragraph" w:customStyle="1" w:styleId="322">
    <w:name w:val="Überschrift 2.Head2A.2"/>
    <w:basedOn w:val="2"/>
    <w:next w:val="1"/>
    <w:qFormat/>
    <w:uiPriority w:val="0"/>
    <w:pPr>
      <w:pBdr>
        <w:top w:val="none" w:color="auto" w:sz="0" w:space="0"/>
      </w:pBdr>
      <w:spacing w:before="180"/>
      <w:outlineLvl w:val="1"/>
    </w:pPr>
    <w:rPr>
      <w:rFonts w:eastAsia="MS Mincho"/>
      <w:sz w:val="32"/>
      <w:lang w:eastAsia="de-DE"/>
    </w:rPr>
  </w:style>
  <w:style w:type="paragraph" w:customStyle="1" w:styleId="323">
    <w:name w:val="Überschrift 3.h3.H3.Underrubrik2"/>
    <w:basedOn w:val="3"/>
    <w:next w:val="1"/>
    <w:qFormat/>
    <w:uiPriority w:val="0"/>
    <w:pPr>
      <w:spacing w:before="120"/>
      <w:outlineLvl w:val="2"/>
    </w:pPr>
    <w:rPr>
      <w:rFonts w:eastAsia="MS Mincho"/>
      <w:sz w:val="28"/>
      <w:lang w:eastAsia="de-DE"/>
    </w:rPr>
  </w:style>
  <w:style w:type="paragraph" w:customStyle="1" w:styleId="324">
    <w:name w:val="Bullets"/>
    <w:basedOn w:val="33"/>
    <w:qFormat/>
    <w:uiPriority w:val="0"/>
    <w:pPr>
      <w:overflowPunct w:val="0"/>
      <w:autoSpaceDE w:val="0"/>
      <w:autoSpaceDN w:val="0"/>
      <w:adjustRightInd w:val="0"/>
      <w:ind w:left="283" w:hanging="283"/>
      <w:textAlignment w:val="baseline"/>
    </w:pPr>
    <w:rPr>
      <w:sz w:val="20"/>
      <w:lang w:eastAsia="de-DE"/>
    </w:rPr>
  </w:style>
  <w:style w:type="paragraph" w:customStyle="1" w:styleId="325">
    <w:name w:val="11 BodyText"/>
    <w:basedOn w:val="1"/>
    <w:qFormat/>
    <w:uiPriority w:val="0"/>
    <w:pPr>
      <w:spacing w:after="220"/>
      <w:ind w:left="1298"/>
    </w:pPr>
    <w:rPr>
      <w:rFonts w:ascii="Arial" w:hAnsi="Arial" w:eastAsia="宋体"/>
      <w:lang w:val="en-US" w:eastAsia="en-GB"/>
    </w:rPr>
  </w:style>
  <w:style w:type="paragraph" w:customStyle="1" w:styleId="326">
    <w:name w:val="样式 样式 标题 1 + 两端对齐 段前: 0.3 行 段后: 0.3 行 行距: 单倍行距 + 段前: 0.2 行 段后: ..."/>
    <w:basedOn w:val="1"/>
    <w:qFormat/>
    <w:uiPriority w:val="0"/>
    <w:pPr>
      <w:keepNext/>
      <w:tabs>
        <w:tab w:val="left" w:pos="0"/>
      </w:tabs>
      <w:spacing w:beforeLines="20" w:afterLines="10"/>
      <w:ind w:right="284"/>
      <w:jc w:val="both"/>
      <w:outlineLvl w:val="0"/>
    </w:pPr>
    <w:rPr>
      <w:rFonts w:ascii="Arial" w:hAnsi="Arial" w:eastAsia="宋体" w:cs="宋体"/>
      <w:b/>
      <w:bCs/>
      <w:sz w:val="28"/>
      <w:lang w:val="en-US" w:eastAsia="zh-CN"/>
    </w:rPr>
  </w:style>
  <w:style w:type="table" w:customStyle="1" w:styleId="327">
    <w:name w:val="网格型3"/>
    <w:basedOn w:val="59"/>
    <w:qFormat/>
    <w:uiPriority w:val="0"/>
    <w:pPr>
      <w:overflowPunct w:val="0"/>
      <w:autoSpaceDE w:val="0"/>
      <w:autoSpaceDN w:val="0"/>
      <w:adjustRightInd w:val="0"/>
      <w:spacing w:after="180"/>
      <w:textAlignment w:val="baseline"/>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8">
    <w:name w:val="网格型4"/>
    <w:basedOn w:val="59"/>
    <w:qFormat/>
    <w:uiPriority w:val="0"/>
    <w:pPr>
      <w:overflowPunct w:val="0"/>
      <w:autoSpaceDE w:val="0"/>
      <w:autoSpaceDN w:val="0"/>
      <w:adjustRightInd w:val="0"/>
      <w:spacing w:after="180"/>
      <w:textAlignment w:val="baseline"/>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29">
    <w:name w:val="Normal + Arial"/>
    <w:basedOn w:val="1"/>
    <w:qFormat/>
    <w:uiPriority w:val="0"/>
    <w:pPr>
      <w:keepNext/>
      <w:keepLines/>
      <w:overflowPunct w:val="0"/>
      <w:autoSpaceDE w:val="0"/>
      <w:autoSpaceDN w:val="0"/>
      <w:adjustRightInd w:val="0"/>
      <w:spacing w:after="0"/>
      <w:ind w:right="134"/>
      <w:jc w:val="right"/>
      <w:textAlignment w:val="baseline"/>
    </w:pPr>
    <w:rPr>
      <w:rFonts w:ascii="Arial" w:hAnsi="Arial" w:eastAsia="Times New Roman" w:cs="Arial"/>
      <w:sz w:val="18"/>
      <w:szCs w:val="18"/>
      <w:lang w:val="en-US" w:eastAsia="ko-KR"/>
    </w:rPr>
  </w:style>
  <w:style w:type="paragraph" w:customStyle="1" w:styleId="330">
    <w:name w:val="Style TAC +"/>
    <w:basedOn w:val="107"/>
    <w:next w:val="107"/>
    <w:link w:val="331"/>
    <w:qFormat/>
    <w:uiPriority w:val="0"/>
    <w:rPr>
      <w:kern w:val="2"/>
    </w:rPr>
  </w:style>
  <w:style w:type="character" w:customStyle="1" w:styleId="331">
    <w:name w:val="Style TAC + Char"/>
    <w:link w:val="330"/>
    <w:qFormat/>
    <w:uiPriority w:val="0"/>
    <w:rPr>
      <w:rFonts w:ascii="Arial" w:hAnsi="Arial"/>
      <w:kern w:val="2"/>
      <w:sz w:val="18"/>
      <w:lang w:val="en-GB" w:eastAsia="en-US"/>
    </w:rPr>
  </w:style>
  <w:style w:type="character" w:customStyle="1" w:styleId="332">
    <w:name w:val="Char Char29"/>
    <w:qFormat/>
    <w:uiPriority w:val="0"/>
    <w:rPr>
      <w:rFonts w:ascii="Arial" w:hAnsi="Arial"/>
      <w:sz w:val="36"/>
      <w:lang w:val="en-GB" w:eastAsia="en-US" w:bidi="ar-SA"/>
    </w:rPr>
  </w:style>
  <w:style w:type="character" w:customStyle="1" w:styleId="333">
    <w:name w:val="Char Char28"/>
    <w:qFormat/>
    <w:uiPriority w:val="0"/>
    <w:rPr>
      <w:rFonts w:ascii="Arial" w:hAnsi="Arial"/>
      <w:sz w:val="32"/>
      <w:lang w:val="en-GB"/>
    </w:rPr>
  </w:style>
  <w:style w:type="character" w:customStyle="1" w:styleId="334">
    <w:name w:val="h4 Char3"/>
    <w:qFormat/>
    <w:uiPriority w:val="0"/>
    <w:rPr>
      <w:rFonts w:ascii="Arial" w:hAnsi="Arial"/>
      <w:sz w:val="24"/>
      <w:lang w:val="en-GB" w:eastAsia="en-GB" w:bidi="ar-SA"/>
    </w:rPr>
  </w:style>
  <w:style w:type="character" w:customStyle="1" w:styleId="335">
    <w:name w:val="h5 Char4"/>
    <w:qFormat/>
    <w:uiPriority w:val="0"/>
    <w:rPr>
      <w:rFonts w:ascii="Arial" w:hAnsi="Arial"/>
      <w:sz w:val="22"/>
      <w:lang w:val="en-GB" w:eastAsia="en-GB" w:bidi="ar-SA"/>
    </w:rPr>
  </w:style>
  <w:style w:type="paragraph" w:customStyle="1" w:styleId="336">
    <w:name w:val="Default"/>
    <w:qFormat/>
    <w:uiPriority w:val="0"/>
    <w:pPr>
      <w:widowControl w:val="0"/>
      <w:autoSpaceDE w:val="0"/>
      <w:autoSpaceDN w:val="0"/>
      <w:adjustRightInd w:val="0"/>
    </w:pPr>
    <w:rPr>
      <w:rFonts w:ascii="Arial" w:hAnsi="Arial" w:eastAsia="Malgun Gothic" w:cs="Arial"/>
      <w:color w:val="000000"/>
      <w:sz w:val="24"/>
      <w:szCs w:val="24"/>
      <w:lang w:val="en-US" w:eastAsia="ja-JP" w:bidi="ar-SA"/>
    </w:rPr>
  </w:style>
  <w:style w:type="character" w:customStyle="1" w:styleId="337">
    <w:name w:val="B1 Zchn"/>
    <w:qFormat/>
    <w:uiPriority w:val="0"/>
    <w:rPr>
      <w:rFonts w:ascii="Times New Roman" w:hAnsi="Times New Roman"/>
      <w:lang w:val="en-GB"/>
    </w:rPr>
  </w:style>
  <w:style w:type="table" w:customStyle="1" w:styleId="338">
    <w:name w:val="Table Grid4"/>
    <w:basedOn w:val="59"/>
    <w:qFormat/>
    <w:uiPriority w:val="0"/>
    <w:rPr>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39">
    <w:name w:val="3GPP Normal Text"/>
    <w:basedOn w:val="33"/>
    <w:link w:val="340"/>
    <w:qFormat/>
    <w:uiPriority w:val="0"/>
    <w:pPr>
      <w:widowControl/>
      <w:ind w:hanging="22"/>
      <w:jc w:val="both"/>
    </w:pPr>
    <w:rPr>
      <w:rFonts w:ascii="Arial" w:hAnsi="Arial"/>
      <w:szCs w:val="24"/>
    </w:rPr>
  </w:style>
  <w:style w:type="character" w:customStyle="1" w:styleId="340">
    <w:name w:val="3GPP Normal Text Char"/>
    <w:link w:val="339"/>
    <w:qFormat/>
    <w:uiPriority w:val="0"/>
    <w:rPr>
      <w:rFonts w:ascii="Arial" w:hAnsi="Arial" w:eastAsia="MS Mincho" w:cs="Arial"/>
      <w:sz w:val="24"/>
      <w:szCs w:val="24"/>
      <w:lang w:eastAsia="en-US"/>
    </w:rPr>
  </w:style>
  <w:style w:type="table" w:customStyle="1" w:styleId="341">
    <w:name w:val="表格格線1"/>
    <w:basedOn w:val="59"/>
    <w:qFormat/>
    <w:uiPriority w:val="0"/>
    <w:rPr>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42">
    <w:name w:val="apple-converted-space"/>
    <w:qFormat/>
    <w:uiPriority w:val="0"/>
  </w:style>
  <w:style w:type="paragraph" w:customStyle="1" w:styleId="343">
    <w:name w:val="H5 3GPP"/>
    <w:basedOn w:val="1"/>
    <w:link w:val="344"/>
    <w:qFormat/>
    <w:uiPriority w:val="0"/>
    <w:pPr>
      <w:keepNext/>
      <w:keepLines/>
      <w:overflowPunct w:val="0"/>
      <w:autoSpaceDE w:val="0"/>
      <w:autoSpaceDN w:val="0"/>
      <w:adjustRightInd w:val="0"/>
      <w:spacing w:before="120"/>
      <w:ind w:left="1134" w:hanging="1134"/>
      <w:textAlignment w:val="baseline"/>
      <w:outlineLvl w:val="2"/>
    </w:pPr>
    <w:rPr>
      <w:rFonts w:ascii="Arial" w:hAnsi="Arial" w:eastAsia="宋体"/>
      <w:snapToGrid w:val="0"/>
      <w:sz w:val="22"/>
      <w:szCs w:val="22"/>
    </w:rPr>
  </w:style>
  <w:style w:type="character" w:customStyle="1" w:styleId="344">
    <w:name w:val="H5 3GPP Char"/>
    <w:link w:val="343"/>
    <w:qFormat/>
    <w:uiPriority w:val="0"/>
    <w:rPr>
      <w:rFonts w:ascii="Arial" w:hAnsi="Arial" w:eastAsia="宋体"/>
      <w:snapToGrid w:val="0"/>
      <w:sz w:val="22"/>
      <w:szCs w:val="22"/>
      <w:lang w:val="en-GB" w:eastAsia="en-US"/>
    </w:rPr>
  </w:style>
  <w:style w:type="paragraph" w:customStyle="1" w:styleId="345">
    <w:name w:val="副标题1"/>
    <w:basedOn w:val="1"/>
    <w:next w:val="1"/>
    <w:qFormat/>
    <w:uiPriority w:val="11"/>
    <w:pPr>
      <w:overflowPunct w:val="0"/>
      <w:autoSpaceDE w:val="0"/>
      <w:autoSpaceDN w:val="0"/>
      <w:adjustRightInd w:val="0"/>
      <w:spacing w:before="240" w:after="60" w:line="312" w:lineRule="auto"/>
      <w:jc w:val="center"/>
      <w:textAlignment w:val="baseline"/>
      <w:outlineLvl w:val="1"/>
    </w:pPr>
    <w:rPr>
      <w:rFonts w:ascii="Calibri Light" w:hAnsi="Calibri Light" w:eastAsia="宋体"/>
      <w:b/>
      <w:bCs/>
      <w:kern w:val="28"/>
      <w:sz w:val="32"/>
      <w:szCs w:val="32"/>
      <w:lang w:eastAsia="ko-KR"/>
    </w:rPr>
  </w:style>
  <w:style w:type="character" w:customStyle="1" w:styleId="346">
    <w:name w:val="Underrubrik2 Char1"/>
    <w:qFormat/>
    <w:locked/>
    <w:uiPriority w:val="9"/>
    <w:rPr>
      <w:rFonts w:ascii="Arial" w:hAnsi="Arial" w:eastAsia="Batang" w:cs="Times New Roman"/>
      <w:b/>
      <w:bCs/>
      <w:i/>
      <w:iCs/>
      <w:sz w:val="28"/>
      <w:szCs w:val="28"/>
      <w:lang w:val="en-GB" w:eastAsia="en-US" w:bidi="ar-SA"/>
    </w:rPr>
  </w:style>
  <w:style w:type="paragraph" w:customStyle="1" w:styleId="347">
    <w:name w:val="修订2"/>
    <w:hidden/>
    <w:semiHidden/>
    <w:qFormat/>
    <w:uiPriority w:val="0"/>
    <w:rPr>
      <w:rFonts w:ascii="Times New Roman" w:hAnsi="Times New Roman" w:eastAsia="Batang" w:cs="Times New Roman"/>
      <w:lang w:val="en-GB" w:eastAsia="en-US" w:bidi="ar-SA"/>
    </w:rPr>
  </w:style>
  <w:style w:type="character" w:customStyle="1" w:styleId="348">
    <w:name w:val="Heading 9 Char1"/>
    <w:semiHidden/>
    <w:qFormat/>
    <w:uiPriority w:val="0"/>
    <w:rPr>
      <w:rFonts w:ascii="Calibri Light" w:hAnsi="Calibri Light" w:eastAsia="Malgun Gothic" w:cs="Times New Roman"/>
      <w:i/>
      <w:iCs/>
      <w:color w:val="272727"/>
      <w:sz w:val="21"/>
      <w:szCs w:val="21"/>
      <w:lang w:val="en-GB"/>
    </w:rPr>
  </w:style>
  <w:style w:type="character" w:customStyle="1" w:styleId="349">
    <w:name w:val="副标题 Char1"/>
    <w:qFormat/>
    <w:uiPriority w:val="0"/>
    <w:rPr>
      <w:rFonts w:ascii="Cambria" w:hAnsi="Cambria" w:eastAsia="宋体" w:cs="Times New Roman"/>
      <w:b/>
      <w:bCs/>
      <w:kern w:val="28"/>
      <w:sz w:val="32"/>
      <w:szCs w:val="32"/>
      <w:lang w:val="en-GB" w:eastAsia="en-US"/>
    </w:rPr>
  </w:style>
  <w:style w:type="paragraph" w:customStyle="1" w:styleId="350">
    <w:name w:val="B8"/>
    <w:basedOn w:val="351"/>
    <w:link w:val="355"/>
    <w:qFormat/>
    <w:uiPriority w:val="0"/>
    <w:pPr>
      <w:ind w:left="2552"/>
    </w:pPr>
  </w:style>
  <w:style w:type="paragraph" w:customStyle="1" w:styleId="351">
    <w:name w:val="B7"/>
    <w:basedOn w:val="352"/>
    <w:link w:val="354"/>
    <w:qFormat/>
    <w:uiPriority w:val="0"/>
    <w:pPr>
      <w:ind w:left="2269"/>
    </w:pPr>
  </w:style>
  <w:style w:type="paragraph" w:customStyle="1" w:styleId="352">
    <w:name w:val="B6"/>
    <w:basedOn w:val="121"/>
    <w:link w:val="353"/>
    <w:qFormat/>
    <w:uiPriority w:val="0"/>
    <w:pPr>
      <w:overflowPunct w:val="0"/>
      <w:autoSpaceDE w:val="0"/>
      <w:autoSpaceDN w:val="0"/>
      <w:adjustRightInd w:val="0"/>
      <w:ind w:left="1985"/>
      <w:textAlignment w:val="baseline"/>
    </w:pPr>
    <w:rPr>
      <w:rFonts w:eastAsia="MS Mincho"/>
      <w:lang w:eastAsia="ja-JP"/>
    </w:rPr>
  </w:style>
  <w:style w:type="character" w:customStyle="1" w:styleId="353">
    <w:name w:val="B6 Char"/>
    <w:link w:val="352"/>
    <w:qFormat/>
    <w:uiPriority w:val="0"/>
    <w:rPr>
      <w:rFonts w:eastAsia="MS Mincho"/>
      <w:lang w:val="en-GB" w:eastAsia="ja-JP"/>
    </w:rPr>
  </w:style>
  <w:style w:type="character" w:customStyle="1" w:styleId="354">
    <w:name w:val="B7 Char"/>
    <w:link w:val="351"/>
    <w:qFormat/>
    <w:uiPriority w:val="0"/>
    <w:rPr>
      <w:rFonts w:eastAsia="MS Mincho"/>
      <w:lang w:val="en-GB" w:eastAsia="ja-JP"/>
    </w:rPr>
  </w:style>
  <w:style w:type="character" w:customStyle="1" w:styleId="355">
    <w:name w:val="B8 Char"/>
    <w:link w:val="350"/>
    <w:qFormat/>
    <w:uiPriority w:val="0"/>
    <w:rPr>
      <w:rFonts w:eastAsia="MS Mincho"/>
    </w:rPr>
  </w:style>
  <w:style w:type="character" w:customStyle="1" w:styleId="356">
    <w:name w:val="CR Cover Page Zchn"/>
    <w:qFormat/>
    <w:uiPriority w:val="0"/>
    <w:rPr>
      <w:rFonts w:ascii="Arial" w:hAnsi="Arial" w:eastAsia="宋体"/>
      <w:lang w:eastAsia="en-US" w:bidi="ar-SA"/>
    </w:rPr>
  </w:style>
  <w:style w:type="character" w:customStyle="1" w:styleId="357">
    <w:name w:val="B3 Char"/>
    <w:qFormat/>
    <w:uiPriority w:val="0"/>
    <w:rPr>
      <w:rFonts w:ascii="Times New Roman" w:hAnsi="Times New Roman"/>
      <w:lang w:val="en-GB" w:eastAsia="en-US"/>
    </w:rPr>
  </w:style>
  <w:style w:type="character" w:customStyle="1" w:styleId="358">
    <w:name w:val="B2 Car"/>
    <w:qFormat/>
    <w:uiPriority w:val="0"/>
    <w:rPr>
      <w:rFonts w:ascii="Times New Roman" w:hAnsi="Times New Roman"/>
      <w:lang w:val="en-GB" w:eastAsia="en-US"/>
    </w:rPr>
  </w:style>
  <w:style w:type="character" w:customStyle="1" w:styleId="359">
    <w:name w:val="Comment Text Char1"/>
    <w:qFormat/>
    <w:uiPriority w:val="99"/>
    <w:rPr>
      <w:rFonts w:ascii="Times New Roman" w:hAnsi="Times New Roman" w:eastAsia="Times New Roman"/>
    </w:rPr>
  </w:style>
  <w:style w:type="character" w:customStyle="1" w:styleId="360">
    <w:name w:val="Doc-text2 Char"/>
    <w:link w:val="361"/>
    <w:qFormat/>
    <w:uiPriority w:val="0"/>
    <w:rPr>
      <w:rFonts w:ascii="Arial" w:hAnsi="Arial"/>
      <w:szCs w:val="24"/>
      <w:lang w:eastAsia="en-GB"/>
    </w:rPr>
  </w:style>
  <w:style w:type="paragraph" w:customStyle="1" w:styleId="361">
    <w:name w:val="Doc-text2"/>
    <w:basedOn w:val="1"/>
    <w:link w:val="360"/>
    <w:qFormat/>
    <w:uiPriority w:val="0"/>
    <w:pPr>
      <w:tabs>
        <w:tab w:val="left" w:pos="1622"/>
      </w:tabs>
      <w:spacing w:after="0"/>
      <w:ind w:left="1622" w:hanging="363"/>
    </w:pPr>
    <w:rPr>
      <w:rFonts w:ascii="Arial" w:hAnsi="Arial"/>
      <w:szCs w:val="24"/>
      <w:lang w:eastAsia="en-GB"/>
    </w:rPr>
  </w:style>
  <w:style w:type="character" w:customStyle="1" w:styleId="362">
    <w:name w:val="TAL Char Char Char"/>
    <w:link w:val="363"/>
    <w:qFormat/>
    <w:uiPriority w:val="0"/>
    <w:rPr>
      <w:rFonts w:ascii="Arial" w:hAnsi="Arial"/>
      <w:sz w:val="18"/>
      <w:lang w:eastAsia="en-US"/>
    </w:rPr>
  </w:style>
  <w:style w:type="paragraph" w:customStyle="1" w:styleId="363">
    <w:name w:val="TAL Char Char"/>
    <w:basedOn w:val="1"/>
    <w:link w:val="362"/>
    <w:qFormat/>
    <w:uiPriority w:val="0"/>
    <w:pPr>
      <w:keepNext/>
      <w:keepLines/>
      <w:overflowPunct w:val="0"/>
      <w:autoSpaceDE w:val="0"/>
      <w:autoSpaceDN w:val="0"/>
      <w:adjustRightInd w:val="0"/>
      <w:spacing w:after="0"/>
      <w:textAlignment w:val="baseline"/>
    </w:pPr>
    <w:rPr>
      <w:rFonts w:ascii="Arial" w:hAnsi="Arial"/>
      <w:sz w:val="18"/>
    </w:rPr>
  </w:style>
  <w:style w:type="paragraph" w:customStyle="1" w:styleId="364">
    <w:name w:val="Comments"/>
    <w:basedOn w:val="1"/>
    <w:link w:val="365"/>
    <w:qFormat/>
    <w:uiPriority w:val="0"/>
    <w:pPr>
      <w:overflowPunct w:val="0"/>
      <w:autoSpaceDE w:val="0"/>
      <w:autoSpaceDN w:val="0"/>
      <w:adjustRightInd w:val="0"/>
      <w:spacing w:before="40" w:after="0"/>
      <w:textAlignment w:val="baseline"/>
    </w:pPr>
    <w:rPr>
      <w:rFonts w:ascii="Arial" w:hAnsi="Arial" w:eastAsia="MS Mincho"/>
      <w:i/>
      <w:sz w:val="18"/>
      <w:szCs w:val="24"/>
    </w:rPr>
  </w:style>
  <w:style w:type="character" w:customStyle="1" w:styleId="365">
    <w:name w:val="Comments Char"/>
    <w:link w:val="364"/>
    <w:qFormat/>
    <w:uiPriority w:val="0"/>
    <w:rPr>
      <w:rFonts w:ascii="Arial" w:hAnsi="Arial" w:eastAsia="MS Mincho"/>
      <w:i/>
      <w:sz w:val="18"/>
      <w:szCs w:val="24"/>
    </w:rPr>
  </w:style>
  <w:style w:type="table" w:customStyle="1" w:styleId="366">
    <w:name w:val="网格型1"/>
    <w:basedOn w:val="59"/>
    <w:qFormat/>
    <w:uiPriority w:val="39"/>
    <w:rPr>
      <w:rFonts w:ascii="Yu Mincho" w:hAnsi="Yu Mincho" w:eastAsia="Yu Mincho"/>
      <w:kern w:val="2"/>
      <w:sz w:val="21"/>
      <w:szCs w:val="22"/>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367">
    <w:name w:val="No Spacing"/>
    <w:qFormat/>
    <w:uiPriority w:val="1"/>
    <w:pPr>
      <w:overflowPunct w:val="0"/>
      <w:autoSpaceDE w:val="0"/>
      <w:autoSpaceDN w:val="0"/>
      <w:adjustRightInd w:val="0"/>
      <w:textAlignment w:val="baseline"/>
    </w:pPr>
    <w:rPr>
      <w:rFonts w:ascii="Times New Roman" w:hAnsi="Times New Roman" w:eastAsia="Times New Roman" w:cs="Times New Roman"/>
      <w:lang w:val="en-GB" w:eastAsia="ja-JP" w:bidi="ar-SA"/>
    </w:rPr>
  </w:style>
  <w:style w:type="paragraph" w:customStyle="1" w:styleId="368">
    <w:name w:val="wordsection1"/>
    <w:basedOn w:val="1"/>
    <w:qFormat/>
    <w:uiPriority w:val="0"/>
    <w:pPr>
      <w:spacing w:after="0"/>
    </w:pPr>
    <w:rPr>
      <w:rFonts w:ascii="Calibri" w:hAnsi="Calibri" w:eastAsia="宋体" w:cs="Calibri"/>
      <w:sz w:val="22"/>
      <w:szCs w:val="22"/>
      <w:lang w:val="en-US" w:eastAsia="zh-CN"/>
    </w:rPr>
  </w:style>
  <w:style w:type="character" w:customStyle="1" w:styleId="369">
    <w:name w:val="Unresolved Mention1"/>
    <w:semiHidden/>
    <w:unhideWhenUsed/>
    <w:qFormat/>
    <w:uiPriority w:val="99"/>
    <w:rPr>
      <w:color w:val="605E5C"/>
      <w:shd w:val="clear" w:color="auto" w:fill="E1DFDD"/>
    </w:rPr>
  </w:style>
  <w:style w:type="table" w:customStyle="1" w:styleId="370">
    <w:name w:val="网格型2"/>
    <w:basedOn w:val="59"/>
    <w:qFormat/>
    <w:uiPriority w:val="39"/>
    <w:rPr>
      <w:rFonts w:ascii="Yu Mincho" w:hAnsi="Yu Mincho" w:eastAsia="Yu Mincho"/>
      <w:kern w:val="2"/>
      <w:sz w:val="21"/>
      <w:szCs w:val="22"/>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71">
    <w:name w:val="Agreement"/>
    <w:basedOn w:val="1"/>
    <w:next w:val="361"/>
    <w:qFormat/>
    <w:uiPriority w:val="99"/>
    <w:pPr>
      <w:numPr>
        <w:ilvl w:val="0"/>
        <w:numId w:val="8"/>
      </w:numPr>
      <w:spacing w:before="60" w:after="0"/>
    </w:pPr>
    <w:rPr>
      <w:rFonts w:ascii="Arial" w:hAnsi="Arial" w:eastAsia="MS Mincho"/>
      <w:b/>
      <w:szCs w:val="24"/>
      <w:lang w:eastAsia="en-GB"/>
    </w:rPr>
  </w:style>
  <w:style w:type="paragraph" w:customStyle="1" w:styleId="372">
    <w:name w:val="Revision"/>
    <w:hidden/>
    <w:semiHidden/>
    <w:qFormat/>
    <w:uiPriority w:val="99"/>
    <w:rPr>
      <w:rFonts w:ascii="Times New Roman" w:hAnsi="Times New Roman" w:eastAsia="Malgun Gothic" w:cs="Times New Roman"/>
      <w:lang w:val="en-GB" w:eastAsia="en-US" w:bidi="ar-SA"/>
    </w:rPr>
  </w:style>
  <w:style w:type="paragraph" w:customStyle="1" w:styleId="373">
    <w:name w:val="B9"/>
    <w:basedOn w:val="350"/>
    <w:qFormat/>
    <w:uiPriority w:val="0"/>
    <w:pPr>
      <w:ind w:left="2836"/>
    </w:pPr>
    <w:rPr>
      <w:rFonts w:eastAsia="Times New Roman"/>
      <w:lang w:val="en-US"/>
    </w:rPr>
  </w:style>
  <w:style w:type="paragraph" w:customStyle="1" w:styleId="374">
    <w:name w:val="B10"/>
    <w:basedOn w:val="121"/>
    <w:link w:val="375"/>
    <w:qFormat/>
    <w:uiPriority w:val="0"/>
    <w:pPr>
      <w:overflowPunct w:val="0"/>
      <w:autoSpaceDE w:val="0"/>
      <w:autoSpaceDN w:val="0"/>
      <w:adjustRightInd w:val="0"/>
      <w:ind w:left="3119"/>
      <w:textAlignment w:val="baseline"/>
    </w:pPr>
    <w:rPr>
      <w:rFonts w:eastAsia="Times New Roman"/>
      <w:lang w:eastAsia="ja-JP"/>
    </w:rPr>
  </w:style>
  <w:style w:type="character" w:customStyle="1" w:styleId="375">
    <w:name w:val="B10 Char"/>
    <w:basedOn w:val="122"/>
    <w:link w:val="374"/>
    <w:uiPriority w:val="0"/>
    <w:rPr>
      <w:rFonts w:eastAsia="Times New Roman"/>
      <w:lang w:val="en-GB" w:eastAsia="ja-JP"/>
    </w:rPr>
  </w:style>
  <w:style w:type="paragraph" w:customStyle="1" w:styleId="376">
    <w:name w:val="Revision1"/>
    <w:hidden/>
    <w:semiHidden/>
    <w:qFormat/>
    <w:uiPriority w:val="99"/>
    <w:pPr>
      <w:spacing w:after="160" w:line="259" w:lineRule="auto"/>
    </w:pPr>
    <w:rPr>
      <w:rFonts w:ascii="Times New Roman" w:hAnsi="Times New Roman" w:eastAsia="MS Mincho" w:cs="Times New Roman"/>
      <w:lang w:val="en-GB" w:eastAsia="en-US" w:bidi="ar-SA"/>
    </w:rPr>
  </w:style>
  <w:style w:type="table" w:customStyle="1" w:styleId="377">
    <w:name w:val="网格型5"/>
    <w:basedOn w:val="59"/>
    <w:qFormat/>
    <w:uiPriority w:val="39"/>
    <w:rPr>
      <w:rFonts w:eastAsia="Batang"/>
      <w:lang w:val="sv-SE" w:eastAsia="sv-S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78">
    <w:name w:val="修订100"/>
    <w:hidden/>
    <w:semiHidden/>
    <w:qFormat/>
    <w:uiPriority w:val="99"/>
    <w:rPr>
      <w:rFonts w:ascii="Times New Roman" w:hAnsi="Times New Roman" w:eastAsia="Batang" w:cs="Times New Roman"/>
      <w:lang w:val="en-GB" w:eastAsia="en-US" w:bidi="ar-SA"/>
    </w:rPr>
  </w:style>
  <w:style w:type="paragraph" w:customStyle="1" w:styleId="379">
    <w:name w:val="修订1000"/>
    <w:hidden/>
    <w:semiHidden/>
    <w:qFormat/>
    <w:uiPriority w:val="0"/>
    <w:rPr>
      <w:rFonts w:ascii="Times New Roman" w:hAnsi="Times New Roman" w:eastAsia="Batang" w:cs="Times New Roman"/>
      <w:lang w:val="en-GB" w:eastAsia="en-US" w:bidi="ar-SA"/>
    </w:rPr>
  </w:style>
  <w:style w:type="paragraph" w:customStyle="1" w:styleId="380">
    <w:name w:val="修订10000"/>
    <w:hidden/>
    <w:semiHidden/>
    <w:qFormat/>
    <w:uiPriority w:val="0"/>
    <w:rPr>
      <w:rFonts w:ascii="Times New Roman" w:hAnsi="Times New Roman" w:eastAsia="Batang" w:cs="Times New Roman"/>
      <w:lang w:val="en-GB" w:eastAsia="en-US" w:bidi="ar-SA"/>
    </w:rPr>
  </w:style>
  <w:style w:type="paragraph" w:customStyle="1" w:styleId="381">
    <w:name w:val="修订100000"/>
    <w:hidden/>
    <w:semiHidden/>
    <w:qFormat/>
    <w:uiPriority w:val="0"/>
    <w:rPr>
      <w:rFonts w:ascii="Times New Roman" w:hAnsi="Times New Roman" w:eastAsia="Batang" w:cs="Times New Roman"/>
      <w:lang w:val="en-GB" w:eastAsia="en-US" w:bidi="ar-SA"/>
    </w:rPr>
  </w:style>
  <w:style w:type="paragraph" w:customStyle="1" w:styleId="382">
    <w:name w:val="修订1000000"/>
    <w:hidden/>
    <w:semiHidden/>
    <w:qFormat/>
    <w:uiPriority w:val="0"/>
    <w:rPr>
      <w:rFonts w:ascii="Times New Roman" w:hAnsi="Times New Roman" w:eastAsia="Batang" w:cs="Times New Roman"/>
      <w:lang w:val="en-GB" w:eastAsia="en-US" w:bidi="ar-SA"/>
    </w:rPr>
  </w:style>
  <w:style w:type="paragraph" w:customStyle="1" w:styleId="383">
    <w:name w:val="修订10000000"/>
    <w:hidden/>
    <w:semiHidden/>
    <w:qFormat/>
    <w:uiPriority w:val="0"/>
    <w:rPr>
      <w:rFonts w:ascii="Times New Roman" w:hAnsi="Times New Roman" w:eastAsia="Batang" w:cs="Times New Roman"/>
      <w:lang w:val="en-GB" w:eastAsia="en-US" w:bidi="ar-SA"/>
    </w:rPr>
  </w:style>
  <w:style w:type="paragraph" w:customStyle="1" w:styleId="384">
    <w:name w:val="修订100000000"/>
    <w:hidden/>
    <w:semiHidden/>
    <w:qFormat/>
    <w:uiPriority w:val="0"/>
    <w:rPr>
      <w:rFonts w:ascii="Times New Roman" w:hAnsi="Times New Roman" w:eastAsia="Batang" w:cs="Times New Roman"/>
      <w:lang w:val="en-GB" w:eastAsia="en-US" w:bidi="ar-SA"/>
    </w:rPr>
  </w:style>
  <w:style w:type="paragraph" w:customStyle="1" w:styleId="385">
    <w:name w:val="修订1000000000"/>
    <w:hidden/>
    <w:semiHidden/>
    <w:qFormat/>
    <w:uiPriority w:val="0"/>
    <w:rPr>
      <w:rFonts w:ascii="Times New Roman" w:hAnsi="Times New Roman" w:eastAsia="Batang" w:cs="Times New Roman"/>
      <w:lang w:val="en-GB" w:eastAsia="en-US" w:bidi="ar-SA"/>
    </w:rPr>
  </w:style>
  <w:style w:type="paragraph" w:customStyle="1" w:styleId="386">
    <w:name w:val="修订10000000000"/>
    <w:hidden/>
    <w:semiHidden/>
    <w:qFormat/>
    <w:uiPriority w:val="0"/>
    <w:rPr>
      <w:rFonts w:ascii="Times New Roman" w:hAnsi="Times New Roman" w:eastAsia="Batang" w:cs="Times New Roman"/>
      <w:lang w:val="en-GB" w:eastAsia="en-US" w:bidi="ar-SA"/>
    </w:rPr>
  </w:style>
  <w:style w:type="paragraph" w:customStyle="1" w:styleId="387">
    <w:name w:val="修订100000000000"/>
    <w:hidden/>
    <w:semiHidden/>
    <w:qFormat/>
    <w:uiPriority w:val="0"/>
    <w:rPr>
      <w:rFonts w:ascii="Times New Roman" w:hAnsi="Times New Roman" w:eastAsia="Batang" w:cs="Times New Roman"/>
      <w:lang w:val="en-GB" w:eastAsia="en-US" w:bidi="ar-SA"/>
    </w:rPr>
  </w:style>
  <w:style w:type="paragraph" w:customStyle="1" w:styleId="388">
    <w:name w:val="修订1000000000000"/>
    <w:hidden/>
    <w:semiHidden/>
    <w:qFormat/>
    <w:uiPriority w:val="0"/>
    <w:rPr>
      <w:rFonts w:ascii="Times New Roman" w:hAnsi="Times New Roman" w:eastAsia="Batang" w:cs="Times New Roman"/>
      <w:lang w:val="en-GB" w:eastAsia="en-US" w:bidi="ar-SA"/>
    </w:rPr>
  </w:style>
  <w:style w:type="table" w:customStyle="1" w:styleId="389">
    <w:name w:val="网格型6"/>
    <w:basedOn w:val="59"/>
    <w:qFormat/>
    <w:uiPriority w:val="39"/>
    <w:rPr>
      <w:rFonts w:eastAsia="Batang"/>
      <w:lang w:val="sv-SE" w:eastAsia="sv-S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90">
    <w:name w:val="normaltextrun"/>
    <w:basedOn w:val="61"/>
    <w:qFormat/>
    <w:uiPriority w:val="0"/>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0" Type="http://schemas.microsoft.com/office/2011/relationships/people" Target="people.xml"/><Relationship Id="rId2" Type="http://schemas.openxmlformats.org/officeDocument/2006/relationships/settings" Target="settings.xml"/><Relationship Id="rId19" Type="http://schemas.openxmlformats.org/officeDocument/2006/relationships/fontTable" Target="fontTable.xml"/><Relationship Id="rId18" Type="http://schemas.microsoft.com/office/2006/relationships/keyMapCustomizations" Target="customizations.xml"/><Relationship Id="rId17" Type="http://schemas.openxmlformats.org/officeDocument/2006/relationships/customXml" Target="../customXml/item5.xml"/><Relationship Id="rId16" Type="http://schemas.openxmlformats.org/officeDocument/2006/relationships/customXml" Target="../customXml/item4.xml"/><Relationship Id="rId15" Type="http://schemas.openxmlformats.org/officeDocument/2006/relationships/customXml" Target="../customXml/item3.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emf"/><Relationship Id="rId10" Type="http://schemas.openxmlformats.org/officeDocument/2006/relationships/oleObject" Target="embeddings/Microsoft_Visio_2003-2010___1.vsd"/><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p:properties xmlns:p="http://schemas.microsoft.com/office/2006/metadata/properties" xmlns:xsi="http://www.w3.org/2001/XMLSchema-instance">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264B69E-6CE8-444A-B5B0-2A6865E4AE67}">
  <ds:schemaRefs/>
</ds:datastoreItem>
</file>

<file path=customXml/itemProps3.xml><?xml version="1.0" encoding="utf-8"?>
<ds:datastoreItem xmlns:ds="http://schemas.openxmlformats.org/officeDocument/2006/customXml" ds:itemID="{24061D4E-BE80-436C-9654-0D19CFD5D7E3}">
  <ds:schemaRefs/>
</ds:datastoreItem>
</file>

<file path=customXml/itemProps4.xml><?xml version="1.0" encoding="utf-8"?>
<ds:datastoreItem xmlns:ds="http://schemas.openxmlformats.org/officeDocument/2006/customXml" ds:itemID="{31EF845D-A33E-47B1-B4B2-A8C6E037FCA8}">
  <ds:schemaRefs/>
</ds:datastoreItem>
</file>

<file path=customXml/itemProps5.xml><?xml version="1.0" encoding="utf-8"?>
<ds:datastoreItem xmlns:ds="http://schemas.openxmlformats.org/officeDocument/2006/customXml" ds:itemID="{9D596B4B-F5EC-43B7-8F10-7C82538159D6}">
  <ds:schemaRefs/>
</ds:datastoreItem>
</file>

<file path=docProps/app.xml><?xml version="1.0" encoding="utf-8"?>
<Properties xmlns="http://schemas.openxmlformats.org/officeDocument/2006/extended-properties" xmlns:vt="http://schemas.openxmlformats.org/officeDocument/2006/docPropsVTypes">
  <Template>Normal</Template>
  <Pages>11</Pages>
  <Words>4209</Words>
  <Characters>22313</Characters>
  <Lines>185</Lines>
  <Paragraphs>52</Paragraphs>
  <TotalTime>11</TotalTime>
  <ScaleCrop>false</ScaleCrop>
  <LinksUpToDate>false</LinksUpToDate>
  <CharactersWithSpaces>26470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2021-09-09T08:18:00Z</dcterms:created>
  <dc:creator>Georg Hampel</dc:creator>
  <cp:lastModifiedBy>ZTE</cp:lastModifiedBy>
  <cp:lastPrinted>2021-06-04T02:10:00Z</cp:lastPrinted>
  <dcterms:modified xsi:type="dcterms:W3CDTF">2021-09-09T12:06:05Z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_2015_ms_pID_725343">
    <vt:lpwstr>(3)GO+hFG1ZWI9PAjXevoUMsTHHAza/njfVerxL3j5jS4+2Rhjnu2FDBG5Vv49ZMvr/i+Jkod3a
cyc9v3cdFUeqd4X6fQzM4JJ0BJIVl5jB/fIknKt2tsQOg/xreefGZDIM93tJIZBKcaOsJF0F
oeH4qU9RIVPF4+2EL7zHZRfIVFir6+I8Iw4Sf5FjGzUOrOZFurafdP2uxZGn3OW8m8HW/KEO
E+xBfBw/f3hr7dqwaw</vt:lpwstr>
  </property>
  <property fmtid="{D5CDD505-2E9C-101B-9397-08002B2CF9AE}" pid="4" name="_2015_ms_pID_7253431">
    <vt:lpwstr>5Ev1a6D3BZP5Jfl2fuiOy9KEZMVCQKw9Pzi57oWYwHiPFUqcgZec8X
El/Dewu9hBN9z3seQqtstrba6MJcyao+JFgIoABjH1dvyQPYwtoL1P7KUF0BOcVZdSyWNfIN
k+04uucFSBNCBdJRIDlZsB6E1OUVDjxNCPAVzrGbQa1TwJmzFdGmJ7s/Qp2E/1Lf8wSppfrn
SVxowie0f+fXf2vRG8CpNqWiktz67W/1DkJg</vt:lpwstr>
  </property>
  <property fmtid="{D5CDD505-2E9C-101B-9397-08002B2CF9AE}" pid="5" name="CWMec32a1993c204f3bb08b914d5db405d4">
    <vt:lpwstr>CWMn2w9r1v91mt5Am562oOxoNpWmzHufCrorWH/cOQ/QVQC58WT0/Z2K0KF2w08OeHpFNWnREL4oGXQbPIx8Im7DA==</vt:lpwstr>
  </property>
  <property fmtid="{D5CDD505-2E9C-101B-9397-08002B2CF9AE}" pid="6" name="ContentTypeId">
    <vt:lpwstr>0x010100F3E9551B3FDDA24EBF0A209BAAD637CA</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1628475088</vt:lpwstr>
  </property>
  <property fmtid="{D5CDD505-2E9C-101B-9397-08002B2CF9AE}" pid="11" name="_2015_ms_pID_7253432">
    <vt:lpwstr>lA==</vt:lpwstr>
  </property>
</Properties>
</file>