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705225A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8F3140">
        <w:rPr>
          <w:lang w:val="de-DE"/>
        </w:rPr>
        <w:t>5</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9653BAD" w:rsidR="00E90E49" w:rsidRPr="00CE0424" w:rsidRDefault="00CD204B" w:rsidP="00311702">
      <w:pPr>
        <w:pStyle w:val="3GPPHeader"/>
      </w:pPr>
      <w:r w:rsidRPr="00CD204B">
        <w:rPr>
          <w:rFonts w:cs="Arial"/>
          <w:lang w:val="de-DE"/>
        </w:rPr>
        <w:t xml:space="preserve">Electronic, </w:t>
      </w:r>
      <w:r w:rsidR="005510A2">
        <w:rPr>
          <w:rFonts w:cs="Arial"/>
          <w:lang w:val="de-DE"/>
        </w:rPr>
        <w:t>1</w:t>
      </w:r>
      <w:r w:rsidRPr="00CD204B">
        <w:rPr>
          <w:rFonts w:cs="Arial"/>
          <w:lang w:val="de-DE"/>
        </w:rPr>
        <w:t xml:space="preserve"> – </w:t>
      </w:r>
      <w:r w:rsidR="005510A2">
        <w:rPr>
          <w:rFonts w:cs="Arial"/>
          <w:lang w:val="de-DE"/>
        </w:rPr>
        <w:t>12</w:t>
      </w:r>
      <w:r w:rsidRPr="00CD204B">
        <w:rPr>
          <w:rFonts w:cs="Arial"/>
          <w:lang w:val="de-DE"/>
        </w:rPr>
        <w:t xml:space="preserve"> </w:t>
      </w:r>
      <w:r w:rsidR="005510A2">
        <w:rPr>
          <w:rFonts w:cs="Arial"/>
          <w:lang w:val="de-DE"/>
        </w:rPr>
        <w:t>Nov</w:t>
      </w:r>
      <w:r w:rsidRPr="00CD204B">
        <w:rPr>
          <w:rFonts w:cs="Arial"/>
          <w:lang w:val="de-DE"/>
        </w:rPr>
        <w:t xml:space="preserve"> 2021</w:t>
      </w:r>
      <w:r w:rsidR="00FB7C1F">
        <w:tab/>
      </w:r>
    </w:p>
    <w:p w14:paraId="7CE64FCB" w14:textId="324070F6"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F0780" w:rsidRPr="00E766C6">
        <w:rPr>
          <w:sz w:val="22"/>
          <w:szCs w:val="22"/>
          <w:highlight w:val="yellow"/>
          <w:lang w:val="en-US"/>
        </w:rPr>
        <w:t>Tbd</w:t>
      </w:r>
      <w:proofErr w:type="spellEnd"/>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6C664ADD" w:rsidR="00E854C4" w:rsidRDefault="003D3C45" w:rsidP="003F6051">
      <w:pPr>
        <w:pStyle w:val="3GPPHeader"/>
        <w:ind w:left="1701" w:hanging="1695"/>
        <w:rPr>
          <w:sz w:val="22"/>
          <w:szCs w:val="22"/>
        </w:rPr>
      </w:pPr>
      <w:r>
        <w:rPr>
          <w:sz w:val="22"/>
          <w:szCs w:val="22"/>
        </w:rPr>
        <w:t>Title:</w:t>
      </w:r>
      <w:r w:rsidR="00E90E49" w:rsidRPr="00CE0424">
        <w:rPr>
          <w:sz w:val="22"/>
          <w:szCs w:val="22"/>
        </w:rPr>
        <w:tab/>
      </w:r>
      <w:bookmarkStart w:id="0" w:name="OLE_LINK7"/>
      <w:bookmarkStart w:id="1" w:name="OLE_LINK8"/>
      <w:r w:rsidR="004F0780" w:rsidRPr="004F0780">
        <w:tab/>
        <w:t xml:space="preserve">[Post115-e][054][NR15] </w:t>
      </w:r>
      <w:bookmarkEnd w:id="0"/>
      <w:bookmarkEnd w:id="1"/>
      <w:r w:rsidR="004F0780" w:rsidRPr="004F0780">
        <w:t>Common Fields Dedicated Signalling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7DA57FCE" w:rsidR="00447256" w:rsidRDefault="00C9671A" w:rsidP="00860CD8">
      <w:pPr>
        <w:spacing w:before="120"/>
        <w:rPr>
          <w:rFonts w:cs="Arial"/>
        </w:rPr>
      </w:pPr>
      <w:bookmarkStart w:id="2" w:name="_Ref178064866"/>
      <w:r>
        <w:rPr>
          <w:rFonts w:cs="Arial"/>
        </w:rPr>
        <w:t xml:space="preserve">This contribution </w:t>
      </w:r>
      <w:r w:rsidR="00BF62DE">
        <w:rPr>
          <w:rFonts w:cs="Arial"/>
        </w:rPr>
        <w:t xml:space="preserve">summarizes </w:t>
      </w:r>
      <w:r w:rsidR="00FB40F9">
        <w:rPr>
          <w:rFonts w:cs="Arial"/>
        </w:rPr>
        <w:t>the following discussion:</w:t>
      </w:r>
    </w:p>
    <w:p w14:paraId="51200E16" w14:textId="1BCFA66A" w:rsidR="004F0780" w:rsidRPr="004F0780" w:rsidRDefault="004F0780" w:rsidP="004F0780">
      <w:pPr>
        <w:pStyle w:val="EmailDiscussion"/>
        <w:overflowPunct/>
        <w:autoSpaceDE/>
        <w:autoSpaceDN/>
        <w:adjustRightInd/>
        <w:textAlignment w:val="auto"/>
      </w:pPr>
      <w:bookmarkStart w:id="3" w:name="_Hlk82512375"/>
      <w:r w:rsidRPr="004F0780">
        <w:t>[Post115-e][054][NR15] Common Fields Dedicated Signalling (Ericsson)</w:t>
      </w:r>
    </w:p>
    <w:bookmarkEnd w:id="3"/>
    <w:p w14:paraId="55C944E6" w14:textId="77777777" w:rsidR="004F0780" w:rsidRDefault="004F0780" w:rsidP="004F0780">
      <w:pPr>
        <w:pStyle w:val="Doc-text2"/>
      </w:pPr>
      <w:r w:rsidRPr="004F0780">
        <w:tab/>
        <w:t xml:space="preserve">Scope: Continue discussion from baseline at R2 115-e. </w:t>
      </w:r>
      <w:r w:rsidRPr="004F0780">
        <w:br/>
        <w:t>1) to address specific issues</w:t>
      </w:r>
      <w:r>
        <w:t xml:space="preserve">, such as SUL/IAB. </w:t>
      </w:r>
    </w:p>
    <w:p w14:paraId="2564FC67" w14:textId="77777777" w:rsidR="004F0780" w:rsidRDefault="004F0780" w:rsidP="004F0780">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2E33D4E2" w14:textId="77777777" w:rsidR="004F0780" w:rsidRDefault="004F0780" w:rsidP="004F0780">
      <w:pPr>
        <w:pStyle w:val="EmailDiscussion2"/>
      </w:pPr>
      <w:r>
        <w:tab/>
        <w:t>Intended outcome: Report</w:t>
      </w:r>
    </w:p>
    <w:p w14:paraId="157AB74C" w14:textId="77777777" w:rsidR="004F0780" w:rsidRDefault="004F0780" w:rsidP="004F0780">
      <w:pPr>
        <w:pStyle w:val="EmailDiscussion2"/>
      </w:pPr>
      <w:r>
        <w:tab/>
        <w:t>Deadline: Long</w:t>
      </w:r>
    </w:p>
    <w:p w14:paraId="55C8FD39" w14:textId="77777777" w:rsidR="008F3140" w:rsidRPr="008730ED" w:rsidRDefault="008F3140" w:rsidP="00714EC9">
      <w:pPr>
        <w:pStyle w:val="EmailDiscussion2"/>
        <w:rPr>
          <w:b/>
          <w:bCs/>
        </w:rPr>
      </w:pPr>
    </w:p>
    <w:p w14:paraId="516C2219" w14:textId="0D0E1DFF" w:rsidR="00892099" w:rsidRPr="00E766C6" w:rsidRDefault="0024480E" w:rsidP="00714EC9">
      <w:pPr>
        <w:pStyle w:val="EmailDiscussion"/>
        <w:numPr>
          <w:ilvl w:val="0"/>
          <w:numId w:val="0"/>
        </w:numPr>
        <w:overflowPunct/>
        <w:autoSpaceDE/>
        <w:autoSpaceDN/>
        <w:adjustRightInd/>
        <w:ind w:left="1619" w:hanging="360"/>
        <w:textAlignment w:val="auto"/>
        <w:rPr>
          <w:color w:val="FF0000"/>
        </w:rPr>
      </w:pPr>
      <w:r w:rsidRPr="00E766C6">
        <w:rPr>
          <w:color w:val="FF0000"/>
        </w:rPr>
        <w:t>Deadline: October 21</w:t>
      </w:r>
      <w:r w:rsidRPr="00E766C6">
        <w:rPr>
          <w:color w:val="FF0000"/>
          <w:vertAlign w:val="superscript"/>
        </w:rPr>
        <w:t>th</w:t>
      </w:r>
      <w:r w:rsidRPr="00E766C6">
        <w:rPr>
          <w:color w:val="FF0000"/>
        </w:rPr>
        <w:t>, 0900 UTC</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58522F65" w14:textId="77777777" w:rsidR="003F6051" w:rsidRDefault="00C94EBA" w:rsidP="003F6051">
      <w:pPr>
        <w:pStyle w:val="EmailDiscussion2"/>
        <w:ind w:left="0" w:firstLine="0"/>
      </w:pPr>
      <w:r>
        <w:t>Contact person(s) for each participating company</w:t>
      </w:r>
      <w:r w:rsidR="003D0D0F">
        <w:t>:</w:t>
      </w:r>
    </w:p>
    <w:p w14:paraId="31DC66DB" w14:textId="77777777" w:rsidR="003F6051" w:rsidRDefault="003F6051" w:rsidP="003F605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F6051" w14:paraId="7DE69D06" w14:textId="77777777" w:rsidTr="00A45FE7">
        <w:tc>
          <w:tcPr>
            <w:tcW w:w="2405" w:type="dxa"/>
            <w:shd w:val="clear" w:color="auto" w:fill="auto"/>
          </w:tcPr>
          <w:p w14:paraId="3DFFB6DA" w14:textId="77777777" w:rsidR="003F6051" w:rsidRPr="0024701F" w:rsidRDefault="003F6051" w:rsidP="00A45FE7">
            <w:pPr>
              <w:spacing w:line="276" w:lineRule="auto"/>
              <w:rPr>
                <w:rFonts w:eastAsia="MS Mincho"/>
                <w:b/>
                <w:bCs/>
              </w:rPr>
            </w:pPr>
            <w:r w:rsidRPr="0024701F">
              <w:rPr>
                <w:rFonts w:eastAsia="MS Mincho"/>
                <w:b/>
                <w:bCs/>
              </w:rPr>
              <w:t>Company</w:t>
            </w:r>
          </w:p>
        </w:tc>
        <w:tc>
          <w:tcPr>
            <w:tcW w:w="7224" w:type="dxa"/>
            <w:shd w:val="clear" w:color="auto" w:fill="auto"/>
          </w:tcPr>
          <w:p w14:paraId="1616A5E2" w14:textId="73D45129" w:rsidR="003F6051" w:rsidRPr="0024701F" w:rsidRDefault="003F6051" w:rsidP="00A45FE7">
            <w:pPr>
              <w:spacing w:line="276" w:lineRule="auto"/>
              <w:rPr>
                <w:rFonts w:eastAsia="MS Mincho"/>
                <w:b/>
                <w:bCs/>
              </w:rPr>
            </w:pPr>
            <w:r w:rsidRPr="0024701F">
              <w:rPr>
                <w:rFonts w:eastAsia="MS Mincho"/>
                <w:b/>
                <w:bCs/>
              </w:rPr>
              <w:t>Email</w:t>
            </w:r>
          </w:p>
        </w:tc>
      </w:tr>
      <w:tr w:rsidR="003F6051" w14:paraId="7DEADFEF" w14:textId="77777777" w:rsidTr="00A45FE7">
        <w:tc>
          <w:tcPr>
            <w:tcW w:w="2405" w:type="dxa"/>
            <w:shd w:val="clear" w:color="auto" w:fill="auto"/>
          </w:tcPr>
          <w:p w14:paraId="1322EBCA" w14:textId="7FFDAB15" w:rsidR="003F6051" w:rsidRDefault="003E5565" w:rsidP="00A45FE7">
            <w:pPr>
              <w:spacing w:line="276" w:lineRule="auto"/>
              <w:rPr>
                <w:rFonts w:eastAsia="Yu Mincho"/>
                <w:lang w:val="en-US"/>
              </w:rPr>
            </w:pPr>
            <w:r>
              <w:rPr>
                <w:rFonts w:eastAsia="Yu Mincho"/>
                <w:lang w:val="en-US"/>
              </w:rPr>
              <w:t>Qualcomm Incorporated</w:t>
            </w:r>
          </w:p>
        </w:tc>
        <w:tc>
          <w:tcPr>
            <w:tcW w:w="7224" w:type="dxa"/>
            <w:shd w:val="clear" w:color="auto" w:fill="auto"/>
          </w:tcPr>
          <w:p w14:paraId="3DBC5A8E" w14:textId="291E2C13" w:rsidR="003F6051" w:rsidRDefault="003E5565" w:rsidP="00A45FE7">
            <w:pPr>
              <w:spacing w:line="276" w:lineRule="auto"/>
              <w:rPr>
                <w:rFonts w:eastAsia="Yu Mincho"/>
                <w:lang w:val="en-US"/>
              </w:rPr>
            </w:pPr>
            <w:bookmarkStart w:id="4" w:name="OLE_LINK9"/>
            <w:bookmarkStart w:id="5" w:name="OLE_LINK10"/>
            <w:r>
              <w:rPr>
                <w:rFonts w:eastAsia="Yu Mincho" w:hint="eastAsia"/>
                <w:lang w:val="en-US"/>
              </w:rPr>
              <w:t>m</w:t>
            </w:r>
            <w:r>
              <w:rPr>
                <w:rFonts w:eastAsia="Yu Mincho"/>
                <w:lang w:val="en-US"/>
              </w:rPr>
              <w:t>kitazoe@qti.qualcomm.com</w:t>
            </w:r>
            <w:bookmarkEnd w:id="4"/>
            <w:bookmarkEnd w:id="5"/>
          </w:p>
        </w:tc>
      </w:tr>
      <w:tr w:rsidR="003F6051" w14:paraId="4692B676" w14:textId="77777777" w:rsidTr="00A45FE7">
        <w:tc>
          <w:tcPr>
            <w:tcW w:w="2405" w:type="dxa"/>
            <w:shd w:val="clear" w:color="auto" w:fill="auto"/>
          </w:tcPr>
          <w:p w14:paraId="369DD8AC" w14:textId="72168F21" w:rsidR="003F6051" w:rsidRDefault="00657C47" w:rsidP="00A45FE7">
            <w:pPr>
              <w:spacing w:line="276" w:lineRule="auto"/>
              <w:rPr>
                <w:rFonts w:eastAsia="MS Mincho"/>
              </w:rPr>
            </w:pPr>
            <w:r>
              <w:rPr>
                <w:rFonts w:eastAsia="MS Mincho"/>
              </w:rPr>
              <w:t>MediaTek</w:t>
            </w:r>
          </w:p>
        </w:tc>
        <w:tc>
          <w:tcPr>
            <w:tcW w:w="7224" w:type="dxa"/>
            <w:shd w:val="clear" w:color="auto" w:fill="auto"/>
          </w:tcPr>
          <w:p w14:paraId="608E1A45" w14:textId="6FBF5F93" w:rsidR="003F6051" w:rsidRDefault="00657C47" w:rsidP="00A45FE7">
            <w:pPr>
              <w:spacing w:line="276" w:lineRule="auto"/>
              <w:rPr>
                <w:rFonts w:eastAsia="MS Mincho"/>
              </w:rPr>
            </w:pPr>
            <w:r>
              <w:rPr>
                <w:rFonts w:eastAsia="MS Mincho"/>
              </w:rPr>
              <w:t>chun-fan.tsai@mediatek.com</w:t>
            </w:r>
          </w:p>
        </w:tc>
      </w:tr>
      <w:tr w:rsidR="003F6051" w14:paraId="48556F0E" w14:textId="77777777" w:rsidTr="00A45FE7">
        <w:tc>
          <w:tcPr>
            <w:tcW w:w="2405" w:type="dxa"/>
            <w:shd w:val="clear" w:color="auto" w:fill="auto"/>
          </w:tcPr>
          <w:p w14:paraId="056EAE34" w14:textId="3AA696C5" w:rsidR="003F6051" w:rsidRDefault="002A5897" w:rsidP="00A45FE7">
            <w:pPr>
              <w:spacing w:line="276" w:lineRule="auto"/>
              <w:rPr>
                <w:rFonts w:eastAsia="MS Mincho"/>
              </w:rPr>
            </w:pPr>
            <w:r>
              <w:rPr>
                <w:rFonts w:eastAsia="MS Mincho"/>
              </w:rPr>
              <w:t>Intel</w:t>
            </w:r>
          </w:p>
        </w:tc>
        <w:tc>
          <w:tcPr>
            <w:tcW w:w="7224" w:type="dxa"/>
            <w:shd w:val="clear" w:color="auto" w:fill="auto"/>
          </w:tcPr>
          <w:p w14:paraId="021DB27F" w14:textId="370A604A" w:rsidR="003F6051" w:rsidRDefault="002A5897" w:rsidP="00A45FE7">
            <w:pPr>
              <w:spacing w:line="276" w:lineRule="auto"/>
              <w:rPr>
                <w:rFonts w:eastAsia="MS Mincho"/>
              </w:rPr>
            </w:pPr>
            <w:r>
              <w:rPr>
                <w:rFonts w:eastAsia="MS Mincho"/>
              </w:rPr>
              <w:t>sudeep.k.palat@intel.com</w:t>
            </w:r>
          </w:p>
        </w:tc>
      </w:tr>
      <w:tr w:rsidR="008521E1" w14:paraId="5FAAC6F7" w14:textId="77777777" w:rsidTr="00A45FE7">
        <w:tc>
          <w:tcPr>
            <w:tcW w:w="2405" w:type="dxa"/>
            <w:shd w:val="clear" w:color="auto" w:fill="auto"/>
          </w:tcPr>
          <w:p w14:paraId="3B5D2E24" w14:textId="359FC940" w:rsidR="008521E1" w:rsidRPr="008521E1" w:rsidRDefault="008521E1" w:rsidP="00A45FE7">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00BFF871" w14:textId="4DF8612F" w:rsidR="008521E1" w:rsidRPr="008521E1" w:rsidRDefault="008521E1" w:rsidP="00A45FE7">
            <w:pPr>
              <w:spacing w:line="276" w:lineRule="auto"/>
              <w:rPr>
                <w:rFonts w:eastAsiaTheme="minorEastAsia"/>
                <w:lang w:eastAsia="zh-CN"/>
              </w:rPr>
            </w:pPr>
            <w:r>
              <w:rPr>
                <w:rFonts w:eastAsiaTheme="minorEastAsia" w:hint="eastAsia"/>
                <w:lang w:eastAsia="zh-CN"/>
              </w:rPr>
              <w:t>lijianxiang@datangmobile.cn</w:t>
            </w:r>
          </w:p>
        </w:tc>
      </w:tr>
      <w:tr w:rsidR="00F0337E" w14:paraId="2B4A1BD1" w14:textId="77777777" w:rsidTr="00A45FE7">
        <w:tc>
          <w:tcPr>
            <w:tcW w:w="2405" w:type="dxa"/>
            <w:shd w:val="clear" w:color="auto" w:fill="auto"/>
          </w:tcPr>
          <w:p w14:paraId="0518B8AA" w14:textId="3EB3072C" w:rsidR="00F0337E" w:rsidRDefault="00F0337E" w:rsidP="00A45FE7">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07107EF" w14:textId="0B5585B4" w:rsidR="00F0337E" w:rsidRDefault="00F0337E" w:rsidP="00A45FE7">
            <w:pPr>
              <w:spacing w:line="276" w:lineRule="auto"/>
              <w:rPr>
                <w:rFonts w:eastAsiaTheme="minorEastAsia"/>
                <w:lang w:eastAsia="zh-CN"/>
              </w:rPr>
            </w:pPr>
            <w:r>
              <w:rPr>
                <w:rFonts w:eastAsiaTheme="minorEastAsia" w:hint="eastAsia"/>
                <w:lang w:eastAsia="zh-CN"/>
              </w:rPr>
              <w:t>c</w:t>
            </w:r>
            <w:r>
              <w:rPr>
                <w:rFonts w:eastAsiaTheme="minorEastAsia"/>
                <w:lang w:eastAsia="zh-CN"/>
              </w:rPr>
              <w:t>aozhenzhen@huawei.com</w:t>
            </w:r>
          </w:p>
        </w:tc>
      </w:tr>
      <w:tr w:rsidR="00C31C30" w14:paraId="21230DAE" w14:textId="77777777" w:rsidTr="00A45FE7">
        <w:tc>
          <w:tcPr>
            <w:tcW w:w="2405" w:type="dxa"/>
            <w:shd w:val="clear" w:color="auto" w:fill="auto"/>
          </w:tcPr>
          <w:p w14:paraId="089A57BB" w14:textId="5B5982BB" w:rsidR="00C31C30" w:rsidRDefault="00C31C30" w:rsidP="00A45FE7">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242456CF" w14:textId="34A2BB38" w:rsidR="00C31C30" w:rsidRDefault="00C31C30" w:rsidP="00A45FE7">
            <w:pPr>
              <w:spacing w:line="276" w:lineRule="auto"/>
              <w:rPr>
                <w:rFonts w:eastAsiaTheme="minorEastAsia"/>
                <w:lang w:eastAsia="zh-CN"/>
              </w:rPr>
            </w:pPr>
            <w:r>
              <w:rPr>
                <w:rFonts w:eastAsiaTheme="minorEastAsia"/>
                <w:lang w:eastAsia="zh-CN"/>
              </w:rPr>
              <w:t>amaanat.ali@nokia.com</w:t>
            </w:r>
          </w:p>
        </w:tc>
      </w:tr>
    </w:tbl>
    <w:p w14:paraId="3752E80A" w14:textId="77777777" w:rsidR="003F6051" w:rsidRDefault="003F6051" w:rsidP="003F6051">
      <w:pPr>
        <w:pStyle w:val="EmailDiscussion2"/>
        <w:ind w:left="0" w:firstLine="0"/>
      </w:pPr>
    </w:p>
    <w:p w14:paraId="4EFF6437" w14:textId="77777777" w:rsidR="003F6051" w:rsidRDefault="003F6051" w:rsidP="003F6051">
      <w:pPr>
        <w:pStyle w:val="EmailDiscussion2"/>
        <w:ind w:left="0" w:firstLine="0"/>
      </w:pPr>
    </w:p>
    <w:p w14:paraId="5DBEDE08" w14:textId="2FF89A71" w:rsidR="00DD5A14" w:rsidRDefault="006E1BCB" w:rsidP="00447256">
      <w:pPr>
        <w:pStyle w:val="Heading1"/>
      </w:pPr>
      <w:r>
        <w:t>2</w:t>
      </w:r>
      <w:r w:rsidR="003D4A16">
        <w:tab/>
      </w:r>
      <w:r w:rsidR="004A2491">
        <w:t>Discussion</w:t>
      </w:r>
    </w:p>
    <w:p w14:paraId="07DFFAA1" w14:textId="78D704DA" w:rsidR="00AC49DA" w:rsidRDefault="006E1BCB" w:rsidP="00AC49DA">
      <w:pPr>
        <w:pStyle w:val="Heading2"/>
      </w:pPr>
      <w:r>
        <w:t>2</w:t>
      </w:r>
      <w:r w:rsidR="00AC49DA">
        <w:t>.1</w:t>
      </w:r>
      <w:r w:rsidR="00AC49DA">
        <w:tab/>
      </w:r>
      <w:r w:rsidR="00AD2163">
        <w:t>Agreements reached so far</w:t>
      </w:r>
    </w:p>
    <w:p w14:paraId="5938287B" w14:textId="77777777" w:rsidR="00AD2163" w:rsidRDefault="00AD2163" w:rsidP="00AD2163">
      <w:pPr>
        <w:rPr>
          <w:lang w:val="de-DE"/>
        </w:rPr>
      </w:pPr>
      <w:r>
        <w:rPr>
          <w:lang w:val="de-DE"/>
        </w:rPr>
        <w:t xml:space="preserve">At RAN2-115e the </w:t>
      </w:r>
      <w:proofErr w:type="spellStart"/>
      <w:r>
        <w:rPr>
          <w:lang w:val="de-DE"/>
        </w:rPr>
        <w:t>following</w:t>
      </w:r>
      <w:proofErr w:type="spellEnd"/>
      <w:r>
        <w:rPr>
          <w:lang w:val="de-DE"/>
        </w:rPr>
        <w:t xml:space="preserve"> </w:t>
      </w:r>
      <w:proofErr w:type="spellStart"/>
      <w:r>
        <w:rPr>
          <w:lang w:val="de-DE"/>
        </w:rPr>
        <w:t>agreements</w:t>
      </w:r>
      <w:proofErr w:type="spellEnd"/>
      <w:r>
        <w:rPr>
          <w:lang w:val="de-DE"/>
        </w:rPr>
        <w:t xml:space="preserve"> were </w:t>
      </w:r>
      <w:proofErr w:type="spellStart"/>
      <w:r>
        <w:rPr>
          <w:lang w:val="de-DE"/>
        </w:rPr>
        <w:t>captured</w:t>
      </w:r>
      <w:proofErr w:type="spellEnd"/>
      <w:r>
        <w:rPr>
          <w:lang w:val="de-DE"/>
        </w:rPr>
        <w:t xml:space="preserve"> in the </w:t>
      </w:r>
      <w:proofErr w:type="spellStart"/>
      <w:r>
        <w:rPr>
          <w:lang w:val="de-DE"/>
        </w:rPr>
        <w:t>chairman</w:t>
      </w:r>
      <w:proofErr w:type="spellEnd"/>
      <w:r>
        <w:rPr>
          <w:lang w:val="de-DE"/>
        </w:rPr>
        <w:t xml:space="preserve"> </w:t>
      </w:r>
      <w:proofErr w:type="spellStart"/>
      <w:r>
        <w:rPr>
          <w:lang w:val="de-DE"/>
        </w:rPr>
        <w:t>notes</w:t>
      </w:r>
      <w:proofErr w:type="spellEnd"/>
      <w:r>
        <w:rPr>
          <w:lang w:val="de-DE"/>
        </w:rPr>
        <w:t xml:space="preserve">: </w:t>
      </w:r>
    </w:p>
    <w:p w14:paraId="5A75D28B" w14:textId="77777777" w:rsidR="00AD2163" w:rsidRPr="00B63C0C" w:rsidRDefault="00AD2163" w:rsidP="00AD2163">
      <w:pPr>
        <w:pStyle w:val="ListParagraph"/>
        <w:numPr>
          <w:ilvl w:val="0"/>
          <w:numId w:val="46"/>
        </w:numPr>
        <w:rPr>
          <w:b/>
          <w:bCs/>
          <w:lang w:val="de-DE"/>
        </w:rPr>
      </w:pPr>
      <w:r w:rsidRPr="00B63C0C">
        <w:rPr>
          <w:b/>
          <w:bCs/>
          <w:lang w:val="de-DE"/>
        </w:rPr>
        <w:lastRenderedPageBreak/>
        <w:t xml:space="preserve">Fields </w:t>
      </w:r>
      <w:proofErr w:type="spellStart"/>
      <w:r w:rsidRPr="00B63C0C">
        <w:rPr>
          <w:b/>
          <w:bCs/>
          <w:lang w:val="de-DE"/>
        </w:rPr>
        <w:t>that</w:t>
      </w:r>
      <w:proofErr w:type="spellEnd"/>
      <w:r w:rsidRPr="00B63C0C">
        <w:rPr>
          <w:b/>
          <w:bCs/>
          <w:lang w:val="de-DE"/>
        </w:rPr>
        <w:t xml:space="preserve"> </w:t>
      </w:r>
      <w:proofErr w:type="spellStart"/>
      <w:r w:rsidRPr="00B63C0C">
        <w:rPr>
          <w:b/>
          <w:bCs/>
          <w:lang w:val="de-DE"/>
        </w:rPr>
        <w:t>are</w:t>
      </w:r>
      <w:proofErr w:type="spellEnd"/>
      <w:r w:rsidRPr="00B63C0C">
        <w:rPr>
          <w:b/>
          <w:bCs/>
          <w:lang w:val="de-DE"/>
        </w:rPr>
        <w:t xml:space="preserve"> present in </w:t>
      </w:r>
      <w:proofErr w:type="spellStart"/>
      <w:r w:rsidRPr="00B63C0C">
        <w:rPr>
          <w:b/>
          <w:bCs/>
          <w:lang w:val="de-DE"/>
        </w:rPr>
        <w:t>ServingCellConfigCommon</w:t>
      </w:r>
      <w:proofErr w:type="spellEnd"/>
      <w:r w:rsidRPr="00B63C0C">
        <w:rPr>
          <w:b/>
          <w:bCs/>
          <w:lang w:val="de-DE"/>
        </w:rPr>
        <w:t xml:space="preserve"> </w:t>
      </w:r>
      <w:proofErr w:type="spellStart"/>
      <w:r w:rsidRPr="00B63C0C">
        <w:rPr>
          <w:b/>
          <w:bCs/>
          <w:lang w:val="de-DE"/>
        </w:rPr>
        <w:t>delivered</w:t>
      </w:r>
      <w:proofErr w:type="spellEnd"/>
      <w:r w:rsidRPr="00B63C0C">
        <w:rPr>
          <w:b/>
          <w:bCs/>
          <w:lang w:val="de-DE"/>
        </w:rPr>
        <w:t xml:space="preserve"> </w:t>
      </w:r>
      <w:proofErr w:type="spellStart"/>
      <w:r w:rsidRPr="00B63C0C">
        <w:rPr>
          <w:b/>
          <w:bCs/>
          <w:lang w:val="de-DE"/>
        </w:rPr>
        <w:t>by</w:t>
      </w:r>
      <w:proofErr w:type="spellEnd"/>
      <w:r w:rsidRPr="00B63C0C">
        <w:rPr>
          <w:b/>
          <w:bCs/>
          <w:lang w:val="de-DE"/>
        </w:rPr>
        <w:t xml:space="preserve"> </w:t>
      </w:r>
      <w:proofErr w:type="spellStart"/>
      <w:r w:rsidRPr="00B63C0C">
        <w:rPr>
          <w:b/>
          <w:bCs/>
          <w:lang w:val="de-DE"/>
        </w:rPr>
        <w:t>dedicated</w:t>
      </w:r>
      <w:proofErr w:type="spellEnd"/>
      <w:r w:rsidRPr="00B63C0C">
        <w:rPr>
          <w:b/>
          <w:bCs/>
          <w:lang w:val="de-DE"/>
        </w:rPr>
        <w:t xml:space="preserve"> signalling </w:t>
      </w:r>
      <w:proofErr w:type="spellStart"/>
      <w:r w:rsidRPr="00B63C0C">
        <w:rPr>
          <w:b/>
          <w:bCs/>
          <w:lang w:val="de-DE"/>
        </w:rPr>
        <w:t>shall</w:t>
      </w:r>
      <w:proofErr w:type="spellEnd"/>
      <w:r w:rsidRPr="00B63C0C">
        <w:rPr>
          <w:b/>
          <w:bCs/>
          <w:lang w:val="de-DE"/>
        </w:rPr>
        <w:t xml:space="preserve"> </w:t>
      </w:r>
      <w:proofErr w:type="spellStart"/>
      <w:r w:rsidRPr="00B63C0C">
        <w:rPr>
          <w:b/>
          <w:bCs/>
          <w:lang w:val="de-DE"/>
        </w:rPr>
        <w:t>have</w:t>
      </w:r>
      <w:proofErr w:type="spellEnd"/>
      <w:r w:rsidRPr="00B63C0C">
        <w:rPr>
          <w:b/>
          <w:bCs/>
          <w:lang w:val="de-DE"/>
        </w:rPr>
        <w:t xml:space="preserve"> the same </w:t>
      </w:r>
      <w:proofErr w:type="spellStart"/>
      <w:r w:rsidRPr="00B63C0C">
        <w:rPr>
          <w:b/>
          <w:bCs/>
          <w:lang w:val="de-DE"/>
        </w:rPr>
        <w:t>value</w:t>
      </w:r>
      <w:proofErr w:type="spellEnd"/>
      <w:r w:rsidRPr="00B63C0C">
        <w:rPr>
          <w:b/>
          <w:bCs/>
          <w:lang w:val="de-DE"/>
        </w:rPr>
        <w:t xml:space="preserve"> </w:t>
      </w:r>
      <w:proofErr w:type="spellStart"/>
      <w:r w:rsidRPr="00B63C0C">
        <w:rPr>
          <w:b/>
          <w:bCs/>
          <w:lang w:val="de-DE"/>
        </w:rPr>
        <w:t>as</w:t>
      </w:r>
      <w:proofErr w:type="spellEnd"/>
      <w:r w:rsidRPr="00B63C0C">
        <w:rPr>
          <w:b/>
          <w:bCs/>
          <w:lang w:val="de-DE"/>
        </w:rPr>
        <w:t xml:space="preserve"> the </w:t>
      </w:r>
      <w:proofErr w:type="spellStart"/>
      <w:r w:rsidRPr="00B63C0C">
        <w:rPr>
          <w:b/>
          <w:bCs/>
          <w:lang w:val="de-DE"/>
        </w:rPr>
        <w:t>corresponding</w:t>
      </w:r>
      <w:proofErr w:type="spellEnd"/>
      <w:r w:rsidRPr="00B63C0C">
        <w:rPr>
          <w:b/>
          <w:bCs/>
          <w:lang w:val="de-DE"/>
        </w:rPr>
        <w:t xml:space="preserve"> </w:t>
      </w:r>
      <w:proofErr w:type="spellStart"/>
      <w:r w:rsidRPr="00B63C0C">
        <w:rPr>
          <w:b/>
          <w:bCs/>
          <w:lang w:val="de-DE"/>
        </w:rPr>
        <w:t>field</w:t>
      </w:r>
      <w:proofErr w:type="spellEnd"/>
      <w:r w:rsidRPr="00B63C0C">
        <w:rPr>
          <w:b/>
          <w:bCs/>
          <w:lang w:val="de-DE"/>
        </w:rPr>
        <w:t xml:space="preserve"> in SIB1.</w:t>
      </w:r>
    </w:p>
    <w:p w14:paraId="751B12DB" w14:textId="77777777" w:rsidR="00AD2163" w:rsidRDefault="00AD2163" w:rsidP="00AD2163">
      <w:pPr>
        <w:pStyle w:val="ListParagraph"/>
        <w:numPr>
          <w:ilvl w:val="0"/>
          <w:numId w:val="46"/>
        </w:numPr>
        <w:rPr>
          <w:lang w:val="de-DE"/>
        </w:rPr>
      </w:pPr>
      <w:r w:rsidRPr="00B63C0C">
        <w:rPr>
          <w:b/>
          <w:bCs/>
          <w:lang w:val="de-DE"/>
        </w:rPr>
        <w:t xml:space="preserve">Confirm </w:t>
      </w:r>
      <w:proofErr w:type="spellStart"/>
      <w:r w:rsidRPr="00B63C0C">
        <w:rPr>
          <w:b/>
          <w:bCs/>
          <w:lang w:val="de-DE"/>
        </w:rPr>
        <w:t>that</w:t>
      </w:r>
      <w:proofErr w:type="spellEnd"/>
      <w:r w:rsidRPr="00B63C0C">
        <w:rPr>
          <w:b/>
          <w:bCs/>
          <w:lang w:val="de-DE"/>
        </w:rPr>
        <w:t xml:space="preserve"> dedicatedSIB1-Delivery </w:t>
      </w:r>
      <w:proofErr w:type="spellStart"/>
      <w:r w:rsidRPr="00B63C0C">
        <w:rPr>
          <w:b/>
          <w:bCs/>
          <w:lang w:val="de-DE"/>
        </w:rPr>
        <w:t>shall</w:t>
      </w:r>
      <w:proofErr w:type="spellEnd"/>
      <w:r w:rsidRPr="00B63C0C">
        <w:rPr>
          <w:b/>
          <w:bCs/>
          <w:lang w:val="de-DE"/>
        </w:rPr>
        <w:t xml:space="preserve"> </w:t>
      </w:r>
      <w:proofErr w:type="spellStart"/>
      <w:r w:rsidRPr="00B63C0C">
        <w:rPr>
          <w:b/>
          <w:bCs/>
          <w:lang w:val="de-DE"/>
        </w:rPr>
        <w:t>have</w:t>
      </w:r>
      <w:proofErr w:type="spellEnd"/>
      <w:r w:rsidRPr="00B63C0C">
        <w:rPr>
          <w:b/>
          <w:bCs/>
          <w:lang w:val="de-DE"/>
        </w:rPr>
        <w:t xml:space="preserve"> the same </w:t>
      </w:r>
      <w:proofErr w:type="spellStart"/>
      <w:r w:rsidRPr="00B63C0C">
        <w:rPr>
          <w:b/>
          <w:bCs/>
          <w:lang w:val="de-DE"/>
        </w:rPr>
        <w:t>fields</w:t>
      </w:r>
      <w:proofErr w:type="spellEnd"/>
      <w:r w:rsidRPr="00B63C0C">
        <w:rPr>
          <w:b/>
          <w:bCs/>
          <w:lang w:val="de-DE"/>
        </w:rPr>
        <w:t xml:space="preserve"> and </w:t>
      </w:r>
      <w:proofErr w:type="spellStart"/>
      <w:r w:rsidRPr="00B63C0C">
        <w:rPr>
          <w:b/>
          <w:bCs/>
          <w:lang w:val="de-DE"/>
        </w:rPr>
        <w:t>values</w:t>
      </w:r>
      <w:proofErr w:type="spellEnd"/>
      <w:r w:rsidRPr="00B63C0C">
        <w:rPr>
          <w:b/>
          <w:bCs/>
          <w:lang w:val="de-DE"/>
        </w:rPr>
        <w:t xml:space="preserve"> </w:t>
      </w:r>
      <w:proofErr w:type="spellStart"/>
      <w:r w:rsidRPr="00B63C0C">
        <w:rPr>
          <w:b/>
          <w:bCs/>
          <w:lang w:val="de-DE"/>
        </w:rPr>
        <w:t>as</w:t>
      </w:r>
      <w:proofErr w:type="spellEnd"/>
      <w:r w:rsidRPr="00B63C0C">
        <w:rPr>
          <w:b/>
          <w:bCs/>
          <w:lang w:val="de-DE"/>
        </w:rPr>
        <w:t xml:space="preserve"> the </w:t>
      </w:r>
      <w:proofErr w:type="spellStart"/>
      <w:r w:rsidRPr="00B63C0C">
        <w:rPr>
          <w:b/>
          <w:bCs/>
          <w:lang w:val="de-DE"/>
        </w:rPr>
        <w:t>broadcasted</w:t>
      </w:r>
      <w:proofErr w:type="spellEnd"/>
      <w:r w:rsidRPr="00B63C0C">
        <w:rPr>
          <w:b/>
          <w:bCs/>
          <w:lang w:val="de-DE"/>
        </w:rPr>
        <w:t xml:space="preserve"> SIB1.</w:t>
      </w:r>
    </w:p>
    <w:p w14:paraId="2AAF5F22" w14:textId="77777777" w:rsidR="00AD2163" w:rsidRDefault="00AD2163" w:rsidP="00AD2163">
      <w:pPr>
        <w:pStyle w:val="BodyText"/>
        <w:rPr>
          <w:lang w:val="de-DE"/>
        </w:rPr>
      </w:pPr>
    </w:p>
    <w:p w14:paraId="5C614391" w14:textId="2785E65B" w:rsidR="002F4BAF" w:rsidRDefault="00D2559D" w:rsidP="00AD2163">
      <w:pPr>
        <w:pStyle w:val="BodyText"/>
        <w:rPr>
          <w:lang w:val="de-DE"/>
        </w:rPr>
      </w:pPr>
      <w:proofErr w:type="spellStart"/>
      <w:r>
        <w:rPr>
          <w:lang w:val="de-DE"/>
        </w:rPr>
        <w:t>According</w:t>
      </w:r>
      <w:proofErr w:type="spellEnd"/>
      <w:r>
        <w:rPr>
          <w:lang w:val="de-DE"/>
        </w:rPr>
        <w:t xml:space="preserve"> </w:t>
      </w:r>
      <w:proofErr w:type="spellStart"/>
      <w:r>
        <w:rPr>
          <w:lang w:val="de-DE"/>
        </w:rPr>
        <w:t>to</w:t>
      </w:r>
      <w:proofErr w:type="spellEnd"/>
      <w:r>
        <w:rPr>
          <w:lang w:val="de-DE"/>
        </w:rPr>
        <w:t xml:space="preserve"> the </w:t>
      </w:r>
      <w:proofErr w:type="spellStart"/>
      <w:r w:rsidR="002E209C">
        <w:rPr>
          <w:lang w:val="de-DE"/>
        </w:rPr>
        <w:t>first</w:t>
      </w:r>
      <w:proofErr w:type="spellEnd"/>
      <w:r w:rsidR="002E209C">
        <w:rPr>
          <w:lang w:val="de-DE"/>
        </w:rPr>
        <w:t xml:space="preserve"> </w:t>
      </w:r>
      <w:proofErr w:type="spellStart"/>
      <w:r w:rsidR="00887BCA">
        <w:rPr>
          <w:lang w:val="de-DE"/>
        </w:rPr>
        <w:t>agreement</w:t>
      </w:r>
      <w:proofErr w:type="spellEnd"/>
      <w:r w:rsidR="00887BCA">
        <w:rPr>
          <w:lang w:val="de-DE"/>
        </w:rPr>
        <w:t xml:space="preserve"> </w:t>
      </w:r>
      <w:proofErr w:type="spellStart"/>
      <w:r w:rsidR="00887BCA">
        <w:rPr>
          <w:lang w:val="de-DE"/>
        </w:rPr>
        <w:t>above</w:t>
      </w:r>
      <w:proofErr w:type="spellEnd"/>
      <w:r w:rsidR="004759BA">
        <w:rPr>
          <w:lang w:val="de-DE"/>
        </w:rPr>
        <w:t xml:space="preserve">, </w:t>
      </w:r>
      <w:r w:rsidR="002873DD">
        <w:rPr>
          <w:lang w:val="de-DE"/>
        </w:rPr>
        <w:t xml:space="preserve">the </w:t>
      </w:r>
      <w:proofErr w:type="spellStart"/>
      <w:r w:rsidR="002873DD">
        <w:rPr>
          <w:lang w:val="de-DE"/>
        </w:rPr>
        <w:t>need</w:t>
      </w:r>
      <w:proofErr w:type="spellEnd"/>
      <w:r w:rsidR="002873DD">
        <w:rPr>
          <w:lang w:val="de-DE"/>
        </w:rPr>
        <w:t xml:space="preserve"> for alignment </w:t>
      </w:r>
      <w:proofErr w:type="spellStart"/>
      <w:r w:rsidR="004B09A5">
        <w:rPr>
          <w:lang w:val="de-DE"/>
        </w:rPr>
        <w:t>with</w:t>
      </w:r>
      <w:proofErr w:type="spellEnd"/>
      <w:r w:rsidR="004B09A5">
        <w:rPr>
          <w:lang w:val="de-DE"/>
        </w:rPr>
        <w:t xml:space="preserve"> SIB1 </w:t>
      </w:r>
      <w:proofErr w:type="spellStart"/>
      <w:r w:rsidR="004B09A5">
        <w:rPr>
          <w:lang w:val="de-DE"/>
        </w:rPr>
        <w:t>applies</w:t>
      </w:r>
      <w:proofErr w:type="spellEnd"/>
      <w:r w:rsidR="004B09A5">
        <w:rPr>
          <w:lang w:val="de-DE"/>
        </w:rPr>
        <w:t xml:space="preserve"> </w:t>
      </w:r>
      <w:proofErr w:type="spellStart"/>
      <w:r w:rsidR="004B09A5">
        <w:rPr>
          <w:lang w:val="de-DE"/>
        </w:rPr>
        <w:t>only</w:t>
      </w:r>
      <w:proofErr w:type="spellEnd"/>
      <w:r w:rsidR="004B09A5">
        <w:rPr>
          <w:lang w:val="de-DE"/>
        </w:rPr>
        <w:t xml:space="preserve"> </w:t>
      </w:r>
      <w:r w:rsidR="00887BCA">
        <w:rPr>
          <w:lang w:val="de-DE"/>
        </w:rPr>
        <w:t xml:space="preserve">for the </w:t>
      </w:r>
      <w:proofErr w:type="spellStart"/>
      <w:r w:rsidR="008E4615">
        <w:rPr>
          <w:lang w:val="de-DE"/>
        </w:rPr>
        <w:t>bold</w:t>
      </w:r>
      <w:proofErr w:type="spellEnd"/>
      <w:r w:rsidR="00887BCA">
        <w:rPr>
          <w:lang w:val="de-DE"/>
        </w:rPr>
        <w:t xml:space="preserve"> </w:t>
      </w:r>
      <w:proofErr w:type="spellStart"/>
      <w:r w:rsidR="00887BCA">
        <w:rPr>
          <w:lang w:val="de-DE"/>
        </w:rPr>
        <w:t>fields</w:t>
      </w:r>
      <w:proofErr w:type="spellEnd"/>
      <w:r w:rsidR="00887BCA">
        <w:rPr>
          <w:lang w:val="de-DE"/>
        </w:rPr>
        <w:t xml:space="preserve"> in the RRCReconfiguration</w:t>
      </w:r>
      <w:r w:rsidR="008E4615">
        <w:rPr>
          <w:lang w:val="de-DE"/>
        </w:rPr>
        <w:t xml:space="preserve"> message</w:t>
      </w:r>
      <w:r w:rsidR="00887BCA">
        <w:rPr>
          <w:lang w:val="de-DE"/>
        </w:rPr>
        <w:t>:</w:t>
      </w:r>
    </w:p>
    <w:p w14:paraId="2D02CBFA" w14:textId="4F659FF2" w:rsidR="000020E1" w:rsidRDefault="003D43EA" w:rsidP="00404141">
      <w:pPr>
        <w:pStyle w:val="B1"/>
        <w:rPr>
          <w:lang w:val="de-DE"/>
        </w:rPr>
      </w:pPr>
      <w:r>
        <w:rPr>
          <w:lang w:val="de-DE"/>
        </w:rPr>
        <w:t>1&gt;</w:t>
      </w:r>
      <w:r>
        <w:rPr>
          <w:lang w:val="de-DE"/>
        </w:rPr>
        <w:tab/>
      </w:r>
      <w:r w:rsidR="000020E1" w:rsidRPr="000020E1">
        <w:rPr>
          <w:lang w:val="de-DE"/>
        </w:rPr>
        <w:t>RRCReconfiguration-IEs</w:t>
      </w:r>
    </w:p>
    <w:p w14:paraId="3C35001C" w14:textId="2B9C927E" w:rsidR="00417150" w:rsidRDefault="00417150" w:rsidP="008901F7">
      <w:pPr>
        <w:pStyle w:val="B2"/>
        <w:rPr>
          <w:lang w:val="de-DE"/>
        </w:rPr>
      </w:pPr>
      <w:r>
        <w:rPr>
          <w:lang w:val="de-DE"/>
        </w:rPr>
        <w:t xml:space="preserve">2&gt; </w:t>
      </w:r>
      <w:r w:rsidRPr="00417150">
        <w:rPr>
          <w:lang w:val="de-DE"/>
        </w:rPr>
        <w:t>secondaryCellGroup</w:t>
      </w:r>
      <w:r w:rsidR="008901F7">
        <w:rPr>
          <w:lang w:val="de-DE"/>
        </w:rPr>
        <w:t xml:space="preserve"> (type </w:t>
      </w:r>
      <w:r w:rsidR="008901F7" w:rsidRPr="008901F7">
        <w:rPr>
          <w:i/>
          <w:iCs/>
          <w:lang w:val="de-DE"/>
        </w:rPr>
        <w:t>CellGroupConfig</w:t>
      </w:r>
      <w:r w:rsidR="008901F7">
        <w:rPr>
          <w:lang w:val="de-DE"/>
        </w:rPr>
        <w:t>)</w:t>
      </w:r>
    </w:p>
    <w:p w14:paraId="7F2958A6" w14:textId="77777777" w:rsidR="008901F7" w:rsidRDefault="008901F7" w:rsidP="008901F7">
      <w:pPr>
        <w:pStyle w:val="B3"/>
        <w:rPr>
          <w:lang w:val="de-DE"/>
        </w:rPr>
      </w:pPr>
      <w:r>
        <w:rPr>
          <w:lang w:val="de-DE"/>
        </w:rPr>
        <w:t>3&gt;</w:t>
      </w:r>
      <w:r>
        <w:rPr>
          <w:lang w:val="de-DE"/>
        </w:rPr>
        <w:tab/>
      </w:r>
      <w:proofErr w:type="spellStart"/>
      <w:r>
        <w:rPr>
          <w:lang w:val="de-DE"/>
        </w:rPr>
        <w:t>spCellConfig</w:t>
      </w:r>
      <w:proofErr w:type="spellEnd"/>
    </w:p>
    <w:p w14:paraId="490FD4C4" w14:textId="77777777" w:rsidR="008901F7" w:rsidRDefault="008901F7" w:rsidP="008901F7">
      <w:pPr>
        <w:pStyle w:val="B4"/>
        <w:rPr>
          <w:lang w:val="de-DE"/>
        </w:rPr>
      </w:pPr>
      <w:r>
        <w:rPr>
          <w:lang w:val="de-DE"/>
        </w:rPr>
        <w:t>4&gt; reconfigurationWithSync</w:t>
      </w:r>
    </w:p>
    <w:p w14:paraId="1787475D" w14:textId="77777777" w:rsidR="008901F7" w:rsidRDefault="008901F7" w:rsidP="008901F7">
      <w:pPr>
        <w:pStyle w:val="B5"/>
        <w:rPr>
          <w:lang w:val="de-DE"/>
        </w:rPr>
      </w:pPr>
      <w:r>
        <w:rPr>
          <w:lang w:val="de-DE"/>
        </w:rPr>
        <w:t>5&gt;</w:t>
      </w:r>
      <w:r>
        <w:rPr>
          <w:lang w:val="de-DE"/>
        </w:rPr>
        <w:tab/>
      </w:r>
      <w:proofErr w:type="spellStart"/>
      <w:r w:rsidRPr="00C97579">
        <w:rPr>
          <w:b/>
          <w:bCs/>
          <w:lang w:val="de-DE"/>
        </w:rPr>
        <w:t>spCellConfigCommon</w:t>
      </w:r>
      <w:proofErr w:type="spellEnd"/>
      <w:r>
        <w:rPr>
          <w:lang w:val="de-DE"/>
        </w:rPr>
        <w:t xml:space="preserve"> (type </w:t>
      </w:r>
      <w:proofErr w:type="spellStart"/>
      <w:r>
        <w:rPr>
          <w:lang w:val="de-DE"/>
        </w:rPr>
        <w:t>ServingCellConfigCommon</w:t>
      </w:r>
      <w:proofErr w:type="spellEnd"/>
      <w:r>
        <w:rPr>
          <w:lang w:val="de-DE"/>
        </w:rPr>
        <w:t>)</w:t>
      </w:r>
    </w:p>
    <w:p w14:paraId="455F409B" w14:textId="77777777" w:rsidR="008901F7" w:rsidRDefault="008901F7" w:rsidP="008901F7">
      <w:pPr>
        <w:pStyle w:val="B3"/>
        <w:rPr>
          <w:lang w:val="de-DE"/>
        </w:rPr>
      </w:pPr>
      <w:r>
        <w:rPr>
          <w:lang w:val="de-DE"/>
        </w:rPr>
        <w:t>3&gt;</w:t>
      </w:r>
      <w:r>
        <w:rPr>
          <w:lang w:val="de-DE"/>
        </w:rPr>
        <w:tab/>
      </w:r>
      <w:proofErr w:type="spellStart"/>
      <w:r>
        <w:rPr>
          <w:lang w:val="de-DE"/>
        </w:rPr>
        <w:t>sCellToAddModList</w:t>
      </w:r>
      <w:proofErr w:type="spellEnd"/>
    </w:p>
    <w:p w14:paraId="268D0C8C" w14:textId="77777777" w:rsidR="008901F7" w:rsidRDefault="008901F7" w:rsidP="008901F7">
      <w:pPr>
        <w:pStyle w:val="B4"/>
        <w:rPr>
          <w:lang w:val="de-DE"/>
        </w:rPr>
      </w:pPr>
      <w:r>
        <w:rPr>
          <w:lang w:val="de-DE"/>
        </w:rPr>
        <w:t>4&gt;</w:t>
      </w:r>
      <w:r>
        <w:rPr>
          <w:lang w:val="de-DE"/>
        </w:rPr>
        <w:tab/>
      </w:r>
      <w:proofErr w:type="spellStart"/>
      <w:r w:rsidRPr="00C97579">
        <w:rPr>
          <w:b/>
          <w:bCs/>
          <w:lang w:val="de-DE"/>
        </w:rPr>
        <w:t>sCellConfigCommon</w:t>
      </w:r>
      <w:proofErr w:type="spellEnd"/>
      <w:r>
        <w:rPr>
          <w:lang w:val="de-DE"/>
        </w:rPr>
        <w:t xml:space="preserve"> (type </w:t>
      </w:r>
      <w:proofErr w:type="spellStart"/>
      <w:r>
        <w:rPr>
          <w:lang w:val="de-DE"/>
        </w:rPr>
        <w:t>ServingCellConfigCommon</w:t>
      </w:r>
      <w:proofErr w:type="spellEnd"/>
      <w:r>
        <w:rPr>
          <w:lang w:val="de-DE"/>
        </w:rPr>
        <w:t>)</w:t>
      </w:r>
    </w:p>
    <w:p w14:paraId="0641272B" w14:textId="4A908D64" w:rsidR="000020E1" w:rsidRDefault="003D43EA" w:rsidP="00404141">
      <w:pPr>
        <w:pStyle w:val="B2"/>
        <w:rPr>
          <w:lang w:val="de-DE"/>
        </w:rPr>
      </w:pPr>
      <w:r>
        <w:rPr>
          <w:lang w:val="de-DE"/>
        </w:rPr>
        <w:t>2&gt;</w:t>
      </w:r>
      <w:r>
        <w:rPr>
          <w:lang w:val="de-DE"/>
        </w:rPr>
        <w:tab/>
      </w:r>
      <w:proofErr w:type="spellStart"/>
      <w:r w:rsidR="00FA4E2D" w:rsidRPr="00FA4E2D">
        <w:rPr>
          <w:lang w:val="de-DE"/>
        </w:rPr>
        <w:t>nonCriticalExtension</w:t>
      </w:r>
      <w:proofErr w:type="spellEnd"/>
      <w:r w:rsidR="00745328">
        <w:rPr>
          <w:lang w:val="de-DE"/>
        </w:rPr>
        <w:t xml:space="preserve"> (</w:t>
      </w:r>
      <w:r w:rsidR="00745328" w:rsidRPr="00745328">
        <w:rPr>
          <w:lang w:val="de-DE"/>
        </w:rPr>
        <w:t>RRCReconfiguration-v1530-IEs</w:t>
      </w:r>
      <w:r w:rsidR="00745328">
        <w:rPr>
          <w:lang w:val="de-DE"/>
        </w:rPr>
        <w:t>)</w:t>
      </w:r>
    </w:p>
    <w:p w14:paraId="17C8F097" w14:textId="65540649" w:rsidR="00FA4E2D" w:rsidRDefault="003D43EA" w:rsidP="00404141">
      <w:pPr>
        <w:pStyle w:val="B3"/>
        <w:rPr>
          <w:lang w:val="de-DE"/>
        </w:rPr>
      </w:pPr>
      <w:r>
        <w:rPr>
          <w:lang w:val="de-DE"/>
        </w:rPr>
        <w:t>3&gt;</w:t>
      </w:r>
      <w:r>
        <w:rPr>
          <w:lang w:val="de-DE"/>
        </w:rPr>
        <w:tab/>
      </w:r>
      <w:proofErr w:type="spellStart"/>
      <w:r w:rsidR="00E81F69" w:rsidRPr="00E81F69">
        <w:rPr>
          <w:lang w:val="de-DE"/>
        </w:rPr>
        <w:t>masterCellGroup</w:t>
      </w:r>
      <w:proofErr w:type="spellEnd"/>
      <w:r w:rsidR="008901F7">
        <w:rPr>
          <w:lang w:val="de-DE"/>
        </w:rPr>
        <w:t xml:space="preserve"> (type </w:t>
      </w:r>
      <w:r w:rsidR="008901F7" w:rsidRPr="008901F7">
        <w:rPr>
          <w:i/>
          <w:iCs/>
          <w:lang w:val="de-DE"/>
        </w:rPr>
        <w:t>CellGroupConfig</w:t>
      </w:r>
      <w:r w:rsidR="008901F7">
        <w:rPr>
          <w:lang w:val="de-DE"/>
        </w:rPr>
        <w:t>)</w:t>
      </w:r>
    </w:p>
    <w:p w14:paraId="0C1261E2" w14:textId="1EFFB25C" w:rsidR="00887BCA" w:rsidRDefault="003D43EA" w:rsidP="00404141">
      <w:pPr>
        <w:pStyle w:val="B4"/>
        <w:rPr>
          <w:lang w:val="de-DE"/>
        </w:rPr>
      </w:pPr>
      <w:r>
        <w:rPr>
          <w:lang w:val="de-DE"/>
        </w:rPr>
        <w:t>4&gt;</w:t>
      </w:r>
      <w:r>
        <w:rPr>
          <w:lang w:val="de-DE"/>
        </w:rPr>
        <w:tab/>
      </w:r>
      <w:proofErr w:type="spellStart"/>
      <w:r w:rsidR="001678AA" w:rsidRPr="001678AA">
        <w:rPr>
          <w:lang w:val="de-DE"/>
        </w:rPr>
        <w:t>spCellConfig</w:t>
      </w:r>
      <w:proofErr w:type="spellEnd"/>
    </w:p>
    <w:p w14:paraId="496D8A40" w14:textId="1E0413EA" w:rsidR="001678AA" w:rsidRDefault="003D43EA" w:rsidP="00404141">
      <w:pPr>
        <w:pStyle w:val="B5"/>
        <w:rPr>
          <w:lang w:val="de-DE"/>
        </w:rPr>
      </w:pPr>
      <w:r>
        <w:rPr>
          <w:lang w:val="de-DE"/>
        </w:rPr>
        <w:t xml:space="preserve">5&gt; </w:t>
      </w:r>
      <w:r w:rsidR="00BF7239" w:rsidRPr="00BF7239">
        <w:rPr>
          <w:lang w:val="de-DE"/>
        </w:rPr>
        <w:t>reconfigurationWithSync</w:t>
      </w:r>
    </w:p>
    <w:p w14:paraId="7322A1ED" w14:textId="30A90ECE" w:rsidR="003D43EA" w:rsidRDefault="00D95C2B" w:rsidP="00404141">
      <w:pPr>
        <w:pStyle w:val="B6"/>
        <w:rPr>
          <w:lang w:val="de-DE"/>
        </w:rPr>
      </w:pPr>
      <w:r w:rsidRPr="00404141">
        <w:rPr>
          <w:lang w:val="de-DE"/>
        </w:rPr>
        <w:t>6&gt;</w:t>
      </w:r>
      <w:r w:rsidRPr="00404141">
        <w:rPr>
          <w:lang w:val="de-DE"/>
        </w:rPr>
        <w:tab/>
      </w:r>
      <w:proofErr w:type="spellStart"/>
      <w:r w:rsidR="009E25FB" w:rsidRPr="00745328">
        <w:rPr>
          <w:b/>
          <w:bCs/>
          <w:lang w:val="de-DE"/>
        </w:rPr>
        <w:t>spCellConfigCommon</w:t>
      </w:r>
      <w:proofErr w:type="spellEnd"/>
      <w:r w:rsidR="008E4B56">
        <w:rPr>
          <w:lang w:val="de-DE"/>
        </w:rPr>
        <w:t xml:space="preserve"> (type </w:t>
      </w:r>
      <w:proofErr w:type="spellStart"/>
      <w:r w:rsidR="008E4B56" w:rsidRPr="008E4B56">
        <w:rPr>
          <w:lang w:val="de-DE"/>
        </w:rPr>
        <w:t>ServingCellConfigCommon</w:t>
      </w:r>
      <w:proofErr w:type="spellEnd"/>
      <w:r w:rsidR="008E4B56">
        <w:rPr>
          <w:lang w:val="de-DE"/>
        </w:rPr>
        <w:t>)</w:t>
      </w:r>
    </w:p>
    <w:p w14:paraId="4BF1359D" w14:textId="0EDE93EF" w:rsidR="009E25FB" w:rsidRDefault="00D95C2B" w:rsidP="00404141">
      <w:pPr>
        <w:pStyle w:val="B4"/>
        <w:rPr>
          <w:lang w:val="de-DE"/>
        </w:rPr>
      </w:pPr>
      <w:r>
        <w:rPr>
          <w:lang w:val="de-DE"/>
        </w:rPr>
        <w:t>4&gt;</w:t>
      </w:r>
      <w:r>
        <w:rPr>
          <w:lang w:val="de-DE"/>
        </w:rPr>
        <w:tab/>
      </w:r>
      <w:proofErr w:type="spellStart"/>
      <w:r w:rsidR="009D2D4A" w:rsidRPr="009D2D4A">
        <w:rPr>
          <w:lang w:val="de-DE"/>
        </w:rPr>
        <w:t>sCellToAddModList</w:t>
      </w:r>
      <w:proofErr w:type="spellEnd"/>
    </w:p>
    <w:p w14:paraId="390719BC" w14:textId="5FABF342" w:rsidR="009D2D4A" w:rsidRDefault="00D95C2B" w:rsidP="00404141">
      <w:pPr>
        <w:pStyle w:val="B5"/>
        <w:rPr>
          <w:lang w:val="de-DE"/>
        </w:rPr>
      </w:pPr>
      <w:r w:rsidRPr="00404141">
        <w:rPr>
          <w:lang w:val="de-DE"/>
        </w:rPr>
        <w:t>5&gt;</w:t>
      </w:r>
      <w:r w:rsidRPr="00404141">
        <w:rPr>
          <w:lang w:val="de-DE"/>
        </w:rPr>
        <w:tab/>
      </w:r>
      <w:proofErr w:type="spellStart"/>
      <w:r w:rsidR="002E209C" w:rsidRPr="00745328">
        <w:rPr>
          <w:b/>
          <w:bCs/>
          <w:lang w:val="de-DE"/>
        </w:rPr>
        <w:t>sCellConfigCommon</w:t>
      </w:r>
      <w:proofErr w:type="spellEnd"/>
      <w:r w:rsidR="002E209C">
        <w:rPr>
          <w:lang w:val="de-DE"/>
        </w:rPr>
        <w:t xml:space="preserve"> </w:t>
      </w:r>
      <w:r w:rsidR="002E209C" w:rsidRPr="002E209C">
        <w:rPr>
          <w:lang w:val="de-DE"/>
        </w:rPr>
        <w:t xml:space="preserve">(type </w:t>
      </w:r>
      <w:proofErr w:type="spellStart"/>
      <w:r w:rsidR="002E209C" w:rsidRPr="002E209C">
        <w:rPr>
          <w:lang w:val="de-DE"/>
        </w:rPr>
        <w:t>ServingCellConfigCommon</w:t>
      </w:r>
      <w:proofErr w:type="spellEnd"/>
      <w:r w:rsidR="002E209C" w:rsidRPr="002E209C">
        <w:rPr>
          <w:lang w:val="de-DE"/>
        </w:rPr>
        <w:t>)</w:t>
      </w:r>
    </w:p>
    <w:p w14:paraId="41478B71" w14:textId="77777777" w:rsidR="00475CC1" w:rsidRDefault="00475CC1" w:rsidP="00AD2163">
      <w:pPr>
        <w:pStyle w:val="BodyText"/>
        <w:rPr>
          <w:lang w:val="de-DE"/>
        </w:rPr>
      </w:pPr>
    </w:p>
    <w:p w14:paraId="1098BC04" w14:textId="34ABF7E6" w:rsidR="00EC4FD6" w:rsidRDefault="00475CC1" w:rsidP="00AD2163">
      <w:pPr>
        <w:pStyle w:val="BodyText"/>
        <w:rPr>
          <w:lang w:val="de-DE"/>
        </w:rPr>
      </w:pPr>
      <w:r>
        <w:rPr>
          <w:lang w:val="de-DE"/>
        </w:rPr>
        <w:t>T</w:t>
      </w:r>
      <w:r w:rsidR="009A1304">
        <w:rPr>
          <w:lang w:val="de-DE"/>
        </w:rPr>
        <w:t xml:space="preserve">he </w:t>
      </w:r>
      <w:proofErr w:type="spellStart"/>
      <w:r w:rsidR="009A1304" w:rsidRPr="00BF1BEA">
        <w:rPr>
          <w:b/>
          <w:bCs/>
          <w:lang w:val="de-DE"/>
        </w:rPr>
        <w:t>content</w:t>
      </w:r>
      <w:proofErr w:type="spellEnd"/>
      <w:r w:rsidR="009A1304" w:rsidRPr="00BF1BEA">
        <w:rPr>
          <w:b/>
          <w:bCs/>
          <w:lang w:val="de-DE"/>
        </w:rPr>
        <w:t xml:space="preserve"> of </w:t>
      </w:r>
      <w:proofErr w:type="spellStart"/>
      <w:r w:rsidR="009A1304" w:rsidRPr="00BF1BEA">
        <w:rPr>
          <w:b/>
          <w:bCs/>
          <w:lang w:val="de-DE"/>
        </w:rPr>
        <w:t>fields</w:t>
      </w:r>
      <w:proofErr w:type="spellEnd"/>
      <w:r w:rsidR="009A1304" w:rsidRPr="00BF1BEA">
        <w:rPr>
          <w:b/>
          <w:bCs/>
          <w:lang w:val="de-DE"/>
        </w:rPr>
        <w:t xml:space="preserve"> outside</w:t>
      </w:r>
      <w:r w:rsidR="007A3D51" w:rsidRPr="00BF1BEA">
        <w:rPr>
          <w:b/>
          <w:bCs/>
          <w:lang w:val="de-DE"/>
        </w:rPr>
        <w:t xml:space="preserve"> </w:t>
      </w:r>
      <w:proofErr w:type="spellStart"/>
      <w:r w:rsidR="007A3D51" w:rsidRPr="00BF1BEA">
        <w:rPr>
          <w:b/>
          <w:bCs/>
          <w:lang w:val="de-DE"/>
        </w:rPr>
        <w:t>those</w:t>
      </w:r>
      <w:proofErr w:type="spellEnd"/>
      <w:r w:rsidR="007A3D51" w:rsidRPr="00BF1BEA">
        <w:rPr>
          <w:b/>
          <w:bCs/>
          <w:lang w:val="de-DE"/>
        </w:rPr>
        <w:t xml:space="preserve"> </w:t>
      </w:r>
      <w:proofErr w:type="spellStart"/>
      <w:r w:rsidR="007A3D51" w:rsidRPr="00BF1BEA">
        <w:rPr>
          <w:b/>
          <w:bCs/>
          <w:lang w:val="de-DE"/>
        </w:rPr>
        <w:t>occurrences</w:t>
      </w:r>
      <w:proofErr w:type="spellEnd"/>
      <w:r w:rsidR="007A3D51" w:rsidRPr="00BF1BEA">
        <w:rPr>
          <w:b/>
          <w:bCs/>
          <w:lang w:val="de-DE"/>
        </w:rPr>
        <w:t xml:space="preserve"> of</w:t>
      </w:r>
      <w:r w:rsidR="009A1304" w:rsidRPr="00BF1BEA">
        <w:rPr>
          <w:b/>
          <w:bCs/>
          <w:lang w:val="de-DE"/>
        </w:rPr>
        <w:t xml:space="preserve"> </w:t>
      </w:r>
      <w:proofErr w:type="spellStart"/>
      <w:r w:rsidR="009A1304" w:rsidRPr="00BF1BEA">
        <w:rPr>
          <w:b/>
          <w:bCs/>
          <w:lang w:val="de-DE"/>
        </w:rPr>
        <w:t>ServingCellConfigCommon</w:t>
      </w:r>
      <w:proofErr w:type="spellEnd"/>
      <w:r w:rsidR="009A1304" w:rsidRPr="004759BA">
        <w:rPr>
          <w:b/>
          <w:bCs/>
          <w:lang w:val="de-DE"/>
        </w:rPr>
        <w:t xml:space="preserve"> </w:t>
      </w:r>
      <w:proofErr w:type="spellStart"/>
      <w:r w:rsidR="00CF445D" w:rsidRPr="004759BA">
        <w:rPr>
          <w:b/>
          <w:bCs/>
          <w:lang w:val="de-DE"/>
        </w:rPr>
        <w:t>is</w:t>
      </w:r>
      <w:proofErr w:type="spellEnd"/>
      <w:r w:rsidR="00CF445D" w:rsidRPr="004759BA">
        <w:rPr>
          <w:b/>
          <w:bCs/>
          <w:lang w:val="de-DE"/>
        </w:rPr>
        <w:t xml:space="preserve"> </w:t>
      </w:r>
      <w:proofErr w:type="spellStart"/>
      <w:r w:rsidR="00666D6C" w:rsidRPr="004759BA">
        <w:rPr>
          <w:b/>
          <w:bCs/>
          <w:lang w:val="de-DE"/>
        </w:rPr>
        <w:t>independent</w:t>
      </w:r>
      <w:proofErr w:type="spellEnd"/>
      <w:r w:rsidR="00666D6C" w:rsidRPr="004759BA">
        <w:rPr>
          <w:b/>
          <w:bCs/>
          <w:lang w:val="de-DE"/>
        </w:rPr>
        <w:t xml:space="preserve"> of </w:t>
      </w:r>
      <w:proofErr w:type="spellStart"/>
      <w:r w:rsidR="00666D6C" w:rsidRPr="004759BA">
        <w:rPr>
          <w:b/>
          <w:bCs/>
          <w:lang w:val="de-DE"/>
        </w:rPr>
        <w:t>values</w:t>
      </w:r>
      <w:proofErr w:type="spellEnd"/>
      <w:r w:rsidR="00666D6C" w:rsidRPr="004759BA">
        <w:rPr>
          <w:b/>
          <w:bCs/>
          <w:lang w:val="de-DE"/>
        </w:rPr>
        <w:t xml:space="preserve"> </w:t>
      </w:r>
      <w:proofErr w:type="spellStart"/>
      <w:r w:rsidR="00666D6C" w:rsidRPr="004759BA">
        <w:rPr>
          <w:b/>
          <w:bCs/>
          <w:lang w:val="de-DE"/>
        </w:rPr>
        <w:t>configured</w:t>
      </w:r>
      <w:proofErr w:type="spellEnd"/>
      <w:r w:rsidR="00666D6C" w:rsidRPr="004759BA">
        <w:rPr>
          <w:b/>
          <w:bCs/>
          <w:lang w:val="de-DE"/>
        </w:rPr>
        <w:t xml:space="preserve"> in </w:t>
      </w:r>
      <w:r w:rsidR="001E0CA3" w:rsidRPr="004759BA">
        <w:rPr>
          <w:b/>
          <w:bCs/>
          <w:lang w:val="de-DE"/>
        </w:rPr>
        <w:t xml:space="preserve">MIB </w:t>
      </w:r>
      <w:proofErr w:type="spellStart"/>
      <w:r w:rsidR="001E0CA3" w:rsidRPr="004759BA">
        <w:rPr>
          <w:b/>
          <w:bCs/>
          <w:lang w:val="de-DE"/>
        </w:rPr>
        <w:t>or</w:t>
      </w:r>
      <w:proofErr w:type="spellEnd"/>
      <w:r w:rsidR="001E0CA3" w:rsidRPr="004759BA">
        <w:rPr>
          <w:b/>
          <w:bCs/>
          <w:lang w:val="de-DE"/>
        </w:rPr>
        <w:t xml:space="preserve"> SIB and </w:t>
      </w:r>
      <w:proofErr w:type="spellStart"/>
      <w:r w:rsidR="001E0CA3" w:rsidRPr="004759BA">
        <w:rPr>
          <w:b/>
          <w:bCs/>
          <w:lang w:val="de-DE"/>
        </w:rPr>
        <w:t>it</w:t>
      </w:r>
      <w:proofErr w:type="spellEnd"/>
      <w:r w:rsidR="001E0CA3" w:rsidRPr="004759BA">
        <w:rPr>
          <w:b/>
          <w:bCs/>
          <w:lang w:val="de-DE"/>
        </w:rPr>
        <w:t xml:space="preserve"> </w:t>
      </w:r>
      <w:proofErr w:type="spellStart"/>
      <w:r w:rsidR="001E0CA3" w:rsidRPr="004759BA">
        <w:rPr>
          <w:b/>
          <w:bCs/>
          <w:lang w:val="de-DE"/>
        </w:rPr>
        <w:t>is</w:t>
      </w:r>
      <w:proofErr w:type="spellEnd"/>
      <w:r w:rsidR="001E0CA3" w:rsidRPr="004759BA">
        <w:rPr>
          <w:b/>
          <w:bCs/>
          <w:lang w:val="de-DE"/>
        </w:rPr>
        <w:t xml:space="preserve"> </w:t>
      </w:r>
      <w:proofErr w:type="spellStart"/>
      <w:r w:rsidR="00C07D4A" w:rsidRPr="004759BA">
        <w:rPr>
          <w:b/>
          <w:bCs/>
          <w:lang w:val="de-DE"/>
        </w:rPr>
        <w:t>subject</w:t>
      </w:r>
      <w:proofErr w:type="spellEnd"/>
      <w:r w:rsidR="00C07D4A" w:rsidRPr="004759BA">
        <w:rPr>
          <w:b/>
          <w:bCs/>
          <w:lang w:val="de-DE"/>
        </w:rPr>
        <w:t xml:space="preserve"> </w:t>
      </w:r>
      <w:proofErr w:type="spellStart"/>
      <w:r w:rsidR="00C07D4A" w:rsidRPr="004759BA">
        <w:rPr>
          <w:b/>
          <w:bCs/>
          <w:lang w:val="de-DE"/>
        </w:rPr>
        <w:t>to</w:t>
      </w:r>
      <w:proofErr w:type="spellEnd"/>
      <w:r w:rsidR="00C07D4A" w:rsidRPr="004759BA">
        <w:rPr>
          <w:b/>
          <w:bCs/>
          <w:lang w:val="de-DE"/>
        </w:rPr>
        <w:t xml:space="preserve"> capability </w:t>
      </w:r>
      <w:proofErr w:type="spellStart"/>
      <w:r w:rsidR="00C07D4A" w:rsidRPr="004759BA">
        <w:rPr>
          <w:b/>
          <w:bCs/>
          <w:lang w:val="de-DE"/>
        </w:rPr>
        <w:t>validation</w:t>
      </w:r>
      <w:proofErr w:type="spellEnd"/>
      <w:r w:rsidR="001E0CA3">
        <w:rPr>
          <w:lang w:val="de-DE"/>
        </w:rPr>
        <w:t xml:space="preserve">. And this </w:t>
      </w:r>
      <w:proofErr w:type="spellStart"/>
      <w:r w:rsidR="001E0CA3">
        <w:rPr>
          <w:lang w:val="de-DE"/>
        </w:rPr>
        <w:t>is</w:t>
      </w:r>
      <w:proofErr w:type="spellEnd"/>
      <w:r w:rsidR="001E0CA3">
        <w:rPr>
          <w:lang w:val="de-DE"/>
        </w:rPr>
        <w:t xml:space="preserve"> </w:t>
      </w:r>
      <w:proofErr w:type="spellStart"/>
      <w:r w:rsidR="001E0CA3">
        <w:rPr>
          <w:lang w:val="de-DE"/>
        </w:rPr>
        <w:t>independent</w:t>
      </w:r>
      <w:proofErr w:type="spellEnd"/>
      <w:r w:rsidR="001E0CA3">
        <w:rPr>
          <w:lang w:val="de-DE"/>
        </w:rPr>
        <w:t xml:space="preserve"> of the </w:t>
      </w:r>
      <w:proofErr w:type="spellStart"/>
      <w:r w:rsidR="001E0CA3">
        <w:rPr>
          <w:lang w:val="de-DE"/>
        </w:rPr>
        <w:t>names</w:t>
      </w:r>
      <w:proofErr w:type="spellEnd"/>
      <w:r w:rsidR="001E0CA3">
        <w:rPr>
          <w:lang w:val="de-DE"/>
        </w:rPr>
        <w:t xml:space="preserve"> of </w:t>
      </w:r>
      <w:proofErr w:type="spellStart"/>
      <w:r w:rsidR="001E0CA3">
        <w:rPr>
          <w:lang w:val="de-DE"/>
        </w:rPr>
        <w:t>those</w:t>
      </w:r>
      <w:proofErr w:type="spellEnd"/>
      <w:r w:rsidR="001E0CA3">
        <w:rPr>
          <w:lang w:val="de-DE"/>
        </w:rPr>
        <w:t xml:space="preserve"> </w:t>
      </w:r>
      <w:proofErr w:type="spellStart"/>
      <w:r w:rsidR="001E0CA3">
        <w:rPr>
          <w:lang w:val="de-DE"/>
        </w:rPr>
        <w:t>fields</w:t>
      </w:r>
      <w:proofErr w:type="spellEnd"/>
      <w:r w:rsidR="001E0CA3">
        <w:rPr>
          <w:lang w:val="de-DE"/>
        </w:rPr>
        <w:t xml:space="preserve"> </w:t>
      </w:r>
      <w:proofErr w:type="spellStart"/>
      <w:r w:rsidR="001E0CA3">
        <w:rPr>
          <w:lang w:val="de-DE"/>
        </w:rPr>
        <w:t>or</w:t>
      </w:r>
      <w:proofErr w:type="spellEnd"/>
      <w:r w:rsidR="001E0CA3">
        <w:rPr>
          <w:lang w:val="de-DE"/>
        </w:rPr>
        <w:t xml:space="preserve"> </w:t>
      </w:r>
      <w:proofErr w:type="spellStart"/>
      <w:r w:rsidR="001E0CA3">
        <w:rPr>
          <w:lang w:val="de-DE"/>
        </w:rPr>
        <w:t>types</w:t>
      </w:r>
      <w:proofErr w:type="spellEnd"/>
      <w:r w:rsidR="00045C55">
        <w:rPr>
          <w:lang w:val="de-DE"/>
        </w:rPr>
        <w:t xml:space="preserve">, i.e., </w:t>
      </w:r>
      <w:proofErr w:type="spellStart"/>
      <w:r w:rsidR="00045C55">
        <w:rPr>
          <w:lang w:val="de-DE"/>
        </w:rPr>
        <w:t>it</w:t>
      </w:r>
      <w:proofErr w:type="spellEnd"/>
      <w:r w:rsidR="00045C55">
        <w:rPr>
          <w:lang w:val="de-DE"/>
        </w:rPr>
        <w:t xml:space="preserve"> </w:t>
      </w:r>
      <w:proofErr w:type="spellStart"/>
      <w:r w:rsidR="00045C55" w:rsidRPr="004759BA">
        <w:rPr>
          <w:lang w:val="de-DE"/>
        </w:rPr>
        <w:t>applies</w:t>
      </w:r>
      <w:proofErr w:type="spellEnd"/>
      <w:r w:rsidR="00C07D4A" w:rsidRPr="004759BA">
        <w:rPr>
          <w:lang w:val="de-DE"/>
        </w:rPr>
        <w:t xml:space="preserve"> </w:t>
      </w:r>
      <w:proofErr w:type="spellStart"/>
      <w:r w:rsidR="00C07D4A" w:rsidRPr="004759BA">
        <w:rPr>
          <w:lang w:val="de-DE"/>
        </w:rPr>
        <w:t>even</w:t>
      </w:r>
      <w:proofErr w:type="spellEnd"/>
      <w:r w:rsidR="00C07D4A" w:rsidRPr="004759BA">
        <w:rPr>
          <w:lang w:val="de-DE"/>
        </w:rPr>
        <w:t xml:space="preserve"> </w:t>
      </w:r>
      <w:proofErr w:type="spellStart"/>
      <w:r w:rsidR="00C07D4A" w:rsidRPr="004759BA">
        <w:rPr>
          <w:lang w:val="de-DE"/>
        </w:rPr>
        <w:t>if</w:t>
      </w:r>
      <w:proofErr w:type="spellEnd"/>
      <w:r w:rsidR="00C07D4A" w:rsidRPr="004759BA">
        <w:rPr>
          <w:lang w:val="de-DE"/>
        </w:rPr>
        <w:t xml:space="preserve"> the </w:t>
      </w:r>
      <w:proofErr w:type="spellStart"/>
      <w:r w:rsidR="00C07D4A" w:rsidRPr="004759BA">
        <w:rPr>
          <w:lang w:val="de-DE"/>
        </w:rPr>
        <w:t>name</w:t>
      </w:r>
      <w:proofErr w:type="spellEnd"/>
      <w:r w:rsidR="00C07D4A" w:rsidRPr="004759BA">
        <w:rPr>
          <w:lang w:val="de-DE"/>
        </w:rPr>
        <w:t xml:space="preserve"> of the </w:t>
      </w:r>
      <w:proofErr w:type="spellStart"/>
      <w:r w:rsidR="00C07D4A" w:rsidRPr="004759BA">
        <w:rPr>
          <w:lang w:val="de-DE"/>
        </w:rPr>
        <w:t>containing</w:t>
      </w:r>
      <w:proofErr w:type="spellEnd"/>
      <w:r w:rsidR="00C07D4A" w:rsidRPr="004759BA">
        <w:rPr>
          <w:lang w:val="de-DE"/>
        </w:rPr>
        <w:t xml:space="preserve"> IE </w:t>
      </w:r>
      <w:proofErr w:type="spellStart"/>
      <w:r w:rsidR="00C07D4A" w:rsidRPr="004759BA">
        <w:rPr>
          <w:lang w:val="de-DE"/>
        </w:rPr>
        <w:t>ends</w:t>
      </w:r>
      <w:proofErr w:type="spellEnd"/>
      <w:r w:rsidR="00C07D4A" w:rsidRPr="004759BA">
        <w:rPr>
          <w:lang w:val="de-DE"/>
        </w:rPr>
        <w:t xml:space="preserve"> </w:t>
      </w:r>
      <w:proofErr w:type="spellStart"/>
      <w:r w:rsidR="00C07D4A" w:rsidRPr="004759BA">
        <w:rPr>
          <w:lang w:val="de-DE"/>
        </w:rPr>
        <w:t>with</w:t>
      </w:r>
      <w:proofErr w:type="spellEnd"/>
      <w:r w:rsidR="00C07D4A" w:rsidRPr="004759BA">
        <w:rPr>
          <w:lang w:val="de-DE"/>
        </w:rPr>
        <w:t xml:space="preserve"> „</w:t>
      </w:r>
      <w:r w:rsidR="00C07D4A" w:rsidRPr="004759BA">
        <w:rPr>
          <w:i/>
          <w:iCs/>
          <w:lang w:val="de-DE"/>
        </w:rPr>
        <w:t>Common</w:t>
      </w:r>
      <w:r w:rsidR="00C07D4A" w:rsidRPr="004759BA">
        <w:rPr>
          <w:lang w:val="de-DE"/>
        </w:rPr>
        <w:t>“.</w:t>
      </w:r>
      <w:r w:rsidR="00C07D4A">
        <w:rPr>
          <w:lang w:val="de-DE"/>
        </w:rPr>
        <w:t xml:space="preserve"> </w:t>
      </w:r>
      <w:r w:rsidR="00045C55">
        <w:rPr>
          <w:lang w:val="de-DE"/>
        </w:rPr>
        <w:t xml:space="preserve">Prominent </w:t>
      </w:r>
      <w:proofErr w:type="spellStart"/>
      <w:r w:rsidR="00045C55">
        <w:rPr>
          <w:lang w:val="de-DE"/>
        </w:rPr>
        <w:t>examples</w:t>
      </w:r>
      <w:proofErr w:type="spellEnd"/>
      <w:r w:rsidR="00045C55">
        <w:rPr>
          <w:lang w:val="de-DE"/>
        </w:rPr>
        <w:t xml:space="preserve"> </w:t>
      </w:r>
      <w:proofErr w:type="spellStart"/>
      <w:r w:rsidR="00045C55">
        <w:rPr>
          <w:lang w:val="de-DE"/>
        </w:rPr>
        <w:t>are</w:t>
      </w:r>
      <w:proofErr w:type="spellEnd"/>
      <w:r w:rsidR="00045C55">
        <w:rPr>
          <w:lang w:val="de-DE"/>
        </w:rPr>
        <w:t xml:space="preserve"> ...</w:t>
      </w:r>
    </w:p>
    <w:p w14:paraId="5AC792AB" w14:textId="77777777" w:rsidR="00045C55" w:rsidRDefault="00045C55" w:rsidP="00CD7A90">
      <w:pPr>
        <w:pStyle w:val="B1"/>
        <w:rPr>
          <w:lang w:val="de-DE"/>
        </w:rPr>
      </w:pPr>
      <w:r>
        <w:rPr>
          <w:lang w:val="de-DE"/>
        </w:rPr>
        <w:t>1&gt;</w:t>
      </w:r>
      <w:r>
        <w:rPr>
          <w:lang w:val="de-DE"/>
        </w:rPr>
        <w:tab/>
      </w:r>
      <w:r w:rsidRPr="000020E1">
        <w:rPr>
          <w:lang w:val="de-DE"/>
        </w:rPr>
        <w:t>RRCReconfiguration-IEs</w:t>
      </w:r>
    </w:p>
    <w:p w14:paraId="229D90A4" w14:textId="77777777" w:rsidR="00CD7A90" w:rsidRDefault="00CD7A90" w:rsidP="00CD7A90">
      <w:pPr>
        <w:pStyle w:val="B1"/>
        <w:rPr>
          <w:lang w:val="de-DE"/>
        </w:rPr>
      </w:pPr>
      <w:r>
        <w:rPr>
          <w:lang w:val="de-DE"/>
        </w:rPr>
        <w:t>1&gt;</w:t>
      </w:r>
      <w:r>
        <w:rPr>
          <w:lang w:val="de-DE"/>
        </w:rPr>
        <w:tab/>
      </w:r>
      <w:proofErr w:type="spellStart"/>
      <w:r>
        <w:rPr>
          <w:lang w:val="de-DE"/>
        </w:rPr>
        <w:t>nonCriticalExtension</w:t>
      </w:r>
      <w:proofErr w:type="spellEnd"/>
      <w:r>
        <w:rPr>
          <w:lang w:val="de-DE"/>
        </w:rPr>
        <w:t xml:space="preserve"> (RRCReconfiguration-v1530-IEs)</w:t>
      </w:r>
    </w:p>
    <w:p w14:paraId="7889D867" w14:textId="77777777" w:rsidR="00CD7A90" w:rsidRDefault="00CD7A90" w:rsidP="00CD7A90">
      <w:pPr>
        <w:pStyle w:val="B2"/>
        <w:rPr>
          <w:lang w:val="de-DE"/>
        </w:rPr>
      </w:pPr>
      <w:r>
        <w:rPr>
          <w:lang w:val="de-DE"/>
        </w:rPr>
        <w:t>2&gt;</w:t>
      </w:r>
      <w:r>
        <w:rPr>
          <w:lang w:val="de-DE"/>
        </w:rPr>
        <w:tab/>
      </w:r>
      <w:proofErr w:type="spellStart"/>
      <w:r>
        <w:rPr>
          <w:lang w:val="de-DE"/>
        </w:rPr>
        <w:t>masterCellGroup</w:t>
      </w:r>
      <w:proofErr w:type="spellEnd"/>
      <w:r>
        <w:rPr>
          <w:lang w:val="de-DE"/>
        </w:rPr>
        <w:t xml:space="preserve"> (type CellGroupConfig)</w:t>
      </w:r>
    </w:p>
    <w:p w14:paraId="44F176B9" w14:textId="77777777" w:rsidR="00CD7A90" w:rsidRDefault="00CD7A90" w:rsidP="00CD7A90">
      <w:pPr>
        <w:pStyle w:val="B3"/>
        <w:rPr>
          <w:lang w:val="de-DE"/>
        </w:rPr>
      </w:pPr>
      <w:r>
        <w:rPr>
          <w:lang w:val="de-DE"/>
        </w:rPr>
        <w:t>3&gt;</w:t>
      </w:r>
      <w:r>
        <w:rPr>
          <w:lang w:val="de-DE"/>
        </w:rPr>
        <w:tab/>
      </w:r>
      <w:proofErr w:type="spellStart"/>
      <w:r>
        <w:rPr>
          <w:lang w:val="de-DE"/>
        </w:rPr>
        <w:t>spCellConfig</w:t>
      </w:r>
      <w:proofErr w:type="spellEnd"/>
    </w:p>
    <w:p w14:paraId="76F5E08A" w14:textId="77777777" w:rsidR="00CD7A90" w:rsidRDefault="00CD7A90" w:rsidP="00CD7A90">
      <w:pPr>
        <w:pStyle w:val="B4"/>
        <w:rPr>
          <w:lang w:val="de-DE"/>
        </w:rPr>
      </w:pPr>
      <w:r>
        <w:rPr>
          <w:lang w:val="de-DE"/>
        </w:rPr>
        <w:t>4&gt;</w:t>
      </w:r>
      <w:r>
        <w:rPr>
          <w:lang w:val="de-DE"/>
        </w:rPr>
        <w:tab/>
      </w:r>
      <w:proofErr w:type="spellStart"/>
      <w:r>
        <w:rPr>
          <w:lang w:val="de-DE"/>
        </w:rPr>
        <w:t>spCellConfigDedicated</w:t>
      </w:r>
      <w:proofErr w:type="spellEnd"/>
    </w:p>
    <w:p w14:paraId="35E7AED3" w14:textId="77777777" w:rsidR="00CD7A90" w:rsidRDefault="00CD7A90" w:rsidP="00CD7A90">
      <w:pPr>
        <w:pStyle w:val="B5"/>
        <w:rPr>
          <w:lang w:val="de-DE"/>
        </w:rPr>
      </w:pPr>
      <w:r>
        <w:rPr>
          <w:lang w:val="de-DE"/>
        </w:rPr>
        <w:t>5&gt;</w:t>
      </w:r>
      <w:r>
        <w:rPr>
          <w:lang w:val="de-DE"/>
        </w:rPr>
        <w:tab/>
      </w:r>
      <w:proofErr w:type="spellStart"/>
      <w:r>
        <w:rPr>
          <w:lang w:val="de-DE"/>
        </w:rPr>
        <w:t>downlinkBWP</w:t>
      </w:r>
      <w:proofErr w:type="spellEnd"/>
      <w:r>
        <w:rPr>
          <w:lang w:val="de-DE"/>
        </w:rPr>
        <w:t>-ToAddModList</w:t>
      </w:r>
    </w:p>
    <w:p w14:paraId="3D46C13D" w14:textId="46902203" w:rsidR="00804561" w:rsidRDefault="00CD7A90" w:rsidP="00512FA7">
      <w:pPr>
        <w:pStyle w:val="B6"/>
        <w:rPr>
          <w:lang w:val="de-DE"/>
        </w:rPr>
      </w:pPr>
      <w:r>
        <w:rPr>
          <w:lang w:val="de-DE"/>
        </w:rPr>
        <w:t>6&gt;</w:t>
      </w:r>
      <w:r w:rsidR="004B782E">
        <w:rPr>
          <w:lang w:val="de-DE"/>
        </w:rPr>
        <w:tab/>
      </w:r>
      <w:proofErr w:type="spellStart"/>
      <w:r w:rsidR="009442F7" w:rsidRPr="009442F7">
        <w:rPr>
          <w:lang w:val="de-DE"/>
        </w:rPr>
        <w:t>bwp</w:t>
      </w:r>
      <w:proofErr w:type="spellEnd"/>
      <w:r w:rsidR="009442F7" w:rsidRPr="009442F7">
        <w:rPr>
          <w:lang w:val="de-DE"/>
        </w:rPr>
        <w:t>-</w:t>
      </w:r>
      <w:r w:rsidR="009442F7" w:rsidRPr="00512FA7">
        <w:rPr>
          <w:b/>
          <w:bCs/>
          <w:lang w:val="de-DE"/>
        </w:rPr>
        <w:t>Common</w:t>
      </w:r>
      <w:r w:rsidR="009442F7">
        <w:rPr>
          <w:lang w:val="de-DE"/>
        </w:rPr>
        <w:t xml:space="preserve"> (type </w:t>
      </w:r>
      <w:r w:rsidRPr="00CD7A90">
        <w:rPr>
          <w:lang w:val="de-DE"/>
        </w:rPr>
        <w:t>BWP-</w:t>
      </w:r>
      <w:proofErr w:type="spellStart"/>
      <w:r w:rsidRPr="00CD7A90">
        <w:rPr>
          <w:lang w:val="de-DE"/>
        </w:rPr>
        <w:t>DownlinkCommon</w:t>
      </w:r>
      <w:proofErr w:type="spellEnd"/>
      <w:r>
        <w:rPr>
          <w:lang w:val="de-DE"/>
        </w:rPr>
        <w:t>)</w:t>
      </w:r>
    </w:p>
    <w:p w14:paraId="21CB4FE9" w14:textId="4F4160D6" w:rsidR="004B782E" w:rsidRDefault="004B782E" w:rsidP="00512FA7">
      <w:pPr>
        <w:pStyle w:val="B7"/>
        <w:rPr>
          <w:lang w:val="de-DE"/>
        </w:rPr>
      </w:pPr>
      <w:r>
        <w:rPr>
          <w:lang w:val="de-DE"/>
        </w:rPr>
        <w:t>7&gt;</w:t>
      </w:r>
      <w:r>
        <w:rPr>
          <w:lang w:val="de-DE"/>
        </w:rPr>
        <w:tab/>
      </w:r>
      <w:proofErr w:type="spellStart"/>
      <w:r w:rsidRPr="004B782E">
        <w:rPr>
          <w:lang w:val="de-DE"/>
        </w:rPr>
        <w:t>pdcch</w:t>
      </w:r>
      <w:proofErr w:type="spellEnd"/>
      <w:r w:rsidRPr="004B782E">
        <w:rPr>
          <w:lang w:val="de-DE"/>
        </w:rPr>
        <w:t>-Config</w:t>
      </w:r>
      <w:r w:rsidRPr="00512FA7">
        <w:rPr>
          <w:b/>
          <w:bCs/>
          <w:lang w:val="de-DE"/>
        </w:rPr>
        <w:t>Common</w:t>
      </w:r>
    </w:p>
    <w:p w14:paraId="1718E40F" w14:textId="086DCD68" w:rsidR="004B782E" w:rsidRDefault="004B782E" w:rsidP="008E46C0">
      <w:pPr>
        <w:pStyle w:val="B7"/>
        <w:rPr>
          <w:lang w:val="de-DE"/>
        </w:rPr>
      </w:pPr>
      <w:r>
        <w:rPr>
          <w:lang w:val="de-DE"/>
        </w:rPr>
        <w:t xml:space="preserve">7&gt; </w:t>
      </w:r>
      <w:proofErr w:type="spellStart"/>
      <w:r w:rsidR="00512FA7" w:rsidRPr="00512FA7">
        <w:rPr>
          <w:lang w:val="de-DE"/>
        </w:rPr>
        <w:t>pdsch</w:t>
      </w:r>
      <w:proofErr w:type="spellEnd"/>
      <w:r w:rsidR="00512FA7" w:rsidRPr="00512FA7">
        <w:rPr>
          <w:lang w:val="de-DE"/>
        </w:rPr>
        <w:t>-Config</w:t>
      </w:r>
      <w:r w:rsidR="00512FA7" w:rsidRPr="00512FA7">
        <w:rPr>
          <w:b/>
          <w:bCs/>
          <w:lang w:val="de-DE"/>
        </w:rPr>
        <w:t>Common</w:t>
      </w:r>
    </w:p>
    <w:p w14:paraId="408E71CB" w14:textId="4DCC62A2" w:rsidR="00045C55" w:rsidRDefault="002E0FFA" w:rsidP="008E46C0">
      <w:pPr>
        <w:pStyle w:val="B5"/>
        <w:rPr>
          <w:lang w:val="de-DE"/>
        </w:rPr>
      </w:pPr>
      <w:r>
        <w:rPr>
          <w:lang w:val="de-DE"/>
        </w:rPr>
        <w:t>5&gt;</w:t>
      </w:r>
      <w:r>
        <w:rPr>
          <w:lang w:val="de-DE"/>
        </w:rPr>
        <w:tab/>
      </w:r>
      <w:proofErr w:type="spellStart"/>
      <w:r w:rsidRPr="002E0FFA">
        <w:rPr>
          <w:lang w:val="de-DE"/>
        </w:rPr>
        <w:t>uplinkConfig</w:t>
      </w:r>
      <w:proofErr w:type="spellEnd"/>
    </w:p>
    <w:p w14:paraId="158F8370" w14:textId="25471116" w:rsidR="002E0FFA" w:rsidRDefault="002E0FFA" w:rsidP="008E46C0">
      <w:pPr>
        <w:pStyle w:val="B6"/>
        <w:rPr>
          <w:lang w:val="de-DE"/>
        </w:rPr>
      </w:pPr>
      <w:r>
        <w:rPr>
          <w:lang w:val="de-DE"/>
        </w:rPr>
        <w:t>6&gt;</w:t>
      </w:r>
      <w:r>
        <w:rPr>
          <w:lang w:val="de-DE"/>
        </w:rPr>
        <w:tab/>
      </w:r>
      <w:proofErr w:type="spellStart"/>
      <w:r w:rsidR="00FD0CD2" w:rsidRPr="00FD0CD2">
        <w:rPr>
          <w:lang w:val="de-DE"/>
        </w:rPr>
        <w:t>uplinkBWP</w:t>
      </w:r>
      <w:proofErr w:type="spellEnd"/>
      <w:r w:rsidR="00FD0CD2" w:rsidRPr="00FD0CD2">
        <w:rPr>
          <w:lang w:val="de-DE"/>
        </w:rPr>
        <w:t>-ToAddModList</w:t>
      </w:r>
    </w:p>
    <w:p w14:paraId="3D079369" w14:textId="0A67E07F" w:rsidR="00FD0CD2" w:rsidRDefault="00FD0CD2" w:rsidP="008E46C0">
      <w:pPr>
        <w:pStyle w:val="B7"/>
        <w:rPr>
          <w:lang w:val="de-DE"/>
        </w:rPr>
      </w:pPr>
      <w:r>
        <w:rPr>
          <w:lang w:val="de-DE"/>
        </w:rPr>
        <w:t>7&gt;</w:t>
      </w:r>
      <w:r>
        <w:rPr>
          <w:lang w:val="de-DE"/>
        </w:rPr>
        <w:tab/>
      </w:r>
      <w:proofErr w:type="spellStart"/>
      <w:r w:rsidR="006141C6" w:rsidRPr="006141C6">
        <w:rPr>
          <w:lang w:val="de-DE"/>
        </w:rPr>
        <w:t>bwp</w:t>
      </w:r>
      <w:proofErr w:type="spellEnd"/>
      <w:r w:rsidR="006141C6" w:rsidRPr="008E46C0">
        <w:rPr>
          <w:b/>
          <w:bCs/>
          <w:lang w:val="de-DE"/>
        </w:rPr>
        <w:t>-Common</w:t>
      </w:r>
    </w:p>
    <w:p w14:paraId="27D4E247" w14:textId="2CFDBC91" w:rsidR="006141C6" w:rsidRDefault="008E46C0" w:rsidP="008E46C0">
      <w:pPr>
        <w:pStyle w:val="B5"/>
        <w:rPr>
          <w:lang w:val="de-DE"/>
        </w:rPr>
      </w:pPr>
      <w:r>
        <w:rPr>
          <w:lang w:val="de-DE"/>
        </w:rPr>
        <w:t>5&gt;</w:t>
      </w:r>
      <w:r>
        <w:rPr>
          <w:lang w:val="de-DE"/>
        </w:rPr>
        <w:tab/>
      </w:r>
      <w:proofErr w:type="spellStart"/>
      <w:r w:rsidRPr="008E46C0">
        <w:rPr>
          <w:lang w:val="de-DE"/>
        </w:rPr>
        <w:t>supplementaryUplink</w:t>
      </w:r>
      <w:proofErr w:type="spellEnd"/>
    </w:p>
    <w:p w14:paraId="1D2FC001" w14:textId="77777777" w:rsidR="008E46C0" w:rsidRPr="008E46C0" w:rsidRDefault="008E46C0" w:rsidP="008E46C0">
      <w:pPr>
        <w:pStyle w:val="B6"/>
        <w:rPr>
          <w:lang w:val="de-DE"/>
        </w:rPr>
      </w:pPr>
      <w:r w:rsidRPr="008E46C0">
        <w:rPr>
          <w:lang w:val="de-DE"/>
        </w:rPr>
        <w:t>6&gt;</w:t>
      </w:r>
      <w:r w:rsidRPr="008E46C0">
        <w:rPr>
          <w:lang w:val="de-DE"/>
        </w:rPr>
        <w:tab/>
      </w:r>
      <w:proofErr w:type="spellStart"/>
      <w:r w:rsidRPr="008E46C0">
        <w:rPr>
          <w:lang w:val="de-DE"/>
        </w:rPr>
        <w:t>uplinkBWP</w:t>
      </w:r>
      <w:proofErr w:type="spellEnd"/>
      <w:r w:rsidRPr="008E46C0">
        <w:rPr>
          <w:lang w:val="de-DE"/>
        </w:rPr>
        <w:t>-ToAddModList</w:t>
      </w:r>
    </w:p>
    <w:p w14:paraId="13E28468" w14:textId="4BE5AD9F" w:rsidR="008E46C0" w:rsidRDefault="008E46C0" w:rsidP="008E46C0">
      <w:pPr>
        <w:pStyle w:val="B7"/>
        <w:rPr>
          <w:lang w:val="de-DE"/>
        </w:rPr>
      </w:pPr>
      <w:r w:rsidRPr="008E46C0">
        <w:rPr>
          <w:lang w:val="de-DE"/>
        </w:rPr>
        <w:t>7&gt;</w:t>
      </w:r>
      <w:r w:rsidRPr="008E46C0">
        <w:rPr>
          <w:lang w:val="de-DE"/>
        </w:rPr>
        <w:tab/>
      </w:r>
      <w:proofErr w:type="spellStart"/>
      <w:r w:rsidRPr="008E46C0">
        <w:rPr>
          <w:lang w:val="de-DE"/>
        </w:rPr>
        <w:t>bwp</w:t>
      </w:r>
      <w:proofErr w:type="spellEnd"/>
      <w:r w:rsidRPr="008E46C0">
        <w:rPr>
          <w:lang w:val="de-DE"/>
        </w:rPr>
        <w:t>-</w:t>
      </w:r>
      <w:r w:rsidRPr="008E46C0">
        <w:rPr>
          <w:b/>
          <w:bCs/>
          <w:lang w:val="de-DE"/>
        </w:rPr>
        <w:t>Common</w:t>
      </w:r>
    </w:p>
    <w:p w14:paraId="5AC1D5E9" w14:textId="2A5DA8B3" w:rsidR="00AD2163" w:rsidRDefault="00AD2163" w:rsidP="00AD2163">
      <w:pPr>
        <w:pStyle w:val="Heading2"/>
      </w:pPr>
      <w:r>
        <w:lastRenderedPageBreak/>
        <w:t>2.2</w:t>
      </w:r>
      <w:r w:rsidR="002F0B16">
        <w:tab/>
        <w:t>Remaining issues</w:t>
      </w:r>
    </w:p>
    <w:p w14:paraId="1C969B7D" w14:textId="626AA839" w:rsidR="002F0B16" w:rsidRDefault="002F0B16" w:rsidP="002F0B16">
      <w:pPr>
        <w:pStyle w:val="Heading3"/>
      </w:pPr>
      <w:r>
        <w:t>2.2.1</w:t>
      </w:r>
      <w:r>
        <w:tab/>
      </w:r>
      <w:r w:rsidR="00D55A48">
        <w:t xml:space="preserve">Need to omit fields in </w:t>
      </w:r>
      <w:proofErr w:type="spellStart"/>
      <w:r w:rsidR="00D55A48">
        <w:t>ServingCellConfigCommon</w:t>
      </w:r>
      <w:proofErr w:type="spellEnd"/>
    </w:p>
    <w:p w14:paraId="7ACA056D" w14:textId="50AD8F8A" w:rsidR="00D55A48" w:rsidRDefault="00B33BB7" w:rsidP="00D55A48">
      <w:r>
        <w:t xml:space="preserve">The agreements cited in section 2.1 </w:t>
      </w:r>
      <w:r w:rsidR="00EF1270">
        <w:t xml:space="preserve">state that fields in </w:t>
      </w:r>
      <w:r w:rsidR="00EF1270" w:rsidRPr="00E57B74">
        <w:rPr>
          <w:i/>
          <w:iCs/>
        </w:rPr>
        <w:t xml:space="preserve">RRCReconfiguration-&gt; ...-&gt; </w:t>
      </w:r>
      <w:proofErr w:type="spellStart"/>
      <w:r w:rsidR="00EF1270" w:rsidRPr="00E57B74">
        <w:rPr>
          <w:i/>
          <w:iCs/>
        </w:rPr>
        <w:t>ServingCellConfigCommon</w:t>
      </w:r>
      <w:proofErr w:type="spellEnd"/>
      <w:r w:rsidR="00EF1270">
        <w:t xml:space="preserve"> shall have the same values as in the corresponding SIB.</w:t>
      </w:r>
      <w:r w:rsidR="00E57B74">
        <w:t xml:space="preserve"> However, it has been suggested that the gNB should </w:t>
      </w:r>
      <w:r w:rsidR="00E57B74" w:rsidRPr="005F1E63">
        <w:rPr>
          <w:b/>
          <w:bCs/>
        </w:rPr>
        <w:t>omit</w:t>
      </w:r>
      <w:r w:rsidR="00E57B74">
        <w:t xml:space="preserve"> fields in those IEs</w:t>
      </w:r>
      <w:r w:rsidR="005F1E63">
        <w:t xml:space="preserve"> for which the UE does not support the corresponding functionality. </w:t>
      </w:r>
    </w:p>
    <w:p w14:paraId="27AE57C4" w14:textId="4D53DCF6" w:rsidR="00AA7929" w:rsidRDefault="00AA7929" w:rsidP="00AA7929">
      <w:r>
        <w:t xml:space="preserve">In the recent discussions </w:t>
      </w:r>
      <w:r w:rsidR="00E652BE">
        <w:t xml:space="preserve">some companies </w:t>
      </w:r>
      <w:r>
        <w:t xml:space="preserve">said that </w:t>
      </w:r>
      <w:r w:rsidR="001A529C">
        <w:t xml:space="preserve">a UE should in any case be able to parse the ASN.1 even if it does not support the functionality associated to some of </w:t>
      </w:r>
      <w:r w:rsidR="00E652BE">
        <w:t xml:space="preserve">the contained fields. Hence, </w:t>
      </w:r>
      <w:r w:rsidR="009B3E23">
        <w:t xml:space="preserve">it should be easy for a UE to accept the RRCReconfiguration even if it does not comprehend the purpose of some of the fields in </w:t>
      </w:r>
      <w:proofErr w:type="spellStart"/>
      <w:r w:rsidR="009B3E23">
        <w:t>ServingCellConfigCommon</w:t>
      </w:r>
      <w:proofErr w:type="spellEnd"/>
      <w:r w:rsidR="009B3E23">
        <w:t xml:space="preserve">. </w:t>
      </w:r>
    </w:p>
    <w:p w14:paraId="00C676EC" w14:textId="77777777" w:rsidR="003071DF" w:rsidRDefault="00314734" w:rsidP="00AA7929">
      <w:r>
        <w:t xml:space="preserve">However, one company </w:t>
      </w:r>
      <w:r w:rsidR="001E129A">
        <w:t xml:space="preserve">raised the concern that the (unfortunate) use of </w:t>
      </w:r>
      <w:r w:rsidR="00994A9B">
        <w:t>“Need M” on various levels of</w:t>
      </w:r>
      <w:r w:rsidR="001E129A">
        <w:t xml:space="preserve"> </w:t>
      </w:r>
      <w:proofErr w:type="spellStart"/>
      <w:r w:rsidR="001E129A">
        <w:t>ServingCellConfigCommon</w:t>
      </w:r>
      <w:proofErr w:type="spellEnd"/>
      <w:r w:rsidR="001E129A">
        <w:t xml:space="preserve"> </w:t>
      </w:r>
      <w:r w:rsidR="00994A9B">
        <w:t>would require that a UE</w:t>
      </w:r>
      <w:r w:rsidR="005302A7">
        <w:t xml:space="preserve"> handles </w:t>
      </w:r>
      <w:r w:rsidR="00BD6F8A">
        <w:t xml:space="preserve">those fields in terms of delta signalling. </w:t>
      </w:r>
    </w:p>
    <w:p w14:paraId="333EEED0" w14:textId="01A3B795" w:rsidR="00AA7929" w:rsidRPr="00B33BB7" w:rsidRDefault="002B2C53" w:rsidP="00AA7929">
      <w:r>
        <w:t>E</w:t>
      </w:r>
      <w:r w:rsidR="00BD6F8A">
        <w:t>xample</w:t>
      </w:r>
      <w:r>
        <w:t>: A UE does not support SUL on the band of the current PCell but the cell</w:t>
      </w:r>
      <w:r w:rsidR="00AA1C06">
        <w:t xml:space="preserve"> provides </w:t>
      </w:r>
      <w:proofErr w:type="spellStart"/>
      <w:r w:rsidR="009D30BB" w:rsidRPr="005516E8">
        <w:rPr>
          <w:i/>
          <w:iCs/>
        </w:rPr>
        <w:t>supplementaryUplinkConfig</w:t>
      </w:r>
      <w:proofErr w:type="spellEnd"/>
      <w:r w:rsidR="009D30BB">
        <w:t xml:space="preserve"> in </w:t>
      </w:r>
      <w:proofErr w:type="spellStart"/>
      <w:r w:rsidR="009D30BB" w:rsidRPr="005516E8">
        <w:rPr>
          <w:i/>
          <w:iCs/>
        </w:rPr>
        <w:t>ServingCellConfigCommon</w:t>
      </w:r>
      <w:proofErr w:type="spellEnd"/>
      <w:r w:rsidR="009D30BB">
        <w:t xml:space="preserve"> and in </w:t>
      </w:r>
      <w:proofErr w:type="spellStart"/>
      <w:r w:rsidR="009D30BB" w:rsidRPr="005516E8">
        <w:rPr>
          <w:i/>
          <w:iCs/>
        </w:rPr>
        <w:t>ServingCellConfigCommonSIB</w:t>
      </w:r>
      <w:proofErr w:type="spellEnd"/>
      <w:r w:rsidR="009D30BB">
        <w:t xml:space="preserve">. </w:t>
      </w:r>
      <w:r w:rsidR="0075579A">
        <w:t xml:space="preserve">Since the UE does not support the feature, it could in principle ignore the fields in ASN.1. However, if the network triggers </w:t>
      </w:r>
      <w:r w:rsidR="00017F80">
        <w:t>an inter-frequency handover to a PCell on which the UE supports SUL and on which the network uses SUL</w:t>
      </w:r>
      <w:r w:rsidR="00B84530">
        <w:t xml:space="preserve">, the UE must have maintained the </w:t>
      </w:r>
      <w:proofErr w:type="spellStart"/>
      <w:r w:rsidR="005516E8" w:rsidRPr="005516E8">
        <w:rPr>
          <w:i/>
          <w:iCs/>
        </w:rPr>
        <w:t>supplementaryUplinkConfig</w:t>
      </w:r>
      <w:proofErr w:type="spellEnd"/>
      <w:r w:rsidR="005516E8">
        <w:t xml:space="preserve"> of the source cell </w:t>
      </w:r>
      <w:r w:rsidR="002238F1">
        <w:t>to</w:t>
      </w:r>
      <w:r w:rsidR="005516E8">
        <w:t xml:space="preserve"> correctly </w:t>
      </w:r>
      <w:r w:rsidR="00324C11">
        <w:t xml:space="preserve">interpret the </w:t>
      </w:r>
      <w:r w:rsidR="005516E8">
        <w:t xml:space="preserve">delta configuration </w:t>
      </w:r>
      <w:r w:rsidR="00324C11">
        <w:t xml:space="preserve">obtained from </w:t>
      </w:r>
      <w:r w:rsidR="00324C11" w:rsidRPr="00324C11">
        <w:t xml:space="preserve">the target cell </w:t>
      </w:r>
      <w:r w:rsidR="00324C11">
        <w:t>in</w:t>
      </w:r>
      <w:r w:rsidR="00C97F0F">
        <w:t xml:space="preserve"> </w:t>
      </w:r>
      <w:proofErr w:type="spellStart"/>
      <w:r w:rsidR="00C97F0F" w:rsidRPr="00C97F0F">
        <w:rPr>
          <w:i/>
          <w:iCs/>
        </w:rPr>
        <w:t>ServingCellConfigCommon</w:t>
      </w:r>
      <w:proofErr w:type="spellEnd"/>
      <w:r w:rsidR="00C97F0F">
        <w:t xml:space="preserve">. </w:t>
      </w:r>
    </w:p>
    <w:p w14:paraId="06211126" w14:textId="77777777" w:rsidR="00AA7929" w:rsidRDefault="00AA7929" w:rsidP="00D55A48"/>
    <w:p w14:paraId="38E89924" w14:textId="068E8E68" w:rsidR="009E30FD" w:rsidRDefault="009E30FD" w:rsidP="009E30FD">
      <w:r w:rsidRPr="007F20A7">
        <w:rPr>
          <w:b/>
          <w:bCs/>
          <w:lang w:eastAsia="en-GB"/>
        </w:rPr>
        <w:t>Q1</w:t>
      </w:r>
      <w:r>
        <w:rPr>
          <w:b/>
          <w:bCs/>
          <w:lang w:eastAsia="en-GB"/>
        </w:rPr>
        <w:t>:</w:t>
      </w:r>
      <w:r>
        <w:rPr>
          <w:b/>
          <w:bCs/>
          <w:lang w:eastAsia="en-GB"/>
        </w:rPr>
        <w:tab/>
        <w:t xml:space="preserve">Should </w:t>
      </w:r>
      <w:r w:rsidR="00A16089">
        <w:rPr>
          <w:b/>
          <w:bCs/>
          <w:lang w:eastAsia="en-GB"/>
        </w:rPr>
        <w:t xml:space="preserve">the gNB </w:t>
      </w:r>
      <w:r w:rsidR="00A16089" w:rsidRPr="00A16089">
        <w:rPr>
          <w:b/>
          <w:bCs/>
          <w:u w:val="single"/>
          <w:lang w:eastAsia="en-GB"/>
        </w:rPr>
        <w:t>omit</w:t>
      </w:r>
      <w:r w:rsidR="00A16089">
        <w:rPr>
          <w:b/>
          <w:bCs/>
          <w:lang w:eastAsia="en-GB"/>
        </w:rPr>
        <w:t xml:space="preserve"> fields </w:t>
      </w:r>
      <w:r w:rsidR="00A16089" w:rsidRPr="00A16089">
        <w:rPr>
          <w:b/>
          <w:bCs/>
          <w:lang w:eastAsia="en-GB"/>
        </w:rPr>
        <w:t xml:space="preserve">in </w:t>
      </w:r>
      <w:r w:rsidR="00A16089">
        <w:rPr>
          <w:b/>
          <w:bCs/>
          <w:lang w:eastAsia="en-GB"/>
        </w:rPr>
        <w:t>“</w:t>
      </w:r>
      <w:r w:rsidR="00A16089" w:rsidRPr="00A16089">
        <w:rPr>
          <w:b/>
          <w:bCs/>
          <w:i/>
          <w:iCs/>
          <w:lang w:eastAsia="en-GB"/>
        </w:rPr>
        <w:t xml:space="preserve">RRCReconfiguration-&gt; ...-&gt; </w:t>
      </w:r>
      <w:proofErr w:type="spellStart"/>
      <w:r w:rsidR="00A16089" w:rsidRPr="00A16089">
        <w:rPr>
          <w:b/>
          <w:bCs/>
          <w:i/>
          <w:iCs/>
          <w:lang w:eastAsia="en-GB"/>
        </w:rPr>
        <w:t>ServingCellConfigCommon</w:t>
      </w:r>
      <w:proofErr w:type="spellEnd"/>
      <w:r w:rsidR="00A16089">
        <w:rPr>
          <w:b/>
          <w:bCs/>
          <w:lang w:eastAsia="en-GB"/>
        </w:rPr>
        <w:t xml:space="preserve">” </w:t>
      </w:r>
      <w:r w:rsidR="00D2789D">
        <w:rPr>
          <w:b/>
          <w:bCs/>
          <w:lang w:eastAsia="en-GB"/>
        </w:rPr>
        <w:t>and/or in “</w:t>
      </w:r>
      <w:r w:rsidR="00D2789D" w:rsidRPr="00082E5A">
        <w:rPr>
          <w:b/>
          <w:bCs/>
          <w:i/>
          <w:iCs/>
          <w:lang w:eastAsia="en-GB"/>
        </w:rPr>
        <w:t>dedicatedSIB1-Delivery</w:t>
      </w:r>
      <w:r w:rsidR="00D2789D">
        <w:rPr>
          <w:b/>
          <w:bCs/>
          <w:lang w:eastAsia="en-GB"/>
        </w:rPr>
        <w:t xml:space="preserve">” </w:t>
      </w:r>
      <w:r w:rsidR="00A16089">
        <w:rPr>
          <w:b/>
          <w:bCs/>
          <w:lang w:eastAsia="en-GB"/>
        </w:rPr>
        <w:t>for which the UE does not support the corresponding feature</w:t>
      </w:r>
      <w:r w:rsidR="009A11EF">
        <w:rPr>
          <w:b/>
          <w:bCs/>
          <w:lang w:eastAsia="en-GB"/>
        </w:rPr>
        <w:t>?</w:t>
      </w:r>
      <w:r w:rsidR="008869DF">
        <w:rPr>
          <w:b/>
          <w:bCs/>
          <w:lang w:eastAsia="en-GB"/>
        </w:rPr>
        <w:t xml:space="preserve"> If not</w:t>
      </w:r>
      <w:r w:rsidR="009B316B">
        <w:rPr>
          <w:b/>
          <w:bCs/>
          <w:lang w:eastAsia="en-GB"/>
        </w:rPr>
        <w:t>, is the UE required to handle delta signalling (Need M) for those fields?</w:t>
      </w:r>
    </w:p>
    <w:tbl>
      <w:tblPr>
        <w:tblStyle w:val="TableGrid"/>
        <w:tblW w:w="9776" w:type="dxa"/>
        <w:tblLook w:val="04A0" w:firstRow="1" w:lastRow="0" w:firstColumn="1" w:lastColumn="0" w:noHBand="0" w:noVBand="1"/>
      </w:tblPr>
      <w:tblGrid>
        <w:gridCol w:w="1756"/>
        <w:gridCol w:w="8020"/>
      </w:tblGrid>
      <w:tr w:rsidR="009E30FD" w:rsidRPr="008F3140" w14:paraId="6018A0FD" w14:textId="77777777" w:rsidTr="00196517">
        <w:tc>
          <w:tcPr>
            <w:tcW w:w="1756" w:type="dxa"/>
          </w:tcPr>
          <w:p w14:paraId="541AE871" w14:textId="77777777" w:rsidR="009E30FD" w:rsidRPr="008F3140" w:rsidRDefault="009E30FD" w:rsidP="002F7616">
            <w:pPr>
              <w:spacing w:after="0"/>
              <w:jc w:val="both"/>
              <w:rPr>
                <w:b/>
                <w:bCs/>
                <w:noProof/>
                <w:lang w:val="en-GB"/>
              </w:rPr>
            </w:pPr>
            <w:r w:rsidRPr="008F3140">
              <w:rPr>
                <w:b/>
                <w:bCs/>
                <w:noProof/>
                <w:lang w:val="en-GB"/>
              </w:rPr>
              <w:t>Company</w:t>
            </w:r>
          </w:p>
        </w:tc>
        <w:tc>
          <w:tcPr>
            <w:tcW w:w="8020" w:type="dxa"/>
          </w:tcPr>
          <w:p w14:paraId="2754178F" w14:textId="77777777" w:rsidR="009E30FD" w:rsidRPr="008F3140" w:rsidRDefault="009E30FD" w:rsidP="002F7616">
            <w:pPr>
              <w:spacing w:after="0"/>
              <w:jc w:val="both"/>
              <w:rPr>
                <w:b/>
                <w:bCs/>
                <w:noProof/>
                <w:lang w:val="en-GB"/>
              </w:rPr>
            </w:pPr>
            <w:r w:rsidRPr="008F3140">
              <w:rPr>
                <w:b/>
                <w:bCs/>
                <w:noProof/>
                <w:lang w:val="en-GB"/>
              </w:rPr>
              <w:t>Comments</w:t>
            </w:r>
          </w:p>
        </w:tc>
      </w:tr>
      <w:tr w:rsidR="009E30FD" w:rsidRPr="008F3140" w14:paraId="4B2CB4AE" w14:textId="77777777" w:rsidTr="00196517">
        <w:tc>
          <w:tcPr>
            <w:tcW w:w="1756" w:type="dxa"/>
          </w:tcPr>
          <w:p w14:paraId="2BE4F429" w14:textId="633B5045" w:rsidR="009E30FD" w:rsidRPr="008F3140" w:rsidRDefault="009A11EF"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5D3C9233" w14:textId="77777777" w:rsidR="00BA2BFC" w:rsidRDefault="007132DE" w:rsidP="002F7616">
            <w:pPr>
              <w:spacing w:after="0"/>
              <w:jc w:val="both"/>
              <w:rPr>
                <w:noProof/>
                <w:lang w:val="en-GB"/>
              </w:rPr>
            </w:pPr>
            <w:r>
              <w:rPr>
                <w:noProof/>
                <w:lang w:val="en-GB"/>
              </w:rPr>
              <w:t>No</w:t>
            </w:r>
            <w:r w:rsidR="00BA2BFC">
              <w:rPr>
                <w:noProof/>
                <w:lang w:val="en-GB"/>
              </w:rPr>
              <w:t>, the gNB should not be required to omit those fields</w:t>
            </w:r>
            <w:r>
              <w:rPr>
                <w:noProof/>
                <w:lang w:val="en-GB"/>
              </w:rPr>
              <w:t xml:space="preserve">. </w:t>
            </w:r>
          </w:p>
          <w:p w14:paraId="47D29248" w14:textId="2483540F" w:rsidR="009E30FD" w:rsidRDefault="00E6079A" w:rsidP="002F7616">
            <w:pPr>
              <w:spacing w:after="0"/>
              <w:jc w:val="both"/>
              <w:rPr>
                <w:noProof/>
                <w:lang w:val="en-GB"/>
              </w:rPr>
            </w:pPr>
            <w:r>
              <w:rPr>
                <w:noProof/>
                <w:lang w:val="en-GB"/>
              </w:rPr>
              <w:t>The intention has always been that</w:t>
            </w:r>
            <w:r w:rsidR="00613E7E">
              <w:rPr>
                <w:noProof/>
                <w:lang w:val="en-GB"/>
              </w:rPr>
              <w:t xml:space="preserve"> the fields in </w:t>
            </w:r>
            <w:r w:rsidR="00613E7E" w:rsidRPr="00613E7E">
              <w:rPr>
                <w:noProof/>
                <w:lang w:val="en-GB"/>
              </w:rPr>
              <w:t>ServingCellConfigCommon</w:t>
            </w:r>
            <w:r>
              <w:rPr>
                <w:noProof/>
                <w:lang w:val="en-GB"/>
              </w:rPr>
              <w:t xml:space="preserve"> </w:t>
            </w:r>
            <w:r w:rsidR="00613E7E">
              <w:rPr>
                <w:noProof/>
                <w:lang w:val="en-GB"/>
              </w:rPr>
              <w:t xml:space="preserve">are treated </w:t>
            </w:r>
            <w:r w:rsidR="003C1353">
              <w:rPr>
                <w:noProof/>
                <w:lang w:val="en-GB"/>
              </w:rPr>
              <w:t>as if the UE had received them via system information</w:t>
            </w:r>
            <w:r w:rsidR="00613E7E">
              <w:rPr>
                <w:noProof/>
                <w:lang w:val="en-GB"/>
              </w:rPr>
              <w:t xml:space="preserve">. </w:t>
            </w:r>
            <w:r w:rsidR="00CE613A">
              <w:rPr>
                <w:noProof/>
                <w:lang w:val="en-GB"/>
              </w:rPr>
              <w:t>This means that the gNB should provide the same value</w:t>
            </w:r>
            <w:r w:rsidR="00B665E1">
              <w:rPr>
                <w:noProof/>
                <w:lang w:val="en-GB"/>
              </w:rPr>
              <w:t xml:space="preserve"> as in SIB1</w:t>
            </w:r>
            <w:r w:rsidR="00CE613A">
              <w:rPr>
                <w:noProof/>
                <w:lang w:val="en-GB"/>
              </w:rPr>
              <w:t xml:space="preserve"> (otherwise the UE would override the value with the value found in SIB1 of the target cell)</w:t>
            </w:r>
            <w:r w:rsidR="00DB21F6">
              <w:rPr>
                <w:noProof/>
                <w:lang w:val="en-GB"/>
              </w:rPr>
              <w:t xml:space="preserve"> and that the gNB does </w:t>
            </w:r>
            <w:r w:rsidR="00DB21F6" w:rsidRPr="00B665E1">
              <w:rPr>
                <w:noProof/>
                <w:u w:val="single"/>
                <w:lang w:val="en-GB"/>
              </w:rPr>
              <w:t>not</w:t>
            </w:r>
            <w:r w:rsidR="00DB21F6">
              <w:rPr>
                <w:noProof/>
                <w:lang w:val="en-GB"/>
              </w:rPr>
              <w:t xml:space="preserve"> need to validate them against the UE capabilities. </w:t>
            </w:r>
          </w:p>
          <w:p w14:paraId="2A5A2486" w14:textId="77777777" w:rsidR="00DB21F6" w:rsidRDefault="00CF29C3" w:rsidP="002F7616">
            <w:pPr>
              <w:spacing w:after="0"/>
              <w:jc w:val="both"/>
              <w:rPr>
                <w:noProof/>
                <w:lang w:val="en-GB"/>
              </w:rPr>
            </w:pPr>
            <w:r>
              <w:rPr>
                <w:noProof/>
                <w:lang w:val="en-GB"/>
              </w:rPr>
              <w:t xml:space="preserve">For some fields the gNB could in principle </w:t>
            </w:r>
            <w:r w:rsidR="007362B3">
              <w:rPr>
                <w:noProof/>
                <w:lang w:val="en-GB"/>
              </w:rPr>
              <w:t xml:space="preserve">omit the value if the UE does not support the associated feature according to its capabilities. However, for some fields no capability bit exists. Introducing </w:t>
            </w:r>
            <w:r w:rsidR="00CF0032">
              <w:rPr>
                <w:noProof/>
                <w:lang w:val="en-GB"/>
              </w:rPr>
              <w:t xml:space="preserve">a capability bit </w:t>
            </w:r>
            <w:r w:rsidR="007362B3">
              <w:rPr>
                <w:noProof/>
                <w:lang w:val="en-GB"/>
              </w:rPr>
              <w:t xml:space="preserve">later </w:t>
            </w:r>
            <w:r w:rsidR="00E72830">
              <w:rPr>
                <w:noProof/>
                <w:lang w:val="en-GB"/>
              </w:rPr>
              <w:t xml:space="preserve">is not backwards compatible. </w:t>
            </w:r>
          </w:p>
          <w:p w14:paraId="7E58ECF0" w14:textId="77777777" w:rsidR="00A92E78" w:rsidRDefault="00A92E78" w:rsidP="002F7616">
            <w:pPr>
              <w:spacing w:after="0"/>
              <w:jc w:val="both"/>
              <w:rPr>
                <w:noProof/>
                <w:lang w:val="en-GB"/>
              </w:rPr>
            </w:pPr>
          </w:p>
          <w:p w14:paraId="1E060423" w14:textId="398B4E14" w:rsidR="00A92E78" w:rsidRDefault="00A92E78" w:rsidP="002F7616">
            <w:pPr>
              <w:spacing w:after="0"/>
              <w:jc w:val="both"/>
              <w:rPr>
                <w:noProof/>
                <w:lang w:val="en-GB"/>
              </w:rPr>
            </w:pPr>
            <w:r>
              <w:rPr>
                <w:noProof/>
                <w:lang w:val="en-GB"/>
              </w:rPr>
              <w:t xml:space="preserve">We agree to the complication due to </w:t>
            </w:r>
            <w:r w:rsidR="00547A81">
              <w:rPr>
                <w:noProof/>
                <w:lang w:val="en-GB"/>
              </w:rPr>
              <w:t xml:space="preserve">the use of </w:t>
            </w:r>
            <w:r>
              <w:rPr>
                <w:noProof/>
                <w:lang w:val="en-GB"/>
              </w:rPr>
              <w:t>Need M</w:t>
            </w:r>
            <w:r w:rsidR="00547A81">
              <w:rPr>
                <w:noProof/>
                <w:lang w:val="en-GB"/>
              </w:rPr>
              <w:t xml:space="preserve"> in ServingCellConfigCommon and its child IEs. </w:t>
            </w:r>
            <w:r w:rsidR="009F2FFA">
              <w:rPr>
                <w:noProof/>
                <w:lang w:val="en-GB"/>
              </w:rPr>
              <w:t xml:space="preserve">However, in the example with </w:t>
            </w:r>
            <w:proofErr w:type="spellStart"/>
            <w:r w:rsidR="009F2FFA" w:rsidRPr="005516E8">
              <w:rPr>
                <w:i/>
                <w:iCs/>
              </w:rPr>
              <w:t>supplementaryUplinkConfig</w:t>
            </w:r>
            <w:proofErr w:type="spellEnd"/>
            <w:r w:rsidR="009F2FFA">
              <w:t xml:space="preserve"> the UE </w:t>
            </w:r>
            <w:proofErr w:type="spellStart"/>
            <w:r w:rsidR="009F2FFA">
              <w:t>supports</w:t>
            </w:r>
            <w:proofErr w:type="spellEnd"/>
            <w:r w:rsidR="009F2FFA">
              <w:t xml:space="preserve"> the </w:t>
            </w:r>
            <w:proofErr w:type="spellStart"/>
            <w:r w:rsidR="009F2FFA">
              <w:t>feature</w:t>
            </w:r>
            <w:proofErr w:type="spellEnd"/>
            <w:r w:rsidR="009F2FFA">
              <w:t xml:space="preserve"> on </w:t>
            </w:r>
            <w:proofErr w:type="spellStart"/>
            <w:r w:rsidR="009F2FFA">
              <w:t>another</w:t>
            </w:r>
            <w:proofErr w:type="spellEnd"/>
            <w:r w:rsidR="009F2FFA">
              <w:t xml:space="preserve"> band and </w:t>
            </w:r>
            <w:proofErr w:type="spellStart"/>
            <w:r w:rsidR="009F2FFA">
              <w:t>hence</w:t>
            </w:r>
            <w:proofErr w:type="spellEnd"/>
            <w:r w:rsidR="009F2FFA">
              <w:t xml:space="preserve"> </w:t>
            </w:r>
            <w:proofErr w:type="spellStart"/>
            <w:r w:rsidR="009F2FFA">
              <w:t>knows</w:t>
            </w:r>
            <w:proofErr w:type="spellEnd"/>
            <w:r w:rsidR="009F2FFA">
              <w:t xml:space="preserve"> </w:t>
            </w:r>
            <w:proofErr w:type="spellStart"/>
            <w:r w:rsidR="009F2FFA">
              <w:t>how</w:t>
            </w:r>
            <w:proofErr w:type="spellEnd"/>
            <w:r w:rsidR="009F2FFA">
              <w:t xml:space="preserve"> </w:t>
            </w:r>
            <w:proofErr w:type="spellStart"/>
            <w:r w:rsidR="009F2FFA">
              <w:t>to</w:t>
            </w:r>
            <w:proofErr w:type="spellEnd"/>
            <w:r w:rsidR="009F2FFA">
              <w:t xml:space="preserve"> deal </w:t>
            </w:r>
            <w:proofErr w:type="spellStart"/>
            <w:r w:rsidR="009F2FFA">
              <w:t>with</w:t>
            </w:r>
            <w:proofErr w:type="spellEnd"/>
            <w:r w:rsidR="009F2FFA">
              <w:t xml:space="preserve"> th</w:t>
            </w:r>
            <w:r w:rsidR="00BC2BBF">
              <w:t>e</w:t>
            </w:r>
            <w:r w:rsidR="009F2FFA">
              <w:t xml:space="preserve"> </w:t>
            </w:r>
            <w:proofErr w:type="spellStart"/>
            <w:r w:rsidR="009F2FFA">
              <w:t>delta</w:t>
            </w:r>
            <w:proofErr w:type="spellEnd"/>
            <w:r w:rsidR="009F2FFA">
              <w:t xml:space="preserve"> signalling of </w:t>
            </w:r>
            <w:proofErr w:type="spellStart"/>
            <w:r w:rsidR="009F2FFA">
              <w:t>those</w:t>
            </w:r>
            <w:proofErr w:type="spellEnd"/>
            <w:r w:rsidR="009F2FFA">
              <w:t xml:space="preserve"> </w:t>
            </w:r>
            <w:proofErr w:type="spellStart"/>
            <w:r w:rsidR="009F2FFA">
              <w:t>parameters</w:t>
            </w:r>
            <w:proofErr w:type="spellEnd"/>
            <w:r w:rsidR="00BC2BBF">
              <w:t xml:space="preserve">. </w:t>
            </w:r>
          </w:p>
          <w:p w14:paraId="1C825CD5" w14:textId="77777777" w:rsidR="00A60BB0" w:rsidRDefault="00A60BB0" w:rsidP="002F7616">
            <w:pPr>
              <w:spacing w:after="0"/>
              <w:jc w:val="both"/>
              <w:rPr>
                <w:noProof/>
                <w:lang w:val="en-GB"/>
              </w:rPr>
            </w:pPr>
          </w:p>
          <w:p w14:paraId="0977921A" w14:textId="292F7212" w:rsidR="00A60BB0" w:rsidRPr="008F3140" w:rsidRDefault="00A60BB0" w:rsidP="002F7616">
            <w:pPr>
              <w:spacing w:after="0"/>
              <w:jc w:val="both"/>
              <w:rPr>
                <w:noProof/>
                <w:lang w:val="en-GB"/>
              </w:rPr>
            </w:pPr>
            <w:r>
              <w:rPr>
                <w:noProof/>
                <w:lang w:val="en-GB"/>
              </w:rPr>
              <w:t xml:space="preserve">For all future </w:t>
            </w:r>
            <w:r w:rsidR="00E632DA">
              <w:rPr>
                <w:noProof/>
                <w:lang w:val="en-GB"/>
              </w:rPr>
              <w:t>additions to ServingCellConfigCommon (including all child IEs) RAN2 should use “Need R” and “Need N” only.</w:t>
            </w:r>
          </w:p>
        </w:tc>
      </w:tr>
      <w:tr w:rsidR="009E30FD" w:rsidRPr="008F3140" w14:paraId="137F0A45" w14:textId="77777777" w:rsidTr="00196517">
        <w:tc>
          <w:tcPr>
            <w:tcW w:w="1756" w:type="dxa"/>
          </w:tcPr>
          <w:p w14:paraId="0D1C4AC2" w14:textId="790E85A3" w:rsidR="009E30FD" w:rsidRPr="003E5565" w:rsidRDefault="003E5565"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2C8C631" w14:textId="1A36E611" w:rsidR="003E5565" w:rsidRDefault="003E5565" w:rsidP="002F7616">
            <w:pPr>
              <w:spacing w:after="0"/>
              <w:jc w:val="both"/>
              <w:rPr>
                <w:rFonts w:eastAsia="Yu Mincho"/>
                <w:noProof/>
                <w:lang w:val="en-US"/>
              </w:rPr>
            </w:pPr>
            <w:r w:rsidRPr="00CA1557">
              <w:rPr>
                <w:rFonts w:eastAsia="Yu Mincho"/>
                <w:noProof/>
                <w:lang w:val="en-US"/>
              </w:rPr>
              <w:t>From the UE behaviour point of view, the current specification is not 100% clear.</w:t>
            </w:r>
          </w:p>
          <w:p w14:paraId="4724CD5A" w14:textId="77777777" w:rsidR="00CA1557" w:rsidRPr="00CA1557" w:rsidRDefault="00CA1557" w:rsidP="002F7616">
            <w:pPr>
              <w:spacing w:after="0"/>
              <w:jc w:val="both"/>
              <w:rPr>
                <w:rFonts w:eastAsia="Yu Mincho"/>
                <w:noProof/>
                <w:lang w:val="en-US"/>
              </w:rPr>
            </w:pPr>
          </w:p>
          <w:p w14:paraId="51B9CEA8" w14:textId="516053AD" w:rsidR="00CA1557" w:rsidRPr="00CA1557" w:rsidRDefault="00CA1557" w:rsidP="003E5565">
            <w:pPr>
              <w:pStyle w:val="Heading5"/>
              <w:ind w:left="0" w:firstLine="0"/>
              <w:outlineLvl w:val="4"/>
              <w:rPr>
                <w:rFonts w:eastAsia="SimSun"/>
                <w:u w:val="single"/>
                <w:lang w:val="en-US" w:eastAsia="zh-CN"/>
              </w:rPr>
            </w:pPr>
            <w:bookmarkStart w:id="6" w:name="_Toc60776783"/>
            <w:bookmarkStart w:id="7" w:name="_Toc76423069"/>
            <w:proofErr w:type="spellStart"/>
            <w:r w:rsidRPr="00CA1557">
              <w:rPr>
                <w:u w:val="single"/>
                <w:lang w:val="en-US" w:eastAsia="zh-CN"/>
              </w:rPr>
              <w:lastRenderedPageBreak/>
              <w:t>ServingCellConfigCommon</w:t>
            </w:r>
            <w:proofErr w:type="spellEnd"/>
          </w:p>
          <w:p w14:paraId="7BE063B8" w14:textId="7C43B537" w:rsidR="00D1605B" w:rsidRPr="00D1605B" w:rsidRDefault="00D1605B" w:rsidP="003E5565">
            <w:pPr>
              <w:pStyle w:val="Heading5"/>
              <w:ind w:left="0" w:firstLine="0"/>
              <w:outlineLvl w:val="4"/>
              <w:rPr>
                <w:rFonts w:eastAsia="Yu Mincho"/>
                <w:lang w:val="en-US"/>
              </w:rPr>
            </w:pPr>
            <w:r>
              <w:rPr>
                <w:rFonts w:eastAsia="Yu Mincho" w:hint="eastAsia"/>
                <w:lang w:val="en-US"/>
              </w:rPr>
              <w:t>I</w:t>
            </w:r>
            <w:r>
              <w:rPr>
                <w:rFonts w:eastAsia="Yu Mincho"/>
                <w:lang w:val="en-US"/>
              </w:rPr>
              <w:t>ssue 1)</w:t>
            </w:r>
          </w:p>
          <w:p w14:paraId="05447867" w14:textId="78F576ED" w:rsidR="003E5565" w:rsidRDefault="003E5565" w:rsidP="00D1605B">
            <w:pPr>
              <w:pStyle w:val="Heading5"/>
              <w:spacing w:before="0"/>
              <w:ind w:left="0" w:firstLine="0"/>
              <w:outlineLvl w:val="4"/>
              <w:rPr>
                <w:lang w:val="en-US" w:eastAsia="zh-CN"/>
              </w:rPr>
            </w:pPr>
            <w:r w:rsidRPr="00CA1557">
              <w:rPr>
                <w:rFonts w:eastAsia="SimSun"/>
                <w:lang w:val="en-US" w:eastAsia="zh-CN"/>
              </w:rPr>
              <w:t xml:space="preserve">Section 5.3.5.8.2 (Inability to comply with </w:t>
            </w:r>
            <w:r w:rsidRPr="00CA1557">
              <w:rPr>
                <w:rFonts w:eastAsia="SimSun"/>
                <w:i/>
                <w:lang w:val="en-US" w:eastAsia="zh-CN"/>
              </w:rPr>
              <w:t>RRCReconfiguration</w:t>
            </w:r>
            <w:bookmarkEnd w:id="6"/>
            <w:bookmarkEnd w:id="7"/>
            <w:r w:rsidRPr="00CA1557">
              <w:rPr>
                <w:rFonts w:eastAsia="SimSun"/>
                <w:iCs/>
                <w:lang w:val="en-US" w:eastAsia="zh-CN"/>
              </w:rPr>
              <w:t>) of 38.331 states that the UE</w:t>
            </w:r>
            <w:r w:rsidR="00CA1557" w:rsidRPr="00CA1557">
              <w:rPr>
                <w:rFonts w:eastAsia="SimSun"/>
                <w:iCs/>
                <w:lang w:val="en-US" w:eastAsia="zh-CN"/>
              </w:rPr>
              <w:t xml:space="preserve"> shall </w:t>
            </w:r>
            <w:r w:rsidR="00CA1557" w:rsidRPr="00CA1557">
              <w:rPr>
                <w:lang w:val="en-US" w:eastAsia="zh-CN"/>
              </w:rPr>
              <w:t xml:space="preserve">initiate the connection re-establishment procedure </w:t>
            </w:r>
            <w:r w:rsidR="00CA1557">
              <w:rPr>
                <w:lang w:val="en-US" w:eastAsia="zh-CN"/>
              </w:rPr>
              <w:t>“</w:t>
            </w:r>
            <w:r w:rsidR="00CA1557" w:rsidRPr="00CA1557">
              <w:rPr>
                <w:lang w:val="en-US" w:eastAsia="zh-CN"/>
              </w:rPr>
              <w:t xml:space="preserve">if the UE is unable to comply with (part of) the configuration included in the </w:t>
            </w:r>
            <w:r w:rsidR="00CA1557" w:rsidRPr="00CA1557">
              <w:rPr>
                <w:i/>
                <w:lang w:val="en-US"/>
              </w:rPr>
              <w:t>RRCReconfiguration</w:t>
            </w:r>
            <w:r w:rsidR="00CA1557" w:rsidRPr="00CA1557">
              <w:rPr>
                <w:lang w:val="en-US" w:eastAsia="zh-CN"/>
              </w:rPr>
              <w:t xml:space="preserve"> message</w:t>
            </w:r>
            <w:r w:rsidR="00CA1557">
              <w:rPr>
                <w:lang w:val="en-US" w:eastAsia="zh-CN"/>
              </w:rPr>
              <w:t xml:space="preserve">”. The specification text does not distinguish the handling between </w:t>
            </w:r>
            <w:proofErr w:type="spellStart"/>
            <w:r w:rsidR="00CA1557" w:rsidRPr="00D1605B">
              <w:rPr>
                <w:i/>
                <w:iCs/>
                <w:lang w:val="en-US" w:eastAsia="zh-CN"/>
              </w:rPr>
              <w:t>ServingCellConfigCommon</w:t>
            </w:r>
            <w:proofErr w:type="spellEnd"/>
            <w:r w:rsidR="00CA1557">
              <w:rPr>
                <w:lang w:val="en-US" w:eastAsia="zh-CN"/>
              </w:rPr>
              <w:t xml:space="preserve"> and </w:t>
            </w:r>
            <w:r w:rsidR="00CA1557" w:rsidRPr="00D1605B">
              <w:rPr>
                <w:i/>
                <w:iCs/>
                <w:lang w:val="en-US" w:eastAsia="zh-CN"/>
              </w:rPr>
              <w:t>ServingCellConfig</w:t>
            </w:r>
            <w:r w:rsidR="00CA1557">
              <w:rPr>
                <w:lang w:val="en-US" w:eastAsia="zh-CN"/>
              </w:rPr>
              <w:t>.</w:t>
            </w:r>
          </w:p>
          <w:p w14:paraId="32B5A370" w14:textId="438E6E35" w:rsidR="00D1605B" w:rsidRPr="00D1605B" w:rsidRDefault="00D1605B" w:rsidP="00D1605B">
            <w:pPr>
              <w:rPr>
                <w:rFonts w:eastAsia="Yu Mincho"/>
                <w:lang w:val="en-US"/>
              </w:rPr>
            </w:pPr>
            <w:r>
              <w:rPr>
                <w:rFonts w:eastAsia="Yu Mincho" w:hint="eastAsia"/>
                <w:lang w:val="en-US"/>
              </w:rPr>
              <w:t>I</w:t>
            </w:r>
            <w:r>
              <w:rPr>
                <w:rFonts w:eastAsia="Yu Mincho"/>
                <w:lang w:val="en-US"/>
              </w:rPr>
              <w:t>ssue 2)</w:t>
            </w:r>
          </w:p>
          <w:p w14:paraId="01A40BDB" w14:textId="244164BC" w:rsidR="00CA1557" w:rsidRDefault="00CA1557" w:rsidP="00D1605B">
            <w:pPr>
              <w:rPr>
                <w:rFonts w:eastAsia="Yu Mincho"/>
                <w:lang w:val="en-US"/>
              </w:rPr>
            </w:pPr>
            <w:r>
              <w:rPr>
                <w:rFonts w:eastAsia="Yu Mincho" w:hint="eastAsia"/>
                <w:lang w:val="en-US"/>
              </w:rPr>
              <w:t>E</w:t>
            </w:r>
            <w:r>
              <w:rPr>
                <w:rFonts w:eastAsia="Yu Mincho"/>
                <w:lang w:val="en-US"/>
              </w:rPr>
              <w:t>ven if the UE disregards the configuration that it does not support, it is not clear in the current specification whether the UE;</w:t>
            </w:r>
          </w:p>
          <w:p w14:paraId="76977129" w14:textId="1F20B65A" w:rsidR="00CA1557" w:rsidRPr="00CA1557" w:rsidRDefault="00CA1557" w:rsidP="00CA1557">
            <w:pPr>
              <w:pStyle w:val="ListParagraph"/>
              <w:numPr>
                <w:ilvl w:val="0"/>
                <w:numId w:val="47"/>
              </w:numPr>
              <w:rPr>
                <w:rFonts w:ascii="Arial" w:eastAsia="Yu Mincho" w:hAnsi="Arial" w:cs="Arial"/>
                <w:lang w:val="en-US"/>
              </w:rPr>
            </w:pPr>
            <w:r w:rsidRPr="00CA1557">
              <w:rPr>
                <w:rFonts w:ascii="Arial" w:eastAsia="Yu Mincho" w:hAnsi="Arial" w:cs="Arial"/>
                <w:lang w:val="en-US" w:eastAsia="ja-JP"/>
              </w:rPr>
              <w:t>Ignores the configuration, but stores the configuration (for further delta configuration), or</w:t>
            </w:r>
          </w:p>
          <w:p w14:paraId="249D6A17" w14:textId="348355D4" w:rsidR="00CA1557" w:rsidRPr="00D1605B" w:rsidRDefault="00CA1557" w:rsidP="00D1605B">
            <w:pPr>
              <w:pStyle w:val="ListParagraph"/>
              <w:numPr>
                <w:ilvl w:val="0"/>
                <w:numId w:val="47"/>
              </w:numPr>
              <w:spacing w:afterLines="100" w:after="240"/>
              <w:ind w:left="357" w:hanging="357"/>
              <w:rPr>
                <w:rFonts w:ascii="Arial" w:eastAsia="Yu Mincho" w:hAnsi="Arial" w:cs="Arial"/>
                <w:lang w:val="en-US"/>
              </w:rPr>
            </w:pPr>
            <w:r w:rsidRPr="00CA1557">
              <w:rPr>
                <w:rFonts w:ascii="Arial" w:eastAsia="Yu Mincho" w:hAnsi="Arial" w:cs="Arial"/>
                <w:lang w:val="en-US" w:eastAsia="ja-JP"/>
              </w:rPr>
              <w:t>Ignores and discards the configuration</w:t>
            </w:r>
            <w:r>
              <w:rPr>
                <w:rFonts w:ascii="Arial" w:eastAsia="Yu Mincho" w:hAnsi="Arial" w:cs="Arial"/>
                <w:lang w:val="en-US" w:eastAsia="ja-JP"/>
              </w:rPr>
              <w:t>.</w:t>
            </w:r>
          </w:p>
          <w:p w14:paraId="54E80866" w14:textId="5B9EDC94" w:rsidR="00D1605B" w:rsidRPr="00D1605B" w:rsidRDefault="00D1605B" w:rsidP="00CA1557">
            <w:pPr>
              <w:rPr>
                <w:rFonts w:eastAsia="Yu Mincho"/>
                <w:lang w:val="en-US"/>
              </w:rPr>
            </w:pPr>
            <w:r>
              <w:rPr>
                <w:rFonts w:eastAsia="Yu Mincho" w:hint="eastAsia"/>
                <w:lang w:val="en-US"/>
              </w:rPr>
              <w:t>I</w:t>
            </w:r>
            <w:r>
              <w:rPr>
                <w:rFonts w:eastAsia="Yu Mincho"/>
                <w:lang w:val="en-US"/>
              </w:rPr>
              <w:t>ssue 3)</w:t>
            </w:r>
          </w:p>
          <w:p w14:paraId="7167B156" w14:textId="081E9F47" w:rsidR="00196517" w:rsidRPr="00196517" w:rsidRDefault="00196517" w:rsidP="00CA1557">
            <w:pPr>
              <w:rPr>
                <w:rFonts w:eastAsia="Yu Mincho"/>
                <w:iCs/>
                <w:lang w:val="en-US"/>
              </w:rPr>
            </w:pPr>
            <w:r>
              <w:rPr>
                <w:rFonts w:eastAsia="Yu Mincho" w:hint="eastAsia"/>
                <w:lang w:val="en-US"/>
              </w:rPr>
              <w:t>Y</w:t>
            </w:r>
            <w:r>
              <w:rPr>
                <w:rFonts w:eastAsia="Yu Mincho"/>
                <w:lang w:val="en-US"/>
              </w:rPr>
              <w:t xml:space="preserve">et another issue is compatibility of configurations in </w:t>
            </w:r>
            <w:r w:rsidRPr="00CA1557">
              <w:rPr>
                <w:rFonts w:eastAsia="SimSun"/>
                <w:i/>
                <w:lang w:val="en-US" w:eastAsia="zh-CN"/>
              </w:rPr>
              <w:t>RRCReconfiguration</w:t>
            </w:r>
            <w:r>
              <w:rPr>
                <w:rFonts w:eastAsia="SimSun"/>
                <w:iCs/>
                <w:lang w:val="en-US" w:eastAsia="zh-CN"/>
              </w:rPr>
              <w:t xml:space="preserve">. Taking SUL configuration again, when the network does not intend to configure SUL and does not omit SUL configuration in </w:t>
            </w:r>
            <w:proofErr w:type="spellStart"/>
            <w:r w:rsidRPr="00D1605B">
              <w:rPr>
                <w:i/>
                <w:iCs/>
                <w:lang w:val="en-US" w:eastAsia="zh-CN"/>
              </w:rPr>
              <w:t>ServingCellConfigCommon</w:t>
            </w:r>
            <w:proofErr w:type="spellEnd"/>
            <w:r>
              <w:rPr>
                <w:lang w:val="en-US" w:eastAsia="zh-CN"/>
              </w:rPr>
              <w:t>,</w:t>
            </w:r>
            <w:r>
              <w:rPr>
                <w:rFonts w:eastAsia="SimSun"/>
                <w:iCs/>
                <w:lang w:val="en-US" w:eastAsia="zh-CN"/>
              </w:rPr>
              <w:t xml:space="preserve"> the overall configuration indicates that SUL is configured in </w:t>
            </w:r>
            <w:proofErr w:type="spellStart"/>
            <w:r w:rsidRPr="00D1605B">
              <w:rPr>
                <w:i/>
                <w:iCs/>
                <w:lang w:val="en-US" w:eastAsia="zh-CN"/>
              </w:rPr>
              <w:t>ServingCellConfigCommon</w:t>
            </w:r>
            <w:proofErr w:type="spellEnd"/>
            <w:r>
              <w:rPr>
                <w:lang w:val="en-US" w:eastAsia="zh-CN"/>
              </w:rPr>
              <w:t xml:space="preserve">, but not in </w:t>
            </w:r>
            <w:r w:rsidRPr="00D1605B">
              <w:rPr>
                <w:i/>
                <w:iCs/>
                <w:lang w:val="en-US" w:eastAsia="zh-CN"/>
              </w:rPr>
              <w:t>ServingCellConfig</w:t>
            </w:r>
            <w:r>
              <w:rPr>
                <w:lang w:val="en-US" w:eastAsia="zh-CN"/>
              </w:rPr>
              <w:t>. This means that even if the UE supports SUL, the UE shall be able to gracefully ignore the common configuration and consider that SUL is not configured by the</w:t>
            </w:r>
            <w:r w:rsidRPr="00CA1557">
              <w:rPr>
                <w:rFonts w:eastAsia="SimSun"/>
                <w:i/>
                <w:lang w:val="en-US" w:eastAsia="zh-CN"/>
              </w:rPr>
              <w:t xml:space="preserve"> RRCReconfiguration</w:t>
            </w:r>
            <w:r>
              <w:rPr>
                <w:rFonts w:eastAsia="SimSun"/>
                <w:iCs/>
                <w:lang w:val="en-US" w:eastAsia="zh-CN"/>
              </w:rPr>
              <w:t xml:space="preserve"> message</w:t>
            </w:r>
            <w:r>
              <w:rPr>
                <w:iCs/>
                <w:lang w:val="en-US" w:eastAsia="zh-CN"/>
              </w:rPr>
              <w:t>, which again is not clear in the current specification.</w:t>
            </w:r>
          </w:p>
          <w:p w14:paraId="7259D6A4" w14:textId="77777777" w:rsidR="00196517" w:rsidRPr="00196517" w:rsidRDefault="00196517" w:rsidP="00CA1557">
            <w:pPr>
              <w:rPr>
                <w:rFonts w:eastAsia="Yu Mincho"/>
                <w:lang w:val="en-US"/>
              </w:rPr>
            </w:pPr>
          </w:p>
          <w:p w14:paraId="18659922" w14:textId="19B93A7E" w:rsidR="00CA1557" w:rsidRPr="00CA1557" w:rsidRDefault="00CA1557" w:rsidP="00CA1557">
            <w:pPr>
              <w:rPr>
                <w:rFonts w:eastAsiaTheme="minorEastAsia"/>
                <w:u w:val="single"/>
                <w:lang w:val="en-US" w:eastAsia="zh-CN"/>
              </w:rPr>
            </w:pPr>
            <w:r w:rsidRPr="00CA1557">
              <w:rPr>
                <w:rFonts w:eastAsia="Yu Mincho"/>
                <w:noProof/>
                <w:u w:val="single"/>
                <w:lang w:val="en-US"/>
              </w:rPr>
              <w:t>dedicatedSIB1-Delivery</w:t>
            </w:r>
          </w:p>
          <w:p w14:paraId="07ECA373" w14:textId="6A0E6CC9" w:rsidR="009E30FD" w:rsidRDefault="00CA1557" w:rsidP="002F7616">
            <w:pPr>
              <w:spacing w:after="0"/>
              <w:jc w:val="both"/>
              <w:rPr>
                <w:rFonts w:eastAsia="Yu Mincho"/>
                <w:noProof/>
                <w:lang w:val="en-US"/>
              </w:rPr>
            </w:pPr>
            <w:r>
              <w:rPr>
                <w:rFonts w:eastAsia="Yu Mincho" w:hint="eastAsia"/>
                <w:noProof/>
                <w:lang w:val="en-US"/>
              </w:rPr>
              <w:t>F</w:t>
            </w:r>
            <w:r>
              <w:rPr>
                <w:rFonts w:eastAsia="Yu Mincho"/>
                <w:noProof/>
                <w:lang w:val="en-US"/>
              </w:rPr>
              <w:t>or “</w:t>
            </w:r>
            <w:r w:rsidRPr="00CA1557">
              <w:rPr>
                <w:rFonts w:eastAsia="Yu Mincho"/>
                <w:noProof/>
                <w:lang w:val="en-US"/>
              </w:rPr>
              <w:t>dedicatedSIB1-Delivery”</w:t>
            </w:r>
            <w:r>
              <w:rPr>
                <w:rFonts w:eastAsia="Yu Mincho"/>
                <w:noProof/>
                <w:lang w:val="en-US"/>
              </w:rPr>
              <w:t>, we think it is sufficiently clear from the IE name and procedural text that the UE treat it as reception of SIB1 as follows.</w:t>
            </w:r>
          </w:p>
          <w:p w14:paraId="1C4736BD" w14:textId="77777777" w:rsidR="00CA1557" w:rsidRPr="006F115B" w:rsidRDefault="00CA1557" w:rsidP="00CA1557">
            <w:pPr>
              <w:pStyle w:val="B1"/>
            </w:pPr>
            <w:r w:rsidRPr="006F115B">
              <w:t>1&gt;</w:t>
            </w:r>
            <w:r w:rsidRPr="006F115B">
              <w:tab/>
            </w:r>
            <w:proofErr w:type="spellStart"/>
            <w:r w:rsidRPr="006F115B">
              <w:t>if</w:t>
            </w:r>
            <w:proofErr w:type="spellEnd"/>
            <w:r w:rsidRPr="006F115B">
              <w:t xml:space="preserve"> the </w:t>
            </w:r>
            <w:r w:rsidRPr="006F115B">
              <w:rPr>
                <w:i/>
              </w:rPr>
              <w:t>RRCReconfiguration</w:t>
            </w:r>
            <w:r w:rsidRPr="006F115B">
              <w:t xml:space="preserve"> message </w:t>
            </w:r>
            <w:proofErr w:type="spellStart"/>
            <w:r w:rsidRPr="006F115B">
              <w:t>includes</w:t>
            </w:r>
            <w:proofErr w:type="spellEnd"/>
            <w:r w:rsidRPr="006F115B">
              <w:t xml:space="preserve"> the </w:t>
            </w:r>
            <w:r w:rsidRPr="006F115B">
              <w:rPr>
                <w:i/>
              </w:rPr>
              <w:t>dedicatedSIB1-Delivery</w:t>
            </w:r>
            <w:r w:rsidRPr="006F115B">
              <w:t>:</w:t>
            </w:r>
          </w:p>
          <w:p w14:paraId="5BB0F62F" w14:textId="77777777" w:rsidR="00CA1557" w:rsidRDefault="00CA1557" w:rsidP="00CA1557">
            <w:pPr>
              <w:pStyle w:val="B2"/>
            </w:pPr>
            <w:r w:rsidRPr="006F115B">
              <w:t>2&gt;</w:t>
            </w:r>
            <w:r w:rsidRPr="006F115B">
              <w:tab/>
            </w:r>
            <w:proofErr w:type="spellStart"/>
            <w:r w:rsidRPr="006F115B">
              <w:t>perform</w:t>
            </w:r>
            <w:proofErr w:type="spellEnd"/>
            <w:r w:rsidRPr="006F115B">
              <w:t xml:space="preserve"> the </w:t>
            </w:r>
            <w:proofErr w:type="spellStart"/>
            <w:r w:rsidRPr="006F115B">
              <w:t>action</w:t>
            </w:r>
            <w:proofErr w:type="spellEnd"/>
            <w:r w:rsidRPr="006F115B">
              <w:t xml:space="preserve"> upon </w:t>
            </w:r>
            <w:proofErr w:type="spellStart"/>
            <w:r w:rsidRPr="006F115B">
              <w:t>reception</w:t>
            </w:r>
            <w:proofErr w:type="spellEnd"/>
            <w:r w:rsidRPr="006F115B">
              <w:t xml:space="preserve"> of </w:t>
            </w:r>
            <w:r w:rsidRPr="006F115B">
              <w:rPr>
                <w:i/>
              </w:rPr>
              <w:t>SIB1</w:t>
            </w:r>
            <w:r w:rsidRPr="006F115B">
              <w:t xml:space="preserve"> </w:t>
            </w:r>
            <w:proofErr w:type="spellStart"/>
            <w:r w:rsidRPr="006F115B">
              <w:t>as</w:t>
            </w:r>
            <w:proofErr w:type="spellEnd"/>
            <w:r w:rsidRPr="006F115B">
              <w:t xml:space="preserve"> </w:t>
            </w:r>
            <w:proofErr w:type="spellStart"/>
            <w:r w:rsidRPr="006F115B">
              <w:t>specified</w:t>
            </w:r>
            <w:proofErr w:type="spellEnd"/>
            <w:r w:rsidRPr="006F115B">
              <w:t xml:space="preserve"> in 5.2.2.4.2;</w:t>
            </w:r>
          </w:p>
          <w:p w14:paraId="116CBC43" w14:textId="34EB8295" w:rsidR="00CA1557" w:rsidRPr="00CA1557" w:rsidRDefault="00CA1557" w:rsidP="00CA1557">
            <w:pPr>
              <w:pStyle w:val="B2"/>
              <w:ind w:left="0" w:firstLine="0"/>
              <w:rPr>
                <w:rFonts w:ascii="Arial" w:eastAsia="Yu Mincho" w:hAnsi="Arial" w:cs="Arial"/>
              </w:rPr>
            </w:pPr>
            <w:r w:rsidRPr="00CA1557">
              <w:rPr>
                <w:rFonts w:ascii="Arial" w:eastAsia="Yu Mincho" w:hAnsi="Arial" w:cs="Arial"/>
              </w:rPr>
              <w:t xml:space="preserve">So </w:t>
            </w:r>
            <w:proofErr w:type="spellStart"/>
            <w:r w:rsidRPr="00CA1557">
              <w:rPr>
                <w:rFonts w:ascii="Arial" w:eastAsia="Yu Mincho" w:hAnsi="Arial" w:cs="Arial"/>
              </w:rPr>
              <w:t>we</w:t>
            </w:r>
            <w:proofErr w:type="spellEnd"/>
            <w:r w:rsidRPr="00CA1557">
              <w:rPr>
                <w:rFonts w:ascii="Arial" w:eastAsia="Yu Mincho" w:hAnsi="Arial" w:cs="Arial"/>
              </w:rPr>
              <w:t xml:space="preserve"> do not </w:t>
            </w:r>
            <w:proofErr w:type="spellStart"/>
            <w:r w:rsidRPr="00CA1557">
              <w:rPr>
                <w:rFonts w:ascii="Arial" w:eastAsia="Yu Mincho" w:hAnsi="Arial" w:cs="Arial"/>
              </w:rPr>
              <w:t>think</w:t>
            </w:r>
            <w:proofErr w:type="spellEnd"/>
            <w:r w:rsidRPr="00CA1557">
              <w:rPr>
                <w:rFonts w:ascii="Arial" w:eastAsia="Yu Mincho" w:hAnsi="Arial" w:cs="Arial"/>
              </w:rPr>
              <w:t xml:space="preserve"> </w:t>
            </w:r>
            <w:proofErr w:type="spellStart"/>
            <w:r w:rsidRPr="00CA1557">
              <w:rPr>
                <w:rFonts w:ascii="Arial" w:eastAsia="Yu Mincho" w:hAnsi="Arial" w:cs="Arial"/>
              </w:rPr>
              <w:t>that</w:t>
            </w:r>
            <w:proofErr w:type="spellEnd"/>
            <w:r w:rsidRPr="00CA1557">
              <w:rPr>
                <w:rFonts w:ascii="Arial" w:eastAsia="Yu Mincho" w:hAnsi="Arial" w:cs="Arial"/>
              </w:rPr>
              <w:t xml:space="preserve"> gNB </w:t>
            </w:r>
            <w:proofErr w:type="spellStart"/>
            <w:r w:rsidRPr="00CA1557">
              <w:rPr>
                <w:rFonts w:ascii="Arial" w:eastAsia="Yu Mincho" w:hAnsi="Arial" w:cs="Arial"/>
              </w:rPr>
              <w:t>needs</w:t>
            </w:r>
            <w:proofErr w:type="spellEnd"/>
            <w:r w:rsidRPr="00CA1557">
              <w:rPr>
                <w:rFonts w:ascii="Arial" w:eastAsia="Yu Mincho" w:hAnsi="Arial" w:cs="Arial"/>
              </w:rPr>
              <w:t xml:space="preserve"> </w:t>
            </w:r>
            <w:proofErr w:type="spellStart"/>
            <w:r w:rsidRPr="00CA1557">
              <w:rPr>
                <w:rFonts w:ascii="Arial" w:eastAsia="Yu Mincho" w:hAnsi="Arial" w:cs="Arial"/>
              </w:rPr>
              <w:t>to</w:t>
            </w:r>
            <w:proofErr w:type="spellEnd"/>
            <w:r w:rsidRPr="00CA1557">
              <w:rPr>
                <w:rFonts w:ascii="Arial" w:eastAsia="Yu Mincho" w:hAnsi="Arial" w:cs="Arial"/>
              </w:rPr>
              <w:t xml:space="preserve"> </w:t>
            </w:r>
            <w:proofErr w:type="spellStart"/>
            <w:r w:rsidRPr="00CA1557">
              <w:rPr>
                <w:rFonts w:ascii="Arial" w:eastAsia="Yu Mincho" w:hAnsi="Arial" w:cs="Arial"/>
              </w:rPr>
              <w:t>omit</w:t>
            </w:r>
            <w:proofErr w:type="spellEnd"/>
            <w:r w:rsidRPr="00CA1557">
              <w:rPr>
                <w:rFonts w:ascii="Arial" w:eastAsia="Yu Mincho" w:hAnsi="Arial" w:cs="Arial"/>
              </w:rPr>
              <w:t xml:space="preserve"> IEs/Fields </w:t>
            </w:r>
            <w:proofErr w:type="spellStart"/>
            <w:r w:rsidRPr="00CA1557">
              <w:rPr>
                <w:rFonts w:ascii="Arial" w:eastAsia="Yu Mincho" w:hAnsi="Arial" w:cs="Arial"/>
              </w:rPr>
              <w:t>according</w:t>
            </w:r>
            <w:proofErr w:type="spellEnd"/>
            <w:r w:rsidRPr="00CA1557">
              <w:rPr>
                <w:rFonts w:ascii="Arial" w:eastAsia="Yu Mincho" w:hAnsi="Arial" w:cs="Arial"/>
              </w:rPr>
              <w:t xml:space="preserve"> </w:t>
            </w:r>
            <w:proofErr w:type="spellStart"/>
            <w:r w:rsidRPr="00CA1557">
              <w:rPr>
                <w:rFonts w:ascii="Arial" w:eastAsia="Yu Mincho" w:hAnsi="Arial" w:cs="Arial"/>
              </w:rPr>
              <w:t>to</w:t>
            </w:r>
            <w:proofErr w:type="spellEnd"/>
            <w:r w:rsidRPr="00CA1557">
              <w:rPr>
                <w:rFonts w:ascii="Arial" w:eastAsia="Yu Mincho" w:hAnsi="Arial" w:cs="Arial"/>
              </w:rPr>
              <w:t xml:space="preserve"> the UE capability.</w:t>
            </w:r>
          </w:p>
        </w:tc>
      </w:tr>
      <w:tr w:rsidR="009E30FD" w:rsidRPr="008F3140" w14:paraId="6E6095E5" w14:textId="77777777" w:rsidTr="00196517">
        <w:tc>
          <w:tcPr>
            <w:tcW w:w="1756" w:type="dxa"/>
          </w:tcPr>
          <w:p w14:paraId="0BB9A7D3" w14:textId="40662025" w:rsidR="009E30FD" w:rsidRPr="008F3140" w:rsidRDefault="00657C47" w:rsidP="002F7616">
            <w:pPr>
              <w:spacing w:after="0"/>
              <w:jc w:val="both"/>
              <w:rPr>
                <w:rFonts w:eastAsiaTheme="minorEastAsia"/>
                <w:noProof/>
                <w:lang w:val="en-GB" w:eastAsia="zh-CN"/>
              </w:rPr>
            </w:pPr>
            <w:r>
              <w:rPr>
                <w:rFonts w:eastAsiaTheme="minorEastAsia"/>
                <w:noProof/>
                <w:lang w:val="en-GB" w:eastAsia="zh-CN"/>
              </w:rPr>
              <w:lastRenderedPageBreak/>
              <w:t>MediaTek</w:t>
            </w:r>
          </w:p>
        </w:tc>
        <w:tc>
          <w:tcPr>
            <w:tcW w:w="8020" w:type="dxa"/>
          </w:tcPr>
          <w:p w14:paraId="670B4852" w14:textId="7A9CC6EE" w:rsidR="009E30FD" w:rsidRPr="00657C47" w:rsidRDefault="00657C47" w:rsidP="002F7616">
            <w:pPr>
              <w:spacing w:after="0"/>
              <w:jc w:val="both"/>
              <w:rPr>
                <w:noProof/>
                <w:u w:val="single"/>
                <w:lang w:val="en-GB"/>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w:t>
            </w:r>
          </w:p>
          <w:p w14:paraId="36E26567" w14:textId="2057A9FB" w:rsidR="00657C47" w:rsidRDefault="00657C47" w:rsidP="002F7616">
            <w:pPr>
              <w:spacing w:after="0"/>
              <w:jc w:val="both"/>
              <w:rPr>
                <w:noProof/>
                <w:lang w:val="en-GB"/>
              </w:rPr>
            </w:pPr>
            <w:r>
              <w:rPr>
                <w:noProof/>
                <w:lang w:val="en-GB"/>
              </w:rPr>
              <w:t xml:space="preserve">We believe that the common understanidng is that </w:t>
            </w:r>
            <w:r w:rsidRPr="00657C47">
              <w:rPr>
                <w:i/>
                <w:noProof/>
                <w:lang w:val="en-GB"/>
              </w:rPr>
              <w:t>dedicatedSIB1-Delivery</w:t>
            </w:r>
            <w:r>
              <w:rPr>
                <w:noProof/>
                <w:lang w:val="en-GB"/>
              </w:rPr>
              <w:t xml:space="preserve"> contains the same value as SIB1 broadcasted in common channel.</w:t>
            </w:r>
          </w:p>
          <w:p w14:paraId="265904AD" w14:textId="77777777" w:rsidR="00657C47" w:rsidRDefault="00657C47" w:rsidP="002F7616">
            <w:pPr>
              <w:spacing w:after="0"/>
              <w:jc w:val="both"/>
              <w:rPr>
                <w:noProof/>
                <w:lang w:val="en-GB"/>
              </w:rPr>
            </w:pPr>
          </w:p>
          <w:p w14:paraId="446BB9B4" w14:textId="77777777" w:rsidR="00657C47" w:rsidRPr="00657C47" w:rsidRDefault="00657C47" w:rsidP="002F7616">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 but....</w:t>
            </w:r>
          </w:p>
          <w:p w14:paraId="26FD68A5" w14:textId="0E499188" w:rsidR="00657C47" w:rsidRDefault="00657C47" w:rsidP="002F7616">
            <w:pPr>
              <w:spacing w:after="0"/>
              <w:jc w:val="both"/>
              <w:rPr>
                <w:noProof/>
                <w:lang w:val="en-GB"/>
              </w:rPr>
            </w:pPr>
            <w:r>
              <w:rPr>
                <w:noProof/>
                <w:lang w:val="en-GB"/>
              </w:rPr>
              <w:t xml:space="preserve">The UE could ignore the unsupported </w:t>
            </w:r>
            <w:r w:rsidR="00961281">
              <w:rPr>
                <w:noProof/>
                <w:lang w:val="en-GB"/>
              </w:rPr>
              <w:t>field in common configuration (</w:t>
            </w:r>
            <w:r w:rsidR="00B277A2">
              <w:rPr>
                <w:noProof/>
                <w:lang w:val="en-GB"/>
              </w:rPr>
              <w:t>as ignoring</w:t>
            </w:r>
            <w:r w:rsidR="00961281">
              <w:rPr>
                <w:noProof/>
                <w:lang w:val="en-GB"/>
              </w:rPr>
              <w:t xml:space="preserve"> the NCE in SI). However, we</w:t>
            </w:r>
            <w:r w:rsidR="00B277A2">
              <w:rPr>
                <w:noProof/>
                <w:lang w:val="en-GB"/>
              </w:rPr>
              <w:t xml:space="preserve"> do recoginze there is some ambigulity from current speficiaion. If there is legacy UE that handle in some different way for some field, we could have case by case discussion on how to resolve it. Having say that, we</w:t>
            </w:r>
            <w:r w:rsidR="007A45A6">
              <w:rPr>
                <w:noProof/>
                <w:lang w:val="en-GB"/>
              </w:rPr>
              <w:t xml:space="preserve"> are</w:t>
            </w:r>
            <w:r w:rsidR="00B277A2">
              <w:rPr>
                <w:noProof/>
                <w:lang w:val="en-GB"/>
              </w:rPr>
              <w:t xml:space="preserve"> still no</w:t>
            </w:r>
            <w:r w:rsidR="007A45A6">
              <w:rPr>
                <w:noProof/>
                <w:lang w:val="en-GB"/>
              </w:rPr>
              <w:t>t</w:t>
            </w:r>
            <w:r w:rsidR="00B277A2">
              <w:rPr>
                <w:noProof/>
                <w:lang w:val="en-GB"/>
              </w:rPr>
              <w:t xml:space="preserve"> clear on which filed really cause</w:t>
            </w:r>
            <w:r w:rsidR="007A45A6">
              <w:rPr>
                <w:noProof/>
                <w:lang w:val="en-GB"/>
              </w:rPr>
              <w:t>d</w:t>
            </w:r>
            <w:r w:rsidR="00B277A2">
              <w:rPr>
                <w:noProof/>
                <w:lang w:val="en-GB"/>
              </w:rPr>
              <w:t xml:space="preserve"> IODT problem in the field. Perhap there is no need to spend too much meeting time on this if there is no real issue.</w:t>
            </w:r>
          </w:p>
          <w:p w14:paraId="62A44A18" w14:textId="77777777" w:rsidR="00657C47" w:rsidRDefault="00657C47" w:rsidP="002F7616">
            <w:pPr>
              <w:spacing w:after="0"/>
              <w:jc w:val="both"/>
              <w:rPr>
                <w:noProof/>
                <w:lang w:val="en-GB"/>
              </w:rPr>
            </w:pPr>
          </w:p>
          <w:p w14:paraId="19564395" w14:textId="77777777" w:rsidR="00657C47" w:rsidRPr="00B277A2" w:rsidRDefault="00657C47" w:rsidP="002F7616">
            <w:pPr>
              <w:spacing w:after="0"/>
              <w:jc w:val="both"/>
              <w:rPr>
                <w:noProof/>
                <w:u w:val="single"/>
                <w:lang w:val="en-GB"/>
              </w:rPr>
            </w:pPr>
            <w:r w:rsidRPr="00B277A2">
              <w:rPr>
                <w:noProof/>
                <w:u w:val="single"/>
                <w:lang w:val="en-GB"/>
              </w:rPr>
              <w:t>Delta configuration aspect</w:t>
            </w:r>
          </w:p>
          <w:p w14:paraId="1D6B6247" w14:textId="3AAE8CD6" w:rsidR="00657C47" w:rsidRDefault="00B277A2" w:rsidP="002F7616">
            <w:pPr>
              <w:spacing w:after="0"/>
              <w:jc w:val="both"/>
              <w:rPr>
                <w:noProof/>
                <w:lang w:val="en-GB"/>
              </w:rPr>
            </w:pPr>
            <w:r>
              <w:rPr>
                <w:noProof/>
                <w:lang w:val="en-GB"/>
              </w:rPr>
              <w:t>If the feautre is not supported by UE completely, there is no delta configuration at all. The special case mentioned</w:t>
            </w:r>
            <w:r w:rsidR="007A45A6">
              <w:rPr>
                <w:noProof/>
                <w:lang w:val="en-GB"/>
              </w:rPr>
              <w:t xml:space="preserve"> above</w:t>
            </w:r>
            <w:r>
              <w:rPr>
                <w:noProof/>
                <w:lang w:val="en-GB"/>
              </w:rPr>
              <w:t xml:space="preserve"> (SUL) is ambigous because UE does </w:t>
            </w:r>
            <w:r>
              <w:rPr>
                <w:noProof/>
                <w:lang w:val="en-GB"/>
              </w:rPr>
              <w:lastRenderedPageBreak/>
              <w:t xml:space="preserve">support SUL but </w:t>
            </w:r>
            <w:r w:rsidR="007A45A6">
              <w:rPr>
                <w:noProof/>
                <w:lang w:val="en-GB"/>
              </w:rPr>
              <w:t>only in some bands. On this example</w:t>
            </w:r>
            <w:r>
              <w:rPr>
                <w:noProof/>
                <w:lang w:val="en-GB"/>
              </w:rPr>
              <w:t xml:space="preserve">, as the specification is not so clear, we think that the </w:t>
            </w:r>
            <w:r w:rsidR="00276CA5">
              <w:rPr>
                <w:noProof/>
                <w:lang w:val="en-GB"/>
              </w:rPr>
              <w:t>safe</w:t>
            </w:r>
            <w:r>
              <w:rPr>
                <w:noProof/>
                <w:lang w:val="en-GB"/>
              </w:rPr>
              <w:t xml:space="preserve"> a</w:t>
            </w:r>
            <w:r w:rsidR="007A45A6">
              <w:rPr>
                <w:noProof/>
                <w:lang w:val="en-GB"/>
              </w:rPr>
              <w:t>pporach is the NW always providing</w:t>
            </w:r>
            <w:r>
              <w:rPr>
                <w:noProof/>
                <w:lang w:val="en-GB"/>
              </w:rPr>
              <w:t xml:space="preserve"> full </w:t>
            </w:r>
            <w:r w:rsidR="007A45A6">
              <w:rPr>
                <w:noProof/>
                <w:lang w:val="en-GB"/>
              </w:rPr>
              <w:t>configuration for SUL part.</w:t>
            </w:r>
          </w:p>
          <w:p w14:paraId="6C680A50" w14:textId="634B02F5" w:rsidR="00657C47" w:rsidRPr="008F3140" w:rsidRDefault="00657C47" w:rsidP="002F7616">
            <w:pPr>
              <w:spacing w:after="0"/>
              <w:jc w:val="both"/>
              <w:rPr>
                <w:noProof/>
                <w:lang w:val="en-GB"/>
              </w:rPr>
            </w:pPr>
          </w:p>
        </w:tc>
      </w:tr>
      <w:tr w:rsidR="00657C47" w:rsidRPr="008F3140" w14:paraId="2D13481A" w14:textId="77777777" w:rsidTr="00196517">
        <w:tc>
          <w:tcPr>
            <w:tcW w:w="1756" w:type="dxa"/>
          </w:tcPr>
          <w:p w14:paraId="6632E507" w14:textId="56147148" w:rsidR="00657C47" w:rsidRPr="008F3140" w:rsidRDefault="0036194C" w:rsidP="002F7616">
            <w:pPr>
              <w:spacing w:after="0"/>
              <w:jc w:val="both"/>
              <w:rPr>
                <w:rFonts w:eastAsiaTheme="minorEastAsia"/>
                <w:noProof/>
                <w:lang w:eastAsia="zh-CN"/>
              </w:rPr>
            </w:pPr>
            <w:r>
              <w:rPr>
                <w:rFonts w:eastAsiaTheme="minorEastAsia"/>
                <w:noProof/>
                <w:lang w:eastAsia="zh-CN"/>
              </w:rPr>
              <w:lastRenderedPageBreak/>
              <w:t>Intel</w:t>
            </w:r>
          </w:p>
        </w:tc>
        <w:tc>
          <w:tcPr>
            <w:tcW w:w="8020" w:type="dxa"/>
          </w:tcPr>
          <w:p w14:paraId="653BC899" w14:textId="7E6D02C5" w:rsidR="000A71D8" w:rsidRDefault="000A71D8" w:rsidP="0036194C">
            <w:pPr>
              <w:spacing w:after="0"/>
              <w:jc w:val="both"/>
              <w:rPr>
                <w:noProof/>
                <w:lang w:val="en-GB"/>
              </w:rPr>
            </w:pPr>
            <w:r>
              <w:rPr>
                <w:noProof/>
                <w:lang w:val="en-GB"/>
              </w:rPr>
              <w:t>In general, network should not have to consider UE capability for configCommon and omit fields that are not supported by the UE.  However, if there are specific issues in the field, that should be addressed.</w:t>
            </w:r>
          </w:p>
          <w:p w14:paraId="296AD375" w14:textId="37104610" w:rsidR="0036194C" w:rsidRPr="0036194C" w:rsidRDefault="0036194C" w:rsidP="0036194C">
            <w:pPr>
              <w:spacing w:after="0"/>
              <w:jc w:val="both"/>
              <w:rPr>
                <w:noProof/>
                <w:lang w:val="en-GB"/>
              </w:rPr>
            </w:pPr>
          </w:p>
          <w:p w14:paraId="73ED5BDB" w14:textId="6541D3E5" w:rsidR="0036194C"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dedicatedSIB1-Delivery</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w:t>
            </w:r>
          </w:p>
          <w:p w14:paraId="45FD5B63" w14:textId="076AEEBE" w:rsidR="0036194C" w:rsidRPr="000A71D8" w:rsidRDefault="000A71D8" w:rsidP="0036194C">
            <w:pPr>
              <w:spacing w:after="0"/>
              <w:jc w:val="both"/>
              <w:rPr>
                <w:noProof/>
              </w:rPr>
            </w:pPr>
            <w:r>
              <w:rPr>
                <w:noProof/>
              </w:rPr>
              <w:t>There does not seem to be any issues in the field with this.</w:t>
            </w:r>
          </w:p>
          <w:p w14:paraId="25D7DCE4" w14:textId="77777777" w:rsidR="0036194C" w:rsidRDefault="0036194C" w:rsidP="0036194C">
            <w:pPr>
              <w:spacing w:after="0"/>
              <w:jc w:val="both"/>
              <w:rPr>
                <w:noProof/>
                <w:u w:val="single"/>
              </w:rPr>
            </w:pPr>
          </w:p>
          <w:p w14:paraId="72DD682F" w14:textId="77777777" w:rsidR="0036194C" w:rsidRPr="00657C47" w:rsidRDefault="0036194C" w:rsidP="0036194C">
            <w:pPr>
              <w:spacing w:after="0"/>
              <w:jc w:val="both"/>
              <w:rPr>
                <w:noProof/>
                <w:u w:val="single"/>
              </w:rPr>
            </w:pPr>
            <w:r w:rsidRPr="00657C47">
              <w:rPr>
                <w:noProof/>
                <w:u w:val="single"/>
                <w:lang w:val="en-GB"/>
              </w:rPr>
              <w:t xml:space="preserve">In </w:t>
            </w:r>
            <w:r w:rsidRPr="00657C47">
              <w:rPr>
                <w:i/>
                <w:noProof/>
                <w:u w:val="single"/>
                <w:lang w:val="en-GB"/>
              </w:rPr>
              <w:t>ServingCellConfigCommon</w:t>
            </w:r>
            <w:r w:rsidRPr="00657C47">
              <w:rPr>
                <w:noProof/>
                <w:u w:val="single"/>
                <w:lang w:val="en-GB"/>
              </w:rPr>
              <w:t xml:space="preserve"> </w:t>
            </w:r>
            <w:r w:rsidRPr="00657C47">
              <w:rPr>
                <w:rFonts w:ascii="Wingdings" w:eastAsia="Wingdings" w:hAnsi="Wingdings" w:cs="Wingdings"/>
                <w:noProof/>
                <w:u w:val="single"/>
              </w:rPr>
              <w:t>à</w:t>
            </w:r>
            <w:r w:rsidRPr="00657C47">
              <w:rPr>
                <w:noProof/>
                <w:u w:val="single"/>
              </w:rPr>
              <w:t xml:space="preserve"> No, but....</w:t>
            </w:r>
          </w:p>
          <w:p w14:paraId="734D2DA8" w14:textId="533F2D09" w:rsidR="0036194C" w:rsidRDefault="000A71D8" w:rsidP="0036194C">
            <w:pPr>
              <w:spacing w:after="0"/>
              <w:jc w:val="both"/>
              <w:rPr>
                <w:noProof/>
                <w:lang w:val="en-GB"/>
              </w:rPr>
            </w:pPr>
            <w:r>
              <w:rPr>
                <w:noProof/>
                <w:lang w:val="en-GB"/>
              </w:rPr>
              <w:t>As a general principle, network does not need to omi</w:t>
            </w:r>
            <w:r w:rsidR="00116C15">
              <w:rPr>
                <w:noProof/>
                <w:lang w:val="en-GB"/>
              </w:rPr>
              <w:t xml:space="preserve">t specific fields based on individual UE capability.  </w:t>
            </w:r>
            <w:r w:rsidR="00A0336C">
              <w:rPr>
                <w:noProof/>
                <w:lang w:val="en-GB"/>
              </w:rPr>
              <w:t xml:space="preserve">UE can and should be able to ignore fields not supported in ConfigCommon based on ASN.1 extension principles.  </w:t>
            </w:r>
            <w:r w:rsidR="00A31FA5">
              <w:rPr>
                <w:noProof/>
                <w:lang w:val="en-GB"/>
              </w:rPr>
              <w:t xml:space="preserve">The specific case of </w:t>
            </w:r>
            <w:r w:rsidR="00A31FA5" w:rsidRPr="00A31FA5">
              <w:rPr>
                <w:i/>
                <w:iCs/>
                <w:noProof/>
                <w:lang w:val="en-GB"/>
              </w:rPr>
              <w:t>ServingCellConfigCommon</w:t>
            </w:r>
            <w:r w:rsidR="00A31FA5">
              <w:rPr>
                <w:i/>
                <w:iCs/>
                <w:noProof/>
                <w:lang w:val="en-GB"/>
              </w:rPr>
              <w:t xml:space="preserve"> </w:t>
            </w:r>
            <w:r w:rsidR="00A31FA5">
              <w:rPr>
                <w:noProof/>
                <w:lang w:val="en-GB"/>
              </w:rPr>
              <w:t xml:space="preserve">has not been captured explicitly though and hence any corresponding implementation issues in Rel-15 should be addressed.  </w:t>
            </w:r>
            <w:r w:rsidR="00116C15">
              <w:rPr>
                <w:noProof/>
                <w:lang w:val="en-GB"/>
              </w:rPr>
              <w:t>As a specific issue on SUL has been mentioned, an exception can be made for this field for Rel-15 UEs.</w:t>
            </w:r>
          </w:p>
          <w:p w14:paraId="5095B92D" w14:textId="10C0B1F2" w:rsidR="00116C15" w:rsidRDefault="00116C15" w:rsidP="0036194C">
            <w:pPr>
              <w:spacing w:after="0"/>
              <w:jc w:val="both"/>
              <w:rPr>
                <w:noProof/>
                <w:lang w:val="en-GB"/>
              </w:rPr>
            </w:pPr>
          </w:p>
          <w:p w14:paraId="4B773B66" w14:textId="7846C358" w:rsidR="00A0336C" w:rsidRDefault="00A0336C" w:rsidP="0036194C">
            <w:pPr>
              <w:spacing w:after="0"/>
              <w:jc w:val="both"/>
              <w:rPr>
                <w:noProof/>
                <w:u w:val="single"/>
                <w:lang w:val="en-GB"/>
              </w:rPr>
            </w:pPr>
            <w:r w:rsidRPr="00B277A2">
              <w:rPr>
                <w:noProof/>
                <w:u w:val="single"/>
                <w:lang w:val="en-GB"/>
              </w:rPr>
              <w:t>Delta configuration aspect</w:t>
            </w:r>
          </w:p>
          <w:p w14:paraId="21ACBCAB" w14:textId="32843B71" w:rsidR="00A31FA5" w:rsidRDefault="00A006EB" w:rsidP="0036194C">
            <w:pPr>
              <w:spacing w:after="0"/>
              <w:jc w:val="both"/>
              <w:rPr>
                <w:noProof/>
                <w:lang w:val="en-GB"/>
              </w:rPr>
            </w:pPr>
            <w:r>
              <w:rPr>
                <w:noProof/>
                <w:lang w:val="en-GB"/>
              </w:rPr>
              <w:t xml:space="preserve">Delta configuration cannot be applied for SIB and configCommon fields as there is normally no mechanism to delete a configuration other than omit them (i.e., behave as Need R).  </w:t>
            </w:r>
            <w:r w:rsidR="00A31FA5">
              <w:rPr>
                <w:noProof/>
                <w:lang w:val="en-GB"/>
              </w:rPr>
              <w:t>For SIB, we have the following statement in spec:</w:t>
            </w:r>
          </w:p>
          <w:p w14:paraId="31162E67" w14:textId="2222D633" w:rsidR="00116C15" w:rsidRPr="000A71D8" w:rsidRDefault="00527201" w:rsidP="0036194C">
            <w:pPr>
              <w:spacing w:after="0"/>
              <w:jc w:val="both"/>
              <w:rPr>
                <w:noProof/>
                <w:lang w:val="en-GB"/>
              </w:rPr>
            </w:pPr>
            <w:r>
              <w:rPr>
                <w:sz w:val="20"/>
                <w:szCs w:val="20"/>
              </w:rPr>
              <w:t xml:space="preserve">  </w:t>
            </w:r>
            <w:proofErr w:type="spellStart"/>
            <w:r w:rsidR="00A0336C">
              <w:rPr>
                <w:sz w:val="20"/>
                <w:szCs w:val="20"/>
              </w:rPr>
              <w:t>Any</w:t>
            </w:r>
            <w:proofErr w:type="spellEnd"/>
            <w:r w:rsidR="00A0336C">
              <w:rPr>
                <w:sz w:val="20"/>
                <w:szCs w:val="20"/>
              </w:rPr>
              <w:t xml:space="preserve"> </w:t>
            </w:r>
            <w:proofErr w:type="spellStart"/>
            <w:r w:rsidR="00A0336C">
              <w:rPr>
                <w:sz w:val="20"/>
                <w:szCs w:val="20"/>
              </w:rPr>
              <w:t>field</w:t>
            </w:r>
            <w:proofErr w:type="spellEnd"/>
            <w:r w:rsidR="00A0336C">
              <w:rPr>
                <w:sz w:val="20"/>
                <w:szCs w:val="20"/>
              </w:rPr>
              <w:t xml:space="preserve"> </w:t>
            </w:r>
            <w:proofErr w:type="spellStart"/>
            <w:r w:rsidR="00A0336C">
              <w:rPr>
                <w:sz w:val="20"/>
                <w:szCs w:val="20"/>
              </w:rPr>
              <w:t>with</w:t>
            </w:r>
            <w:proofErr w:type="spellEnd"/>
            <w:r w:rsidR="00A0336C">
              <w:rPr>
                <w:sz w:val="20"/>
                <w:szCs w:val="20"/>
              </w:rPr>
              <w:t xml:space="preserve"> Need M </w:t>
            </w:r>
            <w:proofErr w:type="spellStart"/>
            <w:r w:rsidR="00A0336C">
              <w:rPr>
                <w:sz w:val="20"/>
                <w:szCs w:val="20"/>
              </w:rPr>
              <w:t>or</w:t>
            </w:r>
            <w:proofErr w:type="spellEnd"/>
            <w:r w:rsidR="00A0336C">
              <w:rPr>
                <w:sz w:val="20"/>
                <w:szCs w:val="20"/>
              </w:rPr>
              <w:t xml:space="preserve"> Need N in </w:t>
            </w:r>
            <w:proofErr w:type="spellStart"/>
            <w:r w:rsidR="00A0336C">
              <w:rPr>
                <w:sz w:val="20"/>
                <w:szCs w:val="20"/>
              </w:rPr>
              <w:t>system</w:t>
            </w:r>
            <w:proofErr w:type="spellEnd"/>
            <w:r w:rsidR="00A0336C">
              <w:rPr>
                <w:sz w:val="20"/>
                <w:szCs w:val="20"/>
              </w:rPr>
              <w:t xml:space="preserve"> </w:t>
            </w:r>
            <w:proofErr w:type="spellStart"/>
            <w:r w:rsidR="00A0336C">
              <w:rPr>
                <w:sz w:val="20"/>
                <w:szCs w:val="20"/>
              </w:rPr>
              <w:t>information</w:t>
            </w:r>
            <w:proofErr w:type="spellEnd"/>
            <w:r w:rsidR="00A0336C">
              <w:rPr>
                <w:sz w:val="20"/>
                <w:szCs w:val="20"/>
              </w:rPr>
              <w:t xml:space="preserve"> </w:t>
            </w:r>
            <w:proofErr w:type="spellStart"/>
            <w:r w:rsidR="00A0336C">
              <w:rPr>
                <w:sz w:val="20"/>
                <w:szCs w:val="20"/>
              </w:rPr>
              <w:t>shall</w:t>
            </w:r>
            <w:proofErr w:type="spellEnd"/>
            <w:r w:rsidR="00A0336C">
              <w:rPr>
                <w:sz w:val="20"/>
                <w:szCs w:val="20"/>
              </w:rPr>
              <w:t xml:space="preserve"> </w:t>
            </w:r>
            <w:proofErr w:type="spellStart"/>
            <w:r w:rsidR="00A0336C">
              <w:rPr>
                <w:sz w:val="20"/>
                <w:szCs w:val="20"/>
              </w:rPr>
              <w:t>be</w:t>
            </w:r>
            <w:proofErr w:type="spellEnd"/>
            <w:r w:rsidR="00A0336C">
              <w:rPr>
                <w:sz w:val="20"/>
                <w:szCs w:val="20"/>
              </w:rPr>
              <w:t xml:space="preserve"> </w:t>
            </w:r>
            <w:proofErr w:type="spellStart"/>
            <w:r w:rsidR="00A0336C">
              <w:rPr>
                <w:sz w:val="20"/>
                <w:szCs w:val="20"/>
              </w:rPr>
              <w:t>interpreted</w:t>
            </w:r>
            <w:proofErr w:type="spellEnd"/>
            <w:r w:rsidR="00A0336C">
              <w:rPr>
                <w:sz w:val="20"/>
                <w:szCs w:val="20"/>
              </w:rPr>
              <w:t xml:space="preserve"> </w:t>
            </w:r>
            <w:proofErr w:type="spellStart"/>
            <w:r w:rsidR="00A0336C">
              <w:rPr>
                <w:sz w:val="20"/>
                <w:szCs w:val="20"/>
              </w:rPr>
              <w:t>as</w:t>
            </w:r>
            <w:proofErr w:type="spellEnd"/>
            <w:r w:rsidR="00A0336C">
              <w:rPr>
                <w:sz w:val="20"/>
                <w:szCs w:val="20"/>
              </w:rPr>
              <w:t xml:space="preserve"> Need R.</w:t>
            </w:r>
          </w:p>
          <w:p w14:paraId="49892312" w14:textId="2307FAFC" w:rsidR="00B15A5E" w:rsidRPr="008F3140" w:rsidRDefault="00A31FA5" w:rsidP="002F7616">
            <w:pPr>
              <w:spacing w:after="0"/>
              <w:jc w:val="both"/>
              <w:rPr>
                <w:noProof/>
              </w:rPr>
            </w:pPr>
            <w:r>
              <w:rPr>
                <w:noProof/>
              </w:rPr>
              <w:t xml:space="preserve">The same </w:t>
            </w:r>
            <w:r w:rsidR="00B15A5E">
              <w:rPr>
                <w:noProof/>
              </w:rPr>
              <w:t>can</w:t>
            </w:r>
            <w:r>
              <w:rPr>
                <w:noProof/>
              </w:rPr>
              <w:t xml:space="preserve"> also </w:t>
            </w:r>
            <w:r w:rsidR="00B15A5E">
              <w:rPr>
                <w:noProof/>
              </w:rPr>
              <w:t xml:space="preserve">be </w:t>
            </w:r>
            <w:r>
              <w:rPr>
                <w:noProof/>
              </w:rPr>
              <w:t>appl</w:t>
            </w:r>
            <w:r w:rsidR="00B15A5E">
              <w:rPr>
                <w:noProof/>
              </w:rPr>
              <w:t>ied</w:t>
            </w:r>
            <w:r>
              <w:rPr>
                <w:noProof/>
              </w:rPr>
              <w:t xml:space="preserve"> for fields in </w:t>
            </w:r>
            <w:r w:rsidR="00B15A5E">
              <w:rPr>
                <w:noProof/>
              </w:rPr>
              <w:t xml:space="preserve">IEs of </w:t>
            </w:r>
            <w:r w:rsidRPr="00B15A5E">
              <w:rPr>
                <w:i/>
                <w:iCs/>
                <w:noProof/>
              </w:rPr>
              <w:t>servingCell</w:t>
            </w:r>
            <w:r w:rsidR="00B15A5E" w:rsidRPr="00B15A5E">
              <w:rPr>
                <w:i/>
                <w:iCs/>
                <w:noProof/>
              </w:rPr>
              <w:t>ConfigCommon</w:t>
            </w:r>
            <w:r w:rsidR="00B15A5E">
              <w:rPr>
                <w:noProof/>
              </w:rPr>
              <w:t>.  We think we need this as some IEs may be used in both dedicated and Common signalling and hence it may not be possible to use Need R for the fields of these IEs.</w:t>
            </w:r>
          </w:p>
        </w:tc>
      </w:tr>
      <w:tr w:rsidR="00127CC4" w:rsidRPr="008F3140" w14:paraId="788B1D77" w14:textId="77777777" w:rsidTr="00196517">
        <w:tc>
          <w:tcPr>
            <w:tcW w:w="1756" w:type="dxa"/>
          </w:tcPr>
          <w:p w14:paraId="5830609E" w14:textId="0BF665EE" w:rsidR="00127CC4" w:rsidRDefault="00127CC4"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14D83E9E" w14:textId="77777777" w:rsidR="00167BE7" w:rsidRDefault="00167BE7" w:rsidP="00167BE7">
            <w:pPr>
              <w:spacing w:after="0"/>
              <w:jc w:val="both"/>
              <w:rPr>
                <w:rFonts w:eastAsiaTheme="minorEastAsia"/>
                <w:noProof/>
                <w:lang w:val="en-GB" w:eastAsia="zh-CN"/>
              </w:rPr>
            </w:pPr>
            <w:r>
              <w:rPr>
                <w:rFonts w:eastAsiaTheme="minorEastAsia" w:hint="eastAsia"/>
                <w:noProof/>
                <w:lang w:val="en-GB" w:eastAsia="zh-CN"/>
              </w:rPr>
              <w:t>T</w:t>
            </w:r>
            <w:r>
              <w:rPr>
                <w:noProof/>
                <w:lang w:val="en-GB"/>
              </w:rPr>
              <w:t xml:space="preserve">he intention has always been that the fields in </w:t>
            </w:r>
            <w:r w:rsidRPr="00613E7E">
              <w:rPr>
                <w:noProof/>
                <w:lang w:val="en-GB"/>
              </w:rPr>
              <w:t>ServingCellConfigCommon</w:t>
            </w:r>
            <w:r>
              <w:rPr>
                <w:noProof/>
                <w:lang w:val="en-GB"/>
              </w:rPr>
              <w:t xml:space="preserve"> are treated as if the UE had received them via system information.</w:t>
            </w:r>
            <w:r>
              <w:rPr>
                <w:rFonts w:eastAsiaTheme="minorEastAsia" w:hint="eastAsia"/>
                <w:noProof/>
                <w:lang w:val="en-GB" w:eastAsia="zh-CN"/>
              </w:rPr>
              <w:t xml:space="preserve"> </w:t>
            </w:r>
          </w:p>
          <w:p w14:paraId="0F8C4FA6" w14:textId="77777777" w:rsidR="00167BE7" w:rsidRPr="00167BE7" w:rsidRDefault="00167BE7" w:rsidP="00AA6427">
            <w:pPr>
              <w:spacing w:after="0"/>
              <w:rPr>
                <w:rFonts w:eastAsiaTheme="minorEastAsia"/>
                <w:noProof/>
                <w:u w:val="single"/>
                <w:lang w:val="en-GB" w:eastAsia="zh-CN"/>
              </w:rPr>
            </w:pPr>
          </w:p>
          <w:p w14:paraId="281C826F" w14:textId="30F77FCF" w:rsidR="00AA6427" w:rsidRPr="00AA6427" w:rsidRDefault="00AA6427" w:rsidP="00AA642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ascii="Wingdings" w:eastAsiaTheme="minorEastAsia" w:hAnsi="Wingdings" w:cs="Wingdings"/>
                <w:noProof/>
                <w:u w:val="single"/>
                <w:lang w:val="en-US" w:eastAsia="zh-CN"/>
              </w:rPr>
              <w:t>à</w:t>
            </w:r>
            <w:r>
              <w:rPr>
                <w:rFonts w:eastAsiaTheme="minorEastAsia" w:hint="eastAsia"/>
                <w:noProof/>
                <w:u w:val="single"/>
                <w:lang w:val="en-US" w:eastAsia="zh-CN"/>
              </w:rPr>
              <w:t xml:space="preserve"> No</w:t>
            </w:r>
          </w:p>
          <w:p w14:paraId="68C4B137" w14:textId="77777777" w:rsidR="00AA6427" w:rsidRDefault="00AA6427" w:rsidP="00AA6427">
            <w:pPr>
              <w:spacing w:after="0"/>
              <w:jc w:val="both"/>
              <w:rPr>
                <w:rFonts w:eastAsiaTheme="minorEastAsia"/>
                <w:noProof/>
                <w:lang w:val="en-GB" w:eastAsia="zh-CN"/>
              </w:rPr>
            </w:pPr>
            <w:r>
              <w:rPr>
                <w:noProof/>
                <w:lang w:val="en-GB"/>
              </w:rPr>
              <w:t>No, the gNB should not be required to omit those fields</w:t>
            </w:r>
            <w:r>
              <w:rPr>
                <w:rFonts w:eastAsiaTheme="minorEastAsia" w:hint="eastAsia"/>
                <w:noProof/>
                <w:lang w:val="en-GB" w:eastAsia="zh-CN"/>
              </w:rPr>
              <w:t xml:space="preserve"> which is </w:t>
            </w:r>
            <w:r>
              <w:rPr>
                <w:noProof/>
                <w:lang w:val="en-GB"/>
              </w:rPr>
              <w:t>provide</w:t>
            </w:r>
            <w:r>
              <w:rPr>
                <w:rFonts w:eastAsiaTheme="minorEastAsia" w:hint="eastAsia"/>
                <w:noProof/>
                <w:lang w:val="en-GB" w:eastAsia="zh-CN"/>
              </w:rPr>
              <w:t>d</w:t>
            </w:r>
            <w:r>
              <w:rPr>
                <w:noProof/>
                <w:lang w:val="en-GB"/>
              </w:rPr>
              <w:t xml:space="preserve"> the same value as in SIB1</w:t>
            </w:r>
            <w:r>
              <w:rPr>
                <w:rFonts w:eastAsiaTheme="minorEastAsia" w:hint="eastAsia"/>
                <w:noProof/>
                <w:lang w:val="en-GB" w:eastAsia="zh-CN"/>
              </w:rPr>
              <w:t>.</w:t>
            </w:r>
          </w:p>
          <w:p w14:paraId="6DAAF1FE" w14:textId="77777777" w:rsidR="00AA6427" w:rsidRPr="00853729" w:rsidRDefault="00AA6427" w:rsidP="00AA6427">
            <w:pPr>
              <w:spacing w:after="0"/>
              <w:jc w:val="both"/>
              <w:rPr>
                <w:rFonts w:eastAsiaTheme="minorEastAsia"/>
                <w:noProof/>
                <w:lang w:val="en-GB" w:eastAsia="zh-CN"/>
              </w:rPr>
            </w:pPr>
          </w:p>
          <w:p w14:paraId="0B28A61C" w14:textId="77D953B3" w:rsidR="00127CC4" w:rsidRPr="00AA6427" w:rsidRDefault="00127CC4" w:rsidP="00AA6427">
            <w:pPr>
              <w:pStyle w:val="Heading5"/>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sidR="00AA6427">
              <w:rPr>
                <w:rFonts w:eastAsiaTheme="minorEastAsia" w:hint="eastAsia"/>
                <w:u w:val="single"/>
                <w:lang w:val="en-US" w:eastAsia="zh-CN"/>
              </w:rPr>
              <w:t xml:space="preserve"> </w:t>
            </w:r>
            <w:r w:rsidR="00AA6427" w:rsidRPr="00AA6427">
              <w:rPr>
                <w:rFonts w:ascii="Wingdings" w:eastAsiaTheme="minorEastAsia" w:hAnsi="Wingdings" w:cs="Wingdings"/>
                <w:u w:val="single"/>
                <w:lang w:val="en-US" w:eastAsia="zh-CN"/>
              </w:rPr>
              <w:t>à</w:t>
            </w:r>
            <w:r w:rsidR="00AA6427">
              <w:rPr>
                <w:rFonts w:eastAsiaTheme="minorEastAsia" w:hint="eastAsia"/>
                <w:u w:val="single"/>
                <w:lang w:val="en-US" w:eastAsia="zh-CN"/>
              </w:rPr>
              <w:t xml:space="preserve"> No</w:t>
            </w:r>
          </w:p>
          <w:p w14:paraId="7062D5B3" w14:textId="20356433" w:rsidR="00C44228" w:rsidRDefault="00AA6427" w:rsidP="00C44228">
            <w:pPr>
              <w:spacing w:after="0"/>
              <w:jc w:val="both"/>
              <w:rPr>
                <w:rFonts w:eastAsiaTheme="minorEastAsia"/>
                <w:noProof/>
                <w:lang w:val="en-GB" w:eastAsia="zh-CN"/>
              </w:rPr>
            </w:pPr>
            <w:r>
              <w:rPr>
                <w:rFonts w:eastAsiaTheme="minorEastAsia"/>
                <w:noProof/>
                <w:lang w:val="en-GB" w:eastAsia="zh-CN"/>
              </w:rPr>
              <w:t>W</w:t>
            </w:r>
            <w:r>
              <w:rPr>
                <w:rFonts w:eastAsiaTheme="minorEastAsia" w:hint="eastAsia"/>
                <w:noProof/>
                <w:lang w:val="en-GB" w:eastAsia="zh-CN"/>
              </w:rPr>
              <w:t xml:space="preserve">e </w:t>
            </w:r>
            <w:r>
              <w:rPr>
                <w:rFonts w:eastAsiaTheme="minorEastAsia"/>
                <w:noProof/>
                <w:lang w:val="en-GB" w:eastAsia="zh-CN"/>
              </w:rPr>
              <w:t>didn't</w:t>
            </w:r>
            <w:r>
              <w:rPr>
                <w:rFonts w:eastAsiaTheme="minorEastAsia" w:hint="eastAsia"/>
                <w:noProof/>
                <w:lang w:val="en-GB" w:eastAsia="zh-CN"/>
              </w:rPr>
              <w:t xml:space="preserve"> see the exact </w:t>
            </w:r>
            <w:r w:rsidR="00C44228">
              <w:rPr>
                <w:rFonts w:eastAsiaTheme="minorEastAsia" w:hint="eastAsia"/>
                <w:noProof/>
                <w:lang w:val="en-GB" w:eastAsia="zh-CN"/>
              </w:rPr>
              <w:t xml:space="preserve">IOT </w:t>
            </w:r>
            <w:r>
              <w:rPr>
                <w:rFonts w:eastAsiaTheme="minorEastAsia" w:hint="eastAsia"/>
                <w:noProof/>
                <w:lang w:val="en-GB" w:eastAsia="zh-CN"/>
              </w:rPr>
              <w:t xml:space="preserve">issues which are mentioned </w:t>
            </w:r>
            <w:r w:rsidR="00EF3A49">
              <w:rPr>
                <w:rFonts w:eastAsiaTheme="minorEastAsia" w:hint="eastAsia"/>
                <w:noProof/>
                <w:lang w:val="en-GB" w:eastAsia="zh-CN"/>
              </w:rPr>
              <w:t xml:space="preserve">as </w:t>
            </w:r>
            <w:r w:rsidR="00C44228">
              <w:rPr>
                <w:rFonts w:eastAsiaTheme="minorEastAsia" w:hint="eastAsia"/>
                <w:noProof/>
                <w:lang w:val="en-GB" w:eastAsia="zh-CN"/>
              </w:rPr>
              <w:t>issue1),2),3)</w:t>
            </w:r>
            <w:r>
              <w:rPr>
                <w:rFonts w:eastAsiaTheme="minorEastAsia" w:hint="eastAsia"/>
                <w:noProof/>
                <w:lang w:val="en-GB" w:eastAsia="zh-CN"/>
              </w:rPr>
              <w:t>by QC</w:t>
            </w:r>
            <w:r w:rsidR="00C44228">
              <w:rPr>
                <w:rFonts w:eastAsiaTheme="minorEastAsia" w:hint="eastAsia"/>
                <w:noProof/>
                <w:lang w:val="en-GB" w:eastAsia="zh-CN"/>
              </w:rPr>
              <w:t xml:space="preserve">. </w:t>
            </w:r>
            <w:r w:rsidR="00D21AE3">
              <w:rPr>
                <w:rFonts w:eastAsiaTheme="minorEastAsia" w:hint="eastAsia"/>
                <w:noProof/>
                <w:lang w:val="en-GB" w:eastAsia="zh-CN"/>
              </w:rPr>
              <w:t>T</w:t>
            </w:r>
            <w:r w:rsidR="00167BE7">
              <w:rPr>
                <w:rFonts w:eastAsiaTheme="minorEastAsia" w:hint="eastAsia"/>
                <w:noProof/>
                <w:lang w:val="en-GB" w:eastAsia="zh-CN"/>
              </w:rPr>
              <w:t>here is nothing break</w:t>
            </w:r>
            <w:r w:rsidR="00C44228">
              <w:rPr>
                <w:rFonts w:eastAsiaTheme="minorEastAsia" w:hint="eastAsia"/>
                <w:noProof/>
                <w:lang w:val="en-GB" w:eastAsia="zh-CN"/>
              </w:rPr>
              <w:t xml:space="preserve"> </w:t>
            </w:r>
            <w:r w:rsidR="00167BE7">
              <w:rPr>
                <w:rFonts w:eastAsiaTheme="minorEastAsia" w:hint="eastAsia"/>
                <w:noProof/>
                <w:lang w:val="en-GB" w:eastAsia="zh-CN"/>
              </w:rPr>
              <w:t>if</w:t>
            </w:r>
            <w:r w:rsidR="00C44228">
              <w:rPr>
                <w:rFonts w:eastAsiaTheme="minorEastAsia" w:hint="eastAsia"/>
                <w:noProof/>
                <w:lang w:val="en-GB" w:eastAsia="zh-CN"/>
              </w:rPr>
              <w:t xml:space="preserve"> legency UE </w:t>
            </w:r>
            <w:r w:rsidR="00167BE7">
              <w:rPr>
                <w:rFonts w:eastAsiaTheme="minorEastAsia" w:hint="eastAsia"/>
                <w:noProof/>
                <w:lang w:val="en-GB" w:eastAsia="zh-CN"/>
              </w:rPr>
              <w:t xml:space="preserve">follows </w:t>
            </w:r>
            <w:r w:rsidR="00C44228">
              <w:rPr>
                <w:rFonts w:eastAsiaTheme="minorEastAsia" w:hint="eastAsia"/>
                <w:noProof/>
                <w:lang w:val="en-GB" w:eastAsia="zh-CN"/>
              </w:rPr>
              <w:t xml:space="preserve">the </w:t>
            </w:r>
            <w:r w:rsidR="00167BE7">
              <w:rPr>
                <w:rFonts w:eastAsiaTheme="minorEastAsia" w:hint="eastAsia"/>
                <w:noProof/>
                <w:lang w:val="en-GB" w:eastAsia="zh-CN"/>
              </w:rPr>
              <w:t>specification strictly</w:t>
            </w:r>
            <w:r w:rsidR="00C44228">
              <w:rPr>
                <w:rFonts w:eastAsiaTheme="minorEastAsia" w:hint="eastAsia"/>
                <w:noProof/>
                <w:lang w:val="en-GB" w:eastAsia="zh-CN"/>
              </w:rPr>
              <w:t xml:space="preserve">. </w:t>
            </w:r>
          </w:p>
          <w:p w14:paraId="118B7B4F" w14:textId="6070DB68" w:rsidR="00127CC4" w:rsidRDefault="00CC72BF" w:rsidP="00127CC4">
            <w:pPr>
              <w:spacing w:after="0"/>
              <w:jc w:val="both"/>
              <w:rPr>
                <w:rFonts w:eastAsiaTheme="minorEastAsia"/>
                <w:noProof/>
                <w:lang w:val="en-GB" w:eastAsia="zh-CN"/>
              </w:rPr>
            </w:pPr>
            <w:r>
              <w:rPr>
                <w:rFonts w:eastAsiaTheme="minorEastAsia"/>
                <w:noProof/>
                <w:lang w:val="en-GB" w:eastAsia="zh-CN"/>
              </w:rPr>
              <w:t>S</w:t>
            </w:r>
            <w:r>
              <w:rPr>
                <w:rFonts w:eastAsiaTheme="minorEastAsia" w:hint="eastAsia"/>
                <w:noProof/>
                <w:lang w:val="en-GB" w:eastAsia="zh-CN"/>
              </w:rPr>
              <w:t>o t</w:t>
            </w:r>
            <w:r w:rsidR="00127CC4">
              <w:rPr>
                <w:noProof/>
                <w:lang w:val="en-GB"/>
              </w:rPr>
              <w:t>he gNB should not be required to omit those fields</w:t>
            </w:r>
            <w:r w:rsidR="00127CC4">
              <w:rPr>
                <w:rFonts w:eastAsiaTheme="minorEastAsia" w:hint="eastAsia"/>
                <w:noProof/>
                <w:lang w:val="en-GB" w:eastAsia="zh-CN"/>
              </w:rPr>
              <w:t>.</w:t>
            </w:r>
          </w:p>
          <w:p w14:paraId="28801E95" w14:textId="77777777" w:rsidR="00127CC4" w:rsidRDefault="00127CC4" w:rsidP="00127CC4">
            <w:pPr>
              <w:spacing w:after="0"/>
              <w:jc w:val="both"/>
              <w:rPr>
                <w:rFonts w:eastAsiaTheme="minorEastAsia"/>
                <w:noProof/>
                <w:lang w:eastAsia="zh-CN"/>
              </w:rPr>
            </w:pPr>
          </w:p>
          <w:p w14:paraId="6D845354" w14:textId="77777777" w:rsidR="001E301D" w:rsidRDefault="001E301D" w:rsidP="001E301D">
            <w:pPr>
              <w:spacing w:after="0"/>
              <w:jc w:val="both"/>
              <w:rPr>
                <w:noProof/>
                <w:u w:val="single"/>
                <w:lang w:val="en-GB"/>
              </w:rPr>
            </w:pPr>
            <w:r w:rsidRPr="00B277A2">
              <w:rPr>
                <w:noProof/>
                <w:u w:val="single"/>
                <w:lang w:val="en-GB"/>
              </w:rPr>
              <w:t>Delta configuration aspect</w:t>
            </w:r>
          </w:p>
          <w:p w14:paraId="77EDB214" w14:textId="2A847AD0" w:rsidR="001E301D" w:rsidRPr="001E301D" w:rsidRDefault="00167BE7" w:rsidP="00167BE7">
            <w:pPr>
              <w:spacing w:after="0"/>
              <w:jc w:val="both"/>
              <w:rPr>
                <w:rFonts w:eastAsiaTheme="minorEastAsia"/>
                <w:lang w:eastAsia="zh-CN"/>
              </w:rPr>
            </w:pPr>
            <w:r>
              <w:rPr>
                <w:rFonts w:eastAsiaTheme="minorEastAsia" w:hint="eastAsia"/>
                <w:noProof/>
                <w:lang w:val="en-GB" w:eastAsia="zh-CN"/>
              </w:rPr>
              <w:t xml:space="preserve">Although </w:t>
            </w:r>
            <w:r>
              <w:rPr>
                <w:noProof/>
                <w:lang w:val="en-GB"/>
              </w:rPr>
              <w:t xml:space="preserve">the use of Need M in ServingCellConfigCommon and its child IEs </w:t>
            </w:r>
            <w:r>
              <w:rPr>
                <w:rFonts w:eastAsiaTheme="minorEastAsia" w:hint="eastAsia"/>
                <w:noProof/>
                <w:lang w:val="en-GB" w:eastAsia="zh-CN"/>
              </w:rPr>
              <w:t>bring effort to UE because of the delta</w:t>
            </w:r>
            <w:r>
              <w:rPr>
                <w:noProof/>
                <w:lang w:val="en-GB"/>
              </w:rPr>
              <w:t xml:space="preserve"> configuration</w:t>
            </w:r>
            <w:r>
              <w:rPr>
                <w:rFonts w:eastAsiaTheme="minorEastAsia" w:hint="eastAsia"/>
                <w:noProof/>
                <w:lang w:val="en-GB" w:eastAsia="zh-CN"/>
              </w:rPr>
              <w:t xml:space="preserve">, as Ericsson mentioned, </w:t>
            </w:r>
            <w:r>
              <w:rPr>
                <w:noProof/>
                <w:lang w:val="en-GB"/>
              </w:rPr>
              <w:t xml:space="preserve">in the example with </w:t>
            </w:r>
            <w:proofErr w:type="spellStart"/>
            <w:r w:rsidRPr="005516E8">
              <w:rPr>
                <w:i/>
                <w:iCs/>
              </w:rPr>
              <w:t>supplementaryUplinkConfig</w:t>
            </w:r>
            <w:proofErr w:type="spellEnd"/>
            <w:r>
              <w:t xml:space="preserve"> the UE </w:t>
            </w:r>
            <w:proofErr w:type="spellStart"/>
            <w:r>
              <w:t>supports</w:t>
            </w:r>
            <w:proofErr w:type="spellEnd"/>
            <w:r>
              <w:t xml:space="preserve"> the </w:t>
            </w:r>
            <w:proofErr w:type="spellStart"/>
            <w:r>
              <w:t>feature</w:t>
            </w:r>
            <w:proofErr w:type="spellEnd"/>
            <w:r>
              <w:t xml:space="preserve"> on </w:t>
            </w:r>
            <w:proofErr w:type="spellStart"/>
            <w:r>
              <w:t>another</w:t>
            </w:r>
            <w:proofErr w:type="spellEnd"/>
            <w:r>
              <w:t xml:space="preserve"> band and </w:t>
            </w:r>
            <w:proofErr w:type="spellStart"/>
            <w:r>
              <w:t>hence</w:t>
            </w:r>
            <w:proofErr w:type="spellEnd"/>
            <w:r>
              <w:t xml:space="preserve"> </w:t>
            </w:r>
            <w:proofErr w:type="spellStart"/>
            <w:r>
              <w:t>knows</w:t>
            </w:r>
            <w:proofErr w:type="spellEnd"/>
            <w:r>
              <w:t xml:space="preserve"> </w:t>
            </w:r>
            <w:proofErr w:type="spellStart"/>
            <w:r>
              <w:t>how</w:t>
            </w:r>
            <w:proofErr w:type="spellEnd"/>
            <w:r>
              <w:t xml:space="preserve"> </w:t>
            </w:r>
            <w:proofErr w:type="spellStart"/>
            <w:r>
              <w:t>to</w:t>
            </w:r>
            <w:proofErr w:type="spellEnd"/>
            <w:r>
              <w:t xml:space="preserve"> deal </w:t>
            </w:r>
            <w:proofErr w:type="spellStart"/>
            <w:r>
              <w:t>with</w:t>
            </w:r>
            <w:proofErr w:type="spellEnd"/>
            <w:r>
              <w:t xml:space="preserve"> the </w:t>
            </w:r>
            <w:proofErr w:type="spellStart"/>
            <w:r>
              <w:t>delta</w:t>
            </w:r>
            <w:proofErr w:type="spellEnd"/>
            <w:r>
              <w:t xml:space="preserve"> signalling of </w:t>
            </w:r>
            <w:proofErr w:type="spellStart"/>
            <w:r>
              <w:t>those</w:t>
            </w:r>
            <w:proofErr w:type="spellEnd"/>
            <w:r>
              <w:t xml:space="preserve"> </w:t>
            </w:r>
            <w:proofErr w:type="spellStart"/>
            <w:r>
              <w:t>parameters</w:t>
            </w:r>
            <w:proofErr w:type="spellEnd"/>
            <w:r>
              <w:t xml:space="preserve">. </w:t>
            </w:r>
            <w:r>
              <w:rPr>
                <w:rFonts w:eastAsiaTheme="minorEastAsia"/>
                <w:lang w:eastAsia="zh-CN"/>
              </w:rPr>
              <w:t>I</w:t>
            </w:r>
            <w:r>
              <w:rPr>
                <w:rFonts w:eastAsiaTheme="minorEastAsia" w:hint="eastAsia"/>
                <w:lang w:eastAsia="zh-CN"/>
              </w:rPr>
              <w:t xml:space="preserve">t </w:t>
            </w:r>
            <w:proofErr w:type="spellStart"/>
            <w:r>
              <w:rPr>
                <w:rFonts w:eastAsiaTheme="minorEastAsia" w:hint="eastAsia"/>
                <w:lang w:eastAsia="zh-CN"/>
              </w:rPr>
              <w:t>seems</w:t>
            </w:r>
            <w:proofErr w:type="spellEnd"/>
            <w:r>
              <w:rPr>
                <w:rFonts w:eastAsiaTheme="minorEastAsia" w:hint="eastAsia"/>
                <w:lang w:eastAsia="zh-CN"/>
              </w:rPr>
              <w:t xml:space="preserve"> </w:t>
            </w:r>
            <w:proofErr w:type="spellStart"/>
            <w:r>
              <w:rPr>
                <w:rFonts w:eastAsiaTheme="minorEastAsia" w:hint="eastAsia"/>
                <w:lang w:eastAsia="zh-CN"/>
              </w:rPr>
              <w:t>there</w:t>
            </w:r>
            <w:proofErr w:type="spellEnd"/>
            <w:r>
              <w:rPr>
                <w:rFonts w:eastAsiaTheme="minorEastAsia" w:hint="eastAsia"/>
                <w:lang w:eastAsia="zh-CN"/>
              </w:rPr>
              <w:t xml:space="preserve"> </w:t>
            </w:r>
            <w:proofErr w:type="spellStart"/>
            <w:r>
              <w:rPr>
                <w:rFonts w:eastAsiaTheme="minorEastAsia" w:hint="eastAsia"/>
                <w:lang w:eastAsia="zh-CN"/>
              </w:rPr>
              <w:t>is</w:t>
            </w:r>
            <w:proofErr w:type="spellEnd"/>
            <w:r>
              <w:rPr>
                <w:rFonts w:eastAsiaTheme="minorEastAsia" w:hint="eastAsia"/>
                <w:lang w:eastAsia="zh-CN"/>
              </w:rPr>
              <w:t xml:space="preserve"> </w:t>
            </w:r>
            <w:proofErr w:type="spellStart"/>
            <w:r>
              <w:rPr>
                <w:rFonts w:eastAsiaTheme="minorEastAsia" w:hint="eastAsia"/>
                <w:lang w:eastAsia="zh-CN"/>
              </w:rPr>
              <w:t>no</w:t>
            </w:r>
            <w:proofErr w:type="spellEnd"/>
            <w:r>
              <w:rPr>
                <w:rFonts w:eastAsiaTheme="minorEastAsia" w:hint="eastAsia"/>
                <w:lang w:eastAsia="zh-CN"/>
              </w:rPr>
              <w:t xml:space="preserve"> real </w:t>
            </w:r>
            <w:r w:rsidR="00283FCF">
              <w:rPr>
                <w:rFonts w:eastAsiaTheme="minorEastAsia" w:hint="eastAsia"/>
                <w:lang w:eastAsia="zh-CN"/>
              </w:rPr>
              <w:t xml:space="preserve">IOT </w:t>
            </w:r>
            <w:proofErr w:type="spellStart"/>
            <w:r>
              <w:rPr>
                <w:rFonts w:eastAsiaTheme="minorEastAsia" w:hint="eastAsia"/>
                <w:lang w:eastAsia="zh-CN"/>
              </w:rPr>
              <w:t>issue</w:t>
            </w:r>
            <w:proofErr w:type="spellEnd"/>
            <w:r>
              <w:rPr>
                <w:rFonts w:eastAsiaTheme="minorEastAsia" w:hint="eastAsia"/>
                <w:lang w:eastAsia="zh-CN"/>
              </w:rPr>
              <w:t xml:space="preserve"> in Rel-15.</w:t>
            </w:r>
          </w:p>
          <w:p w14:paraId="52F7692F" w14:textId="77777777" w:rsidR="00127CC4" w:rsidRPr="00167BE7" w:rsidRDefault="00127CC4" w:rsidP="00167BE7">
            <w:pPr>
              <w:spacing w:after="0"/>
              <w:jc w:val="both"/>
              <w:rPr>
                <w:noProof/>
                <w:lang w:val="en-GB"/>
              </w:rPr>
            </w:pPr>
          </w:p>
        </w:tc>
      </w:tr>
      <w:tr w:rsidR="00254D57" w:rsidRPr="008F3140" w14:paraId="69808F1B" w14:textId="77777777" w:rsidTr="00196517">
        <w:tc>
          <w:tcPr>
            <w:tcW w:w="1756" w:type="dxa"/>
          </w:tcPr>
          <w:p w14:paraId="1E82644E" w14:textId="263EC3DE" w:rsidR="00254D57" w:rsidRPr="00254D57" w:rsidRDefault="00254D57" w:rsidP="002F7616">
            <w:pPr>
              <w:spacing w:after="0"/>
              <w:jc w:val="both"/>
              <w:rPr>
                <w:rFonts w:eastAsiaTheme="minorEastAsia"/>
                <w:noProof/>
                <w:lang w:val="en-GB" w:eastAsia="zh-CN"/>
              </w:rPr>
            </w:pPr>
            <w:r>
              <w:rPr>
                <w:rFonts w:eastAsiaTheme="minorEastAsia" w:hint="eastAsia"/>
                <w:noProof/>
                <w:lang w:val="en-GB" w:eastAsia="zh-CN"/>
              </w:rPr>
              <w:t>Huawei</w:t>
            </w:r>
            <w:r>
              <w:rPr>
                <w:rFonts w:eastAsiaTheme="minorEastAsia"/>
                <w:noProof/>
                <w:lang w:val="en-GB" w:eastAsia="zh-CN"/>
              </w:rPr>
              <w:t>, HiSilicon</w:t>
            </w:r>
          </w:p>
        </w:tc>
        <w:tc>
          <w:tcPr>
            <w:tcW w:w="8020" w:type="dxa"/>
          </w:tcPr>
          <w:p w14:paraId="29D83905" w14:textId="77777777" w:rsidR="00254D57" w:rsidRPr="00AA6427" w:rsidRDefault="00254D57" w:rsidP="00254D57">
            <w:pPr>
              <w:spacing w:after="0"/>
              <w:rPr>
                <w:rFonts w:eastAsiaTheme="minorEastAsia"/>
                <w:u w:val="single"/>
                <w:lang w:val="en-US" w:eastAsia="zh-CN"/>
              </w:rPr>
            </w:pPr>
            <w:r w:rsidRPr="00CA1557">
              <w:rPr>
                <w:rFonts w:eastAsia="Yu Mincho"/>
                <w:noProof/>
                <w:u w:val="single"/>
                <w:lang w:val="en-US"/>
              </w:rPr>
              <w:t>dedicatedSIB1-Delivery</w:t>
            </w:r>
            <w:r>
              <w:rPr>
                <w:rFonts w:eastAsiaTheme="minorEastAsia" w:hint="eastAsia"/>
                <w:noProof/>
                <w:u w:val="single"/>
                <w:lang w:val="en-US" w:eastAsia="zh-CN"/>
              </w:rPr>
              <w:t xml:space="preserve"> </w:t>
            </w:r>
            <w:r w:rsidRPr="00AA6427">
              <w:rPr>
                <w:rFonts w:ascii="Wingdings" w:eastAsiaTheme="minorEastAsia" w:hAnsi="Wingdings" w:cs="Wingdings"/>
                <w:noProof/>
                <w:u w:val="single"/>
                <w:lang w:val="en-US" w:eastAsia="zh-CN"/>
              </w:rPr>
              <w:t>à</w:t>
            </w:r>
            <w:r>
              <w:rPr>
                <w:rFonts w:eastAsiaTheme="minorEastAsia" w:hint="eastAsia"/>
                <w:noProof/>
                <w:u w:val="single"/>
                <w:lang w:val="en-US" w:eastAsia="zh-CN"/>
              </w:rPr>
              <w:t xml:space="preserve"> No</w:t>
            </w:r>
          </w:p>
          <w:p w14:paraId="707E1B19" w14:textId="77777777" w:rsidR="00254D57" w:rsidRDefault="00254D57" w:rsidP="00167BE7">
            <w:pPr>
              <w:spacing w:after="0"/>
              <w:jc w:val="both"/>
              <w:rPr>
                <w:rFonts w:eastAsiaTheme="minorEastAsia"/>
                <w:noProof/>
                <w:lang w:eastAsia="zh-CN"/>
              </w:rPr>
            </w:pPr>
            <w:r>
              <w:rPr>
                <w:rFonts w:eastAsiaTheme="minorEastAsia"/>
                <w:noProof/>
                <w:lang w:eastAsia="zh-CN"/>
              </w:rPr>
              <w:t>Agree with others.</w:t>
            </w:r>
          </w:p>
          <w:p w14:paraId="30E28A77" w14:textId="77777777" w:rsidR="00254D57" w:rsidRDefault="00254D57" w:rsidP="00167BE7">
            <w:pPr>
              <w:spacing w:after="0"/>
              <w:jc w:val="both"/>
              <w:rPr>
                <w:rFonts w:eastAsiaTheme="minorEastAsia"/>
                <w:noProof/>
                <w:lang w:eastAsia="zh-CN"/>
              </w:rPr>
            </w:pPr>
          </w:p>
          <w:p w14:paraId="183210C5" w14:textId="77777777" w:rsidR="00254D57" w:rsidRPr="00AA6427" w:rsidRDefault="00254D57" w:rsidP="00254D57">
            <w:pPr>
              <w:pStyle w:val="Heading5"/>
              <w:spacing w:before="0" w:after="0"/>
              <w:ind w:left="0" w:firstLine="0"/>
              <w:outlineLvl w:val="4"/>
              <w:rPr>
                <w:rFonts w:eastAsiaTheme="minorEastAsia"/>
                <w:u w:val="single"/>
                <w:lang w:val="en-US" w:eastAsia="zh-CN"/>
              </w:rPr>
            </w:pPr>
            <w:proofErr w:type="spellStart"/>
            <w:r w:rsidRPr="00CA1557">
              <w:rPr>
                <w:u w:val="single"/>
                <w:lang w:val="en-US" w:eastAsia="zh-CN"/>
              </w:rPr>
              <w:t>ServingCellConfigCommon</w:t>
            </w:r>
            <w:proofErr w:type="spellEnd"/>
            <w:r>
              <w:rPr>
                <w:rFonts w:eastAsiaTheme="minorEastAsia" w:hint="eastAsia"/>
                <w:u w:val="single"/>
                <w:lang w:val="en-US" w:eastAsia="zh-CN"/>
              </w:rPr>
              <w:t xml:space="preserve"> </w:t>
            </w:r>
            <w:r w:rsidRPr="00AA6427">
              <w:rPr>
                <w:rFonts w:ascii="Wingdings" w:eastAsiaTheme="minorEastAsia" w:hAnsi="Wingdings" w:cs="Wingdings"/>
                <w:u w:val="single"/>
                <w:lang w:val="en-US" w:eastAsia="zh-CN"/>
              </w:rPr>
              <w:t>à</w:t>
            </w:r>
            <w:r>
              <w:rPr>
                <w:rFonts w:eastAsiaTheme="minorEastAsia" w:hint="eastAsia"/>
                <w:u w:val="single"/>
                <w:lang w:val="en-US" w:eastAsia="zh-CN"/>
              </w:rPr>
              <w:t xml:space="preserve"> No</w:t>
            </w:r>
          </w:p>
          <w:p w14:paraId="1DB34C8A" w14:textId="77777777" w:rsidR="00367248" w:rsidRDefault="00254D57" w:rsidP="00167BE7">
            <w:pPr>
              <w:spacing w:after="0"/>
              <w:jc w:val="both"/>
              <w:rPr>
                <w:rFonts w:eastAsiaTheme="minorEastAsia"/>
                <w:noProof/>
                <w:lang w:eastAsia="zh-CN"/>
              </w:rPr>
            </w:pPr>
            <w:r>
              <w:rPr>
                <w:rFonts w:eastAsiaTheme="minorEastAsia"/>
                <w:noProof/>
                <w:lang w:eastAsia="zh-CN"/>
              </w:rPr>
              <w:t>Agree with majorities that this should also be seen like system information. We are not sure</w:t>
            </w:r>
            <w:r w:rsidR="00367248">
              <w:rPr>
                <w:rFonts w:eastAsiaTheme="minorEastAsia"/>
                <w:noProof/>
                <w:lang w:eastAsia="zh-CN"/>
              </w:rPr>
              <w:t xml:space="preserve"> either if</w:t>
            </w:r>
            <w:r>
              <w:rPr>
                <w:rFonts w:eastAsiaTheme="minorEastAsia"/>
                <w:noProof/>
                <w:lang w:eastAsia="zh-CN"/>
              </w:rPr>
              <w:t xml:space="preserve"> there is a</w:t>
            </w:r>
            <w:r w:rsidR="00367248">
              <w:rPr>
                <w:rFonts w:eastAsiaTheme="minorEastAsia"/>
                <w:noProof/>
                <w:lang w:eastAsia="zh-CN"/>
              </w:rPr>
              <w:t xml:space="preserve"> real</w:t>
            </w:r>
            <w:r>
              <w:rPr>
                <w:rFonts w:eastAsiaTheme="minorEastAsia"/>
                <w:noProof/>
                <w:lang w:eastAsia="zh-CN"/>
              </w:rPr>
              <w:t xml:space="preserve"> IoT issue. </w:t>
            </w:r>
          </w:p>
          <w:p w14:paraId="065B1A7A" w14:textId="6FC59968" w:rsidR="00254D57" w:rsidRDefault="00254D57" w:rsidP="00167BE7">
            <w:pPr>
              <w:spacing w:after="0"/>
              <w:jc w:val="both"/>
              <w:rPr>
                <w:rFonts w:eastAsiaTheme="minorEastAsia"/>
                <w:noProof/>
                <w:lang w:eastAsia="zh-CN"/>
              </w:rPr>
            </w:pPr>
            <w:r>
              <w:rPr>
                <w:rFonts w:eastAsiaTheme="minorEastAsia"/>
                <w:noProof/>
                <w:lang w:eastAsia="zh-CN"/>
              </w:rPr>
              <w:lastRenderedPageBreak/>
              <w:t xml:space="preserve">Regarding the SUL case mentioned above, as </w:t>
            </w:r>
            <w:r w:rsidR="00367248">
              <w:rPr>
                <w:rFonts w:eastAsiaTheme="minorEastAsia"/>
                <w:noProof/>
                <w:lang w:eastAsia="zh-CN"/>
              </w:rPr>
              <w:t>the SUL common configuration</w:t>
            </w:r>
            <w:r>
              <w:rPr>
                <w:rFonts w:eastAsiaTheme="minorEastAsia"/>
                <w:noProof/>
                <w:lang w:eastAsia="zh-CN"/>
              </w:rPr>
              <w:t xml:space="preserve"> is treated like </w:t>
            </w:r>
            <w:r w:rsidR="00367248">
              <w:rPr>
                <w:rFonts w:eastAsiaTheme="minorEastAsia"/>
                <w:noProof/>
                <w:lang w:eastAsia="zh-CN"/>
              </w:rPr>
              <w:t xml:space="preserve">those in </w:t>
            </w:r>
            <w:r>
              <w:rPr>
                <w:rFonts w:eastAsiaTheme="minorEastAsia"/>
                <w:noProof/>
                <w:lang w:eastAsia="zh-CN"/>
              </w:rPr>
              <w:t xml:space="preserve">system information, the network would provide full configuration in the target cell, i.e. no delta </w:t>
            </w:r>
            <w:r w:rsidR="00367248">
              <w:rPr>
                <w:rFonts w:eastAsiaTheme="minorEastAsia"/>
                <w:noProof/>
                <w:lang w:eastAsia="zh-CN"/>
              </w:rPr>
              <w:t>issue</w:t>
            </w:r>
            <w:r>
              <w:rPr>
                <w:rFonts w:eastAsiaTheme="minorEastAsia"/>
                <w:noProof/>
                <w:lang w:eastAsia="zh-CN"/>
              </w:rPr>
              <w:t>.</w:t>
            </w:r>
          </w:p>
          <w:p w14:paraId="0B4ECFA4" w14:textId="6287948F" w:rsidR="00254D57" w:rsidRDefault="00254D57" w:rsidP="00167BE7">
            <w:pPr>
              <w:spacing w:after="0"/>
              <w:jc w:val="both"/>
              <w:rPr>
                <w:rFonts w:eastAsiaTheme="minorEastAsia"/>
                <w:noProof/>
                <w:lang w:eastAsia="zh-CN"/>
              </w:rPr>
            </w:pPr>
          </w:p>
        </w:tc>
      </w:tr>
      <w:tr w:rsidR="00C31C30" w:rsidRPr="008F3140" w14:paraId="1EACF926" w14:textId="77777777" w:rsidTr="00196517">
        <w:tc>
          <w:tcPr>
            <w:tcW w:w="1756" w:type="dxa"/>
          </w:tcPr>
          <w:p w14:paraId="4D469603" w14:textId="3B16B972" w:rsidR="00C31C30" w:rsidRDefault="00C31C30" w:rsidP="002F7616">
            <w:pPr>
              <w:spacing w:after="0"/>
              <w:jc w:val="both"/>
              <w:rPr>
                <w:rFonts w:eastAsiaTheme="minorEastAsia"/>
                <w:noProof/>
                <w:lang w:eastAsia="zh-CN"/>
              </w:rPr>
            </w:pPr>
            <w:r>
              <w:rPr>
                <w:rFonts w:eastAsiaTheme="minorEastAsia"/>
                <w:noProof/>
                <w:lang w:eastAsia="zh-CN"/>
              </w:rPr>
              <w:lastRenderedPageBreak/>
              <w:t>Nokia</w:t>
            </w:r>
          </w:p>
        </w:tc>
        <w:tc>
          <w:tcPr>
            <w:tcW w:w="8020" w:type="dxa"/>
          </w:tcPr>
          <w:p w14:paraId="6D1F100C" w14:textId="77777777" w:rsidR="00C31C30" w:rsidRPr="00C31C30" w:rsidRDefault="00C31C30" w:rsidP="00C31C30">
            <w:pPr>
              <w:spacing w:after="0"/>
              <w:rPr>
                <w:rFonts w:eastAsia="Yu Mincho"/>
                <w:noProof/>
                <w:lang w:val="en-US"/>
              </w:rPr>
            </w:pPr>
            <w:r w:rsidRPr="00C31C30">
              <w:rPr>
                <w:rFonts w:eastAsia="Yu Mincho"/>
                <w:noProof/>
                <w:lang w:val="en-US"/>
              </w:rPr>
              <w:t>- For dedicatedSIB1-Delivery no need for network to prune the fields</w:t>
            </w:r>
          </w:p>
          <w:p w14:paraId="5BB781A9" w14:textId="77777777" w:rsidR="00C31C30" w:rsidRPr="00C31C30" w:rsidRDefault="00C31C30" w:rsidP="00C31C30">
            <w:pPr>
              <w:spacing w:after="0"/>
              <w:rPr>
                <w:rFonts w:eastAsia="Yu Mincho"/>
                <w:noProof/>
                <w:lang w:val="en-US"/>
              </w:rPr>
            </w:pPr>
            <w:r w:rsidRPr="00C31C30">
              <w:rPr>
                <w:rFonts w:eastAsia="Yu Mincho"/>
                <w:noProof/>
                <w:lang w:val="en-US"/>
              </w:rPr>
              <w:t>- For the ServingCellConfigCommon we see no need for network to prune the field based on individual UE capability. Agree with Intel and MediaTek that if there are any specific issues with Rel-15 UEs out there which may be ignoring the fields and discarding them this may cause issues with delta signalling and RAN2 can discuss these on a case by case basis</w:t>
            </w:r>
          </w:p>
          <w:p w14:paraId="27F5E05C" w14:textId="7A0C8E61" w:rsidR="00C31C30" w:rsidRPr="00C31C30" w:rsidRDefault="00C31C30" w:rsidP="00C31C30">
            <w:pPr>
              <w:spacing w:after="0"/>
              <w:rPr>
                <w:rFonts w:eastAsia="Yu Mincho"/>
                <w:noProof/>
                <w:lang w:val="en-US"/>
              </w:rPr>
            </w:pPr>
            <w:r w:rsidRPr="00C31C30">
              <w:rPr>
                <w:rFonts w:eastAsia="Yu Mincho"/>
                <w:noProof/>
                <w:lang w:val="en-US"/>
              </w:rPr>
              <w:t>- On the issue of delta configuration aspect</w:t>
            </w:r>
            <w:r w:rsidR="00EF7BDC">
              <w:rPr>
                <w:rFonts w:eastAsia="Yu Mincho"/>
                <w:noProof/>
                <w:lang w:val="en-US"/>
              </w:rPr>
              <w:t xml:space="preserve"> for SUL, release of </w:t>
            </w:r>
            <w:r w:rsidR="00BC78A9">
              <w:rPr>
                <w:rFonts w:eastAsia="Yu Mincho"/>
                <w:noProof/>
                <w:lang w:val="en-US"/>
              </w:rPr>
              <w:t xml:space="preserve">(dedicated) </w:t>
            </w:r>
            <w:r w:rsidR="00EF7BDC">
              <w:rPr>
                <w:rFonts w:eastAsia="Yu Mincho"/>
                <w:noProof/>
                <w:lang w:val="en-US"/>
              </w:rPr>
              <w:t>SUL configuration is only possible via fullConfig in Rel-15</w:t>
            </w:r>
            <w:r w:rsidR="00BC78A9">
              <w:rPr>
                <w:rFonts w:eastAsia="Yu Mincho"/>
                <w:noProof/>
                <w:lang w:val="en-US"/>
              </w:rPr>
              <w:t xml:space="preserve"> or when the common SUL field is released</w:t>
            </w:r>
            <w:r w:rsidR="00EF7BDC">
              <w:rPr>
                <w:rFonts w:eastAsia="Yu Mincho"/>
                <w:noProof/>
                <w:lang w:val="en-US"/>
              </w:rPr>
              <w:t>. That's why</w:t>
            </w:r>
            <w:r w:rsidR="00A71BD8">
              <w:rPr>
                <w:rFonts w:eastAsia="Yu Mincho"/>
                <w:noProof/>
                <w:lang w:val="en-US"/>
              </w:rPr>
              <w:t xml:space="preserve"> the field to release it was added in Rel-16. </w:t>
            </w:r>
            <w:r w:rsidR="00B77AF5">
              <w:rPr>
                <w:rFonts w:eastAsia="Yu Mincho"/>
                <w:noProof/>
                <w:lang w:val="en-US"/>
              </w:rPr>
              <w:t xml:space="preserve">Hence, releasing </w:t>
            </w:r>
            <w:r w:rsidRPr="00C31C30">
              <w:rPr>
                <w:rFonts w:eastAsia="Yu Mincho"/>
                <w:noProof/>
                <w:lang w:val="en-US"/>
              </w:rPr>
              <w:t xml:space="preserve">SUL fields must be done by full configuration </w:t>
            </w:r>
            <w:r w:rsidR="00B77AF5">
              <w:rPr>
                <w:rFonts w:eastAsia="Yu Mincho"/>
                <w:noProof/>
                <w:lang w:val="en-US"/>
              </w:rPr>
              <w:t xml:space="preserve">in Rel-15 even if the band doesn't support SUL </w:t>
            </w:r>
            <w:r w:rsidRPr="00C31C30">
              <w:rPr>
                <w:rFonts w:eastAsia="Yu Mincho"/>
                <w:noProof/>
                <w:lang w:val="en-US"/>
              </w:rPr>
              <w:t xml:space="preserve">i.e. in the new cell the target cell does not make any assumptions </w:t>
            </w:r>
            <w:r w:rsidR="0016380A">
              <w:rPr>
                <w:rFonts w:eastAsia="Yu Mincho"/>
                <w:noProof/>
                <w:lang w:val="en-US"/>
              </w:rPr>
              <w:t xml:space="preserve">on UE behaviour </w:t>
            </w:r>
            <w:r w:rsidRPr="00C31C30">
              <w:rPr>
                <w:rFonts w:eastAsia="Yu Mincho"/>
                <w:noProof/>
                <w:lang w:val="en-US"/>
              </w:rPr>
              <w:t xml:space="preserve">and always provides the field based on the UE capability </w:t>
            </w:r>
            <w:r w:rsidR="0016380A">
              <w:rPr>
                <w:rFonts w:eastAsia="Yu Mincho"/>
                <w:noProof/>
                <w:lang w:val="en-US"/>
              </w:rPr>
              <w:t xml:space="preserve">and/or band </w:t>
            </w:r>
            <w:r w:rsidRPr="00C31C30">
              <w:rPr>
                <w:rFonts w:eastAsia="Yu Mincho"/>
                <w:noProof/>
                <w:lang w:val="en-US"/>
              </w:rPr>
              <w:t>(and not make any assumption about delta being thrown away at UE or retained due to ambiguous specification</w:t>
            </w:r>
            <w:r w:rsidR="0016380A">
              <w:rPr>
                <w:rFonts w:eastAsia="Yu Mincho"/>
                <w:noProof/>
                <w:lang w:val="en-US"/>
              </w:rPr>
              <w:t>)</w:t>
            </w:r>
            <w:r w:rsidRPr="00C31C30">
              <w:rPr>
                <w:rFonts w:eastAsia="Yu Mincho"/>
                <w:noProof/>
                <w:lang w:val="en-US"/>
              </w:rPr>
              <w:t xml:space="preserve">. But we need </w:t>
            </w:r>
            <w:r w:rsidR="0050476B">
              <w:rPr>
                <w:rFonts w:eastAsia="Yu Mincho"/>
                <w:noProof/>
                <w:lang w:val="en-US"/>
              </w:rPr>
              <w:t xml:space="preserve">to discuss </w:t>
            </w:r>
            <w:r w:rsidRPr="00C31C30">
              <w:rPr>
                <w:rFonts w:eastAsia="Yu Mincho"/>
                <w:noProof/>
                <w:lang w:val="en-US"/>
              </w:rPr>
              <w:t>this on a case by case basis and we cannot agree to have any generic formulation unless we are all clear that there is really an issue there to fix</w:t>
            </w:r>
            <w:r w:rsidR="0050476B">
              <w:rPr>
                <w:rFonts w:eastAsia="Yu Mincho"/>
                <w:noProof/>
                <w:lang w:val="en-US"/>
              </w:rPr>
              <w:t>.</w:t>
            </w:r>
          </w:p>
        </w:tc>
      </w:tr>
    </w:tbl>
    <w:p w14:paraId="0A6375B2" w14:textId="77777777" w:rsidR="009E30FD" w:rsidRPr="005B2801" w:rsidRDefault="009E30FD" w:rsidP="009E30FD">
      <w:pPr>
        <w:pStyle w:val="Doc-text2"/>
        <w:ind w:left="0" w:firstLine="0"/>
        <w:rPr>
          <w:lang w:val="en-GB" w:eastAsia="en-GB"/>
        </w:rPr>
      </w:pPr>
    </w:p>
    <w:p w14:paraId="6BD6F8CC" w14:textId="53949062" w:rsidR="00B10860" w:rsidRDefault="00B10860" w:rsidP="00C47132">
      <w:pPr>
        <w:pStyle w:val="BodyText"/>
      </w:pPr>
      <w:r>
        <w:t xml:space="preserve">It has been mentioned that some legacy UEs cause problems </w:t>
      </w:r>
      <w:r w:rsidR="001B67D2">
        <w:t xml:space="preserve">when they detect </w:t>
      </w:r>
      <w:r w:rsidR="005E08E4">
        <w:t xml:space="preserve">certain </w:t>
      </w:r>
      <w:r w:rsidR="001B67D2">
        <w:t xml:space="preserve">fields in </w:t>
      </w:r>
      <w:proofErr w:type="spellStart"/>
      <w:r w:rsidR="001B67D2">
        <w:t>ServingCellConfigCommon</w:t>
      </w:r>
      <w:proofErr w:type="spellEnd"/>
      <w:r w:rsidR="00294410">
        <w:t xml:space="preserve"> (e.g. due to the above-mentioned challenges related to delta signalling)</w:t>
      </w:r>
      <w:r w:rsidR="005E08E4">
        <w:t xml:space="preserve">. </w:t>
      </w:r>
    </w:p>
    <w:p w14:paraId="74A123FC" w14:textId="0728EB3D" w:rsidR="00F53204" w:rsidRDefault="00F53204" w:rsidP="00F53204">
      <w:r w:rsidRPr="007F20A7">
        <w:rPr>
          <w:b/>
          <w:bCs/>
          <w:lang w:eastAsia="en-GB"/>
        </w:rPr>
        <w:t>Q</w:t>
      </w:r>
      <w:r>
        <w:rPr>
          <w:b/>
          <w:bCs/>
          <w:lang w:eastAsia="en-GB"/>
        </w:rPr>
        <w:t>2:</w:t>
      </w:r>
      <w:r>
        <w:rPr>
          <w:b/>
          <w:bCs/>
          <w:lang w:eastAsia="en-GB"/>
        </w:rPr>
        <w:tab/>
        <w:t xml:space="preserve">Is there a need to </w:t>
      </w:r>
      <w:r w:rsidR="009A4B40">
        <w:rPr>
          <w:b/>
          <w:bCs/>
          <w:lang w:eastAsia="en-GB"/>
        </w:rPr>
        <w:t xml:space="preserve">introduce exceptions </w:t>
      </w:r>
      <w:r w:rsidR="00147D92">
        <w:rPr>
          <w:b/>
          <w:bCs/>
          <w:lang w:eastAsia="en-GB"/>
        </w:rPr>
        <w:t xml:space="preserve">for dealing </w:t>
      </w:r>
      <w:r w:rsidR="009A4B40">
        <w:rPr>
          <w:b/>
          <w:bCs/>
          <w:lang w:eastAsia="en-GB"/>
        </w:rPr>
        <w:t>with issues identified in legacy UEs</w:t>
      </w:r>
      <w:r>
        <w:rPr>
          <w:b/>
          <w:bCs/>
          <w:lang w:eastAsia="en-GB"/>
        </w:rPr>
        <w:t>?</w:t>
      </w:r>
    </w:p>
    <w:tbl>
      <w:tblPr>
        <w:tblStyle w:val="TableGrid"/>
        <w:tblW w:w="9776" w:type="dxa"/>
        <w:tblLook w:val="04A0" w:firstRow="1" w:lastRow="0" w:firstColumn="1" w:lastColumn="0" w:noHBand="0" w:noVBand="1"/>
      </w:tblPr>
      <w:tblGrid>
        <w:gridCol w:w="1756"/>
        <w:gridCol w:w="8020"/>
      </w:tblGrid>
      <w:tr w:rsidR="00F53204" w:rsidRPr="008F3140" w14:paraId="7AF58D7E" w14:textId="77777777" w:rsidTr="00D1605B">
        <w:tc>
          <w:tcPr>
            <w:tcW w:w="1756" w:type="dxa"/>
          </w:tcPr>
          <w:p w14:paraId="64EE7ABF" w14:textId="77777777" w:rsidR="00F53204" w:rsidRPr="008F3140" w:rsidRDefault="00F53204" w:rsidP="002F7616">
            <w:pPr>
              <w:spacing w:after="0"/>
              <w:jc w:val="both"/>
              <w:rPr>
                <w:b/>
                <w:bCs/>
                <w:noProof/>
                <w:lang w:val="en-GB"/>
              </w:rPr>
            </w:pPr>
            <w:r w:rsidRPr="008F3140">
              <w:rPr>
                <w:b/>
                <w:bCs/>
                <w:noProof/>
                <w:lang w:val="en-GB"/>
              </w:rPr>
              <w:t>Company</w:t>
            </w:r>
          </w:p>
        </w:tc>
        <w:tc>
          <w:tcPr>
            <w:tcW w:w="8020" w:type="dxa"/>
          </w:tcPr>
          <w:p w14:paraId="2BE7E980" w14:textId="77777777" w:rsidR="00F53204" w:rsidRPr="008F3140" w:rsidRDefault="00F53204" w:rsidP="002F7616">
            <w:pPr>
              <w:spacing w:after="0"/>
              <w:jc w:val="both"/>
              <w:rPr>
                <w:b/>
                <w:bCs/>
                <w:noProof/>
                <w:lang w:val="en-GB"/>
              </w:rPr>
            </w:pPr>
            <w:r w:rsidRPr="008F3140">
              <w:rPr>
                <w:b/>
                <w:bCs/>
                <w:noProof/>
                <w:lang w:val="en-GB"/>
              </w:rPr>
              <w:t>Comments</w:t>
            </w:r>
          </w:p>
        </w:tc>
      </w:tr>
      <w:tr w:rsidR="00F53204" w:rsidRPr="008F3140" w14:paraId="4745B1CB" w14:textId="77777777" w:rsidTr="00D1605B">
        <w:tc>
          <w:tcPr>
            <w:tcW w:w="1756" w:type="dxa"/>
          </w:tcPr>
          <w:p w14:paraId="39420B3E" w14:textId="77777777" w:rsidR="00F53204" w:rsidRPr="008F3140" w:rsidRDefault="00F53204"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256C4FFF" w14:textId="3102C38F" w:rsidR="00F53204" w:rsidRPr="008F3140" w:rsidRDefault="00A60C6C" w:rsidP="002F7616">
            <w:pPr>
              <w:spacing w:after="0"/>
              <w:jc w:val="both"/>
              <w:rPr>
                <w:noProof/>
                <w:lang w:val="en-GB"/>
              </w:rPr>
            </w:pPr>
            <w:r>
              <w:rPr>
                <w:noProof/>
                <w:lang w:val="en-GB"/>
              </w:rPr>
              <w:t xml:space="preserve">Preferably not. But if legacy UEs are known to have issues with presence of individual fields </w:t>
            </w:r>
            <w:r w:rsidR="00BB6860">
              <w:rPr>
                <w:noProof/>
                <w:lang w:val="en-GB"/>
              </w:rPr>
              <w:t xml:space="preserve">or with handling delta signalling thereof, </w:t>
            </w:r>
            <w:r>
              <w:rPr>
                <w:noProof/>
                <w:lang w:val="en-GB"/>
              </w:rPr>
              <w:t xml:space="preserve">we are open for work-arounds. </w:t>
            </w:r>
          </w:p>
        </w:tc>
      </w:tr>
      <w:tr w:rsidR="00F53204" w:rsidRPr="00196517" w14:paraId="06756D22" w14:textId="77777777" w:rsidTr="00D1605B">
        <w:tc>
          <w:tcPr>
            <w:tcW w:w="1756" w:type="dxa"/>
          </w:tcPr>
          <w:p w14:paraId="57C28F83" w14:textId="10FA34C2" w:rsidR="00F53204" w:rsidRPr="00CA1557" w:rsidRDefault="00CA1557" w:rsidP="002F7616">
            <w:pPr>
              <w:spacing w:after="0"/>
              <w:jc w:val="both"/>
              <w:rPr>
                <w:rFonts w:eastAsia="Yu Mincho"/>
                <w:noProof/>
                <w:lang w:val="en-GB"/>
              </w:rPr>
            </w:pPr>
            <w:r>
              <w:rPr>
                <w:rFonts w:eastAsia="Yu Mincho" w:hint="eastAsia"/>
                <w:noProof/>
                <w:lang w:val="en-GB"/>
              </w:rPr>
              <w:t>Q</w:t>
            </w:r>
            <w:r>
              <w:rPr>
                <w:rFonts w:eastAsia="Yu Mincho"/>
                <w:noProof/>
                <w:lang w:val="en-GB"/>
              </w:rPr>
              <w:t>ulacomm Incoporated</w:t>
            </w:r>
          </w:p>
        </w:tc>
        <w:tc>
          <w:tcPr>
            <w:tcW w:w="8020" w:type="dxa"/>
          </w:tcPr>
          <w:p w14:paraId="6142BF17" w14:textId="77777777" w:rsidR="00F53204" w:rsidRDefault="00196517" w:rsidP="002F7616">
            <w:pPr>
              <w:spacing w:after="0"/>
              <w:jc w:val="both"/>
              <w:rPr>
                <w:rFonts w:eastAsia="Yu Mincho"/>
                <w:noProof/>
                <w:lang w:val="en-GB"/>
              </w:rPr>
            </w:pPr>
            <w:r>
              <w:rPr>
                <w:rFonts w:eastAsia="Yu Mincho"/>
                <w:noProof/>
                <w:lang w:val="en-GB"/>
              </w:rPr>
              <w:t xml:space="preserve">Yes, as in our input for Q1, we see multiple issues if we are to allow the network to include the configuration of a feature </w:t>
            </w:r>
            <w:r w:rsidR="00D1605B">
              <w:rPr>
                <w:rFonts w:eastAsia="Yu Mincho"/>
                <w:noProof/>
                <w:lang w:val="en-GB"/>
              </w:rPr>
              <w:t xml:space="preserve">in </w:t>
            </w:r>
            <w:proofErr w:type="spellStart"/>
            <w:r w:rsidR="00D1605B" w:rsidRPr="00D1605B">
              <w:rPr>
                <w:i/>
                <w:iCs/>
                <w:lang w:val="en-US" w:eastAsia="zh-CN"/>
              </w:rPr>
              <w:t>ServingCellConfigCommon</w:t>
            </w:r>
            <w:proofErr w:type="spellEnd"/>
            <w:r w:rsidR="00D1605B">
              <w:rPr>
                <w:rFonts w:eastAsia="Yu Mincho"/>
                <w:noProof/>
                <w:lang w:val="en-GB"/>
              </w:rPr>
              <w:t xml:space="preserve">, </w:t>
            </w:r>
            <w:r>
              <w:rPr>
                <w:rFonts w:eastAsia="Yu Mincho"/>
                <w:noProof/>
                <w:lang w:val="en-GB"/>
              </w:rPr>
              <w:t>even if the feature is not configured.</w:t>
            </w:r>
          </w:p>
          <w:p w14:paraId="16211599" w14:textId="77777777" w:rsidR="00D1605B" w:rsidRDefault="00D1605B" w:rsidP="002F7616">
            <w:pPr>
              <w:spacing w:after="0"/>
              <w:jc w:val="both"/>
              <w:rPr>
                <w:rFonts w:eastAsia="Yu Mincho"/>
                <w:noProof/>
                <w:lang w:val="en-GB"/>
              </w:rPr>
            </w:pPr>
          </w:p>
          <w:p w14:paraId="5E087B77" w14:textId="32BC0118" w:rsidR="00D1605B" w:rsidRPr="00196517" w:rsidRDefault="00D1605B" w:rsidP="002F7616">
            <w:pPr>
              <w:spacing w:after="0"/>
              <w:jc w:val="both"/>
              <w:rPr>
                <w:rFonts w:eastAsia="Yu Mincho"/>
                <w:noProof/>
                <w:lang w:val="en-GB"/>
              </w:rPr>
            </w:pPr>
            <w:r>
              <w:rPr>
                <w:rFonts w:eastAsia="Yu Mincho"/>
                <w:noProof/>
                <w:lang w:val="en-GB"/>
              </w:rPr>
              <w:t xml:space="preserve">It is too late to change the release-15 UE behaivour. </w:t>
            </w:r>
            <w:r>
              <w:rPr>
                <w:rFonts w:eastAsia="Yu Mincho" w:hint="eastAsia"/>
                <w:noProof/>
                <w:lang w:val="en-GB"/>
              </w:rPr>
              <w:t>W</w:t>
            </w:r>
            <w:r>
              <w:rPr>
                <w:rFonts w:eastAsia="Yu Mincho"/>
                <w:noProof/>
                <w:lang w:val="en-GB"/>
              </w:rPr>
              <w:t xml:space="preserve">e are </w:t>
            </w:r>
            <w:r w:rsidR="00A20E70">
              <w:rPr>
                <w:rFonts w:eastAsia="Yu Mincho"/>
                <w:noProof/>
                <w:lang w:val="en-GB"/>
              </w:rPr>
              <w:t>open for</w:t>
            </w:r>
            <w:r>
              <w:rPr>
                <w:rFonts w:eastAsia="Yu Mincho"/>
                <w:noProof/>
                <w:lang w:val="en-GB"/>
              </w:rPr>
              <w:t xml:space="preserve"> try</w:t>
            </w:r>
            <w:r w:rsidR="00A20E70">
              <w:rPr>
                <w:rFonts w:eastAsia="Yu Mincho"/>
                <w:noProof/>
                <w:lang w:val="en-GB"/>
              </w:rPr>
              <w:t>ing</w:t>
            </w:r>
            <w:r>
              <w:rPr>
                <w:rFonts w:eastAsia="Yu Mincho"/>
                <w:noProof/>
                <w:lang w:val="en-GB"/>
              </w:rPr>
              <w:t xml:space="preserve"> to resolve </w:t>
            </w:r>
            <w:r w:rsidR="00A20E70">
              <w:rPr>
                <w:rFonts w:eastAsia="Yu Mincho"/>
                <w:noProof/>
                <w:lang w:val="en-GB"/>
              </w:rPr>
              <w:t xml:space="preserve">this </w:t>
            </w:r>
            <w:r>
              <w:rPr>
                <w:rFonts w:eastAsia="Yu Mincho"/>
                <w:noProof/>
                <w:lang w:val="en-GB"/>
              </w:rPr>
              <w:t xml:space="preserve">for release-16. RAN2 then should look into each release-16 field in </w:t>
            </w:r>
            <w:proofErr w:type="spellStart"/>
            <w:r w:rsidRPr="00D1605B">
              <w:rPr>
                <w:i/>
                <w:iCs/>
                <w:lang w:val="en-US" w:eastAsia="zh-CN"/>
              </w:rPr>
              <w:t>ServingCellConfigCommon</w:t>
            </w:r>
            <w:proofErr w:type="spellEnd"/>
            <w:r>
              <w:rPr>
                <w:rFonts w:eastAsia="Yu Mincho"/>
                <w:noProof/>
                <w:lang w:val="en-GB"/>
              </w:rPr>
              <w:t xml:space="preserve"> to see whether those configurations will lead to any of the issues we mentioned in Q</w:t>
            </w:r>
            <w:r>
              <w:rPr>
                <w:rFonts w:eastAsia="Yu Mincho" w:hint="eastAsia"/>
                <w:noProof/>
                <w:lang w:val="en-GB"/>
              </w:rPr>
              <w:t>1</w:t>
            </w:r>
            <w:r>
              <w:rPr>
                <w:rFonts w:eastAsia="Yu Mincho"/>
                <w:noProof/>
                <w:lang w:val="en-GB"/>
              </w:rPr>
              <w:t>.</w:t>
            </w:r>
          </w:p>
        </w:tc>
      </w:tr>
      <w:tr w:rsidR="00F53204" w:rsidRPr="008F3140" w14:paraId="1FB71AB6" w14:textId="77777777" w:rsidTr="00D1605B">
        <w:tc>
          <w:tcPr>
            <w:tcW w:w="1756" w:type="dxa"/>
          </w:tcPr>
          <w:p w14:paraId="61E87037" w14:textId="4FBD64EB" w:rsidR="00F53204" w:rsidRPr="008F3140" w:rsidRDefault="00657C47"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D25D708" w14:textId="25CE1A84" w:rsidR="00657C47" w:rsidRPr="008F3140" w:rsidRDefault="007A45A6" w:rsidP="002F7616">
            <w:pPr>
              <w:spacing w:after="0"/>
              <w:jc w:val="both"/>
              <w:rPr>
                <w:noProof/>
                <w:lang w:val="en-GB"/>
              </w:rPr>
            </w:pPr>
            <w:r>
              <w:rPr>
                <w:noProof/>
                <w:lang w:val="en-GB"/>
              </w:rPr>
              <w:t xml:space="preserve">Maybe, we would like to understand which field </w:t>
            </w:r>
            <w:r w:rsidR="00F8527B">
              <w:rPr>
                <w:noProof/>
                <w:lang w:val="en-GB"/>
              </w:rPr>
              <w:t xml:space="preserve">(in which kind of scenario) </w:t>
            </w:r>
            <w:r>
              <w:rPr>
                <w:noProof/>
                <w:lang w:val="en-GB"/>
              </w:rPr>
              <w:t>cause the problem and discuss work around if possible.</w:t>
            </w:r>
          </w:p>
        </w:tc>
      </w:tr>
      <w:tr w:rsidR="00657C47" w:rsidRPr="008F3140" w14:paraId="5BE4CA1B" w14:textId="77777777" w:rsidTr="00D1605B">
        <w:tc>
          <w:tcPr>
            <w:tcW w:w="1756" w:type="dxa"/>
          </w:tcPr>
          <w:p w14:paraId="5463D26A" w14:textId="0760E633" w:rsidR="00657C47"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148C0D3E" w14:textId="47AB7B5A" w:rsidR="00657C47" w:rsidRDefault="006230C4" w:rsidP="002F7616">
            <w:pPr>
              <w:spacing w:after="0"/>
              <w:jc w:val="both"/>
              <w:rPr>
                <w:noProof/>
              </w:rPr>
            </w:pPr>
            <w:r>
              <w:rPr>
                <w:noProof/>
              </w:rPr>
              <w:t xml:space="preserve">We are open to consider exceptions on an as needed basis.  </w:t>
            </w:r>
          </w:p>
        </w:tc>
      </w:tr>
      <w:tr w:rsidR="00D143BB" w:rsidRPr="008F3140" w14:paraId="5FFF29EA" w14:textId="77777777" w:rsidTr="00D1605B">
        <w:tc>
          <w:tcPr>
            <w:tcW w:w="1756" w:type="dxa"/>
          </w:tcPr>
          <w:p w14:paraId="3E97C126" w14:textId="5AF7CD39" w:rsidR="00D143BB" w:rsidRDefault="00D143BB"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5ED9AE43" w14:textId="6F88EE07" w:rsidR="00D143BB" w:rsidRPr="00D143BB" w:rsidRDefault="00D143BB" w:rsidP="002F7616">
            <w:pPr>
              <w:spacing w:after="0"/>
              <w:jc w:val="both"/>
              <w:rPr>
                <w:rFonts w:eastAsiaTheme="minorEastAsia"/>
                <w:noProof/>
                <w:lang w:eastAsia="zh-CN"/>
              </w:rPr>
            </w:pPr>
            <w:r>
              <w:rPr>
                <w:rFonts w:eastAsiaTheme="minorEastAsia" w:hint="eastAsia"/>
                <w:noProof/>
                <w:lang w:eastAsia="zh-CN"/>
              </w:rPr>
              <w:t>Share the same understanding as Ericsson.</w:t>
            </w:r>
          </w:p>
        </w:tc>
      </w:tr>
      <w:tr w:rsidR="00254D57" w:rsidRPr="008F3140" w14:paraId="462BDA91" w14:textId="77777777" w:rsidTr="00D1605B">
        <w:tc>
          <w:tcPr>
            <w:tcW w:w="1756" w:type="dxa"/>
          </w:tcPr>
          <w:p w14:paraId="4D15AE5D" w14:textId="43658869" w:rsidR="00254D57" w:rsidRDefault="00254D57" w:rsidP="002F7616">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53CEF8CE" w14:textId="6F2CE210" w:rsidR="00254D57" w:rsidRDefault="00254D57" w:rsidP="00254D5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would like to better understand the real issue.</w:t>
            </w:r>
          </w:p>
        </w:tc>
      </w:tr>
      <w:tr w:rsidR="00C31C30" w:rsidRPr="008F3140" w14:paraId="4CACDAEF" w14:textId="77777777" w:rsidTr="00D1605B">
        <w:tc>
          <w:tcPr>
            <w:tcW w:w="1756" w:type="dxa"/>
          </w:tcPr>
          <w:p w14:paraId="6FAB0ACA" w14:textId="31A99E3F" w:rsidR="00C31C30" w:rsidRDefault="00C31C30" w:rsidP="002F7616">
            <w:pPr>
              <w:spacing w:after="0"/>
              <w:jc w:val="both"/>
              <w:rPr>
                <w:rFonts w:eastAsiaTheme="minorEastAsia"/>
                <w:noProof/>
                <w:lang w:eastAsia="zh-CN"/>
              </w:rPr>
            </w:pPr>
            <w:r>
              <w:rPr>
                <w:rFonts w:eastAsiaTheme="minorEastAsia"/>
                <w:noProof/>
                <w:lang w:eastAsia="zh-CN"/>
              </w:rPr>
              <w:t>Nokia</w:t>
            </w:r>
          </w:p>
        </w:tc>
        <w:tc>
          <w:tcPr>
            <w:tcW w:w="8020" w:type="dxa"/>
          </w:tcPr>
          <w:p w14:paraId="0FC9D2E8" w14:textId="1A1C8958" w:rsidR="00C31C30" w:rsidRDefault="00C31C30" w:rsidP="00254D57">
            <w:pPr>
              <w:spacing w:after="0"/>
              <w:jc w:val="both"/>
              <w:rPr>
                <w:rFonts w:eastAsiaTheme="minorEastAsia"/>
                <w:noProof/>
                <w:lang w:eastAsia="zh-CN"/>
              </w:rPr>
            </w:pPr>
            <w:r>
              <w:rPr>
                <w:rFonts w:eastAsia="Yu Mincho"/>
                <w:noProof/>
                <w:lang w:val="en-US"/>
              </w:rPr>
              <w:t>At least for Rel-15, w</w:t>
            </w:r>
            <w:r w:rsidRPr="00C31C30">
              <w:rPr>
                <w:rFonts w:eastAsia="Yu Mincho"/>
                <w:noProof/>
                <w:lang w:val="en-US"/>
              </w:rPr>
              <w:t>e need this discusion on a case by case basis and we cannot agree to have any generic formulation unless we are all clear that there is really an issue there to fix</w:t>
            </w:r>
            <w:r>
              <w:rPr>
                <w:rFonts w:eastAsia="Yu Mincho"/>
                <w:noProof/>
                <w:lang w:val="en-US"/>
              </w:rPr>
              <w:t>.</w:t>
            </w:r>
          </w:p>
        </w:tc>
      </w:tr>
    </w:tbl>
    <w:p w14:paraId="4E887290" w14:textId="77777777" w:rsidR="00F53204" w:rsidRPr="005B2801" w:rsidRDefault="00F53204" w:rsidP="00F53204">
      <w:pPr>
        <w:pStyle w:val="Doc-text2"/>
        <w:ind w:left="0" w:firstLine="0"/>
        <w:rPr>
          <w:lang w:val="en-GB" w:eastAsia="en-GB"/>
        </w:rPr>
      </w:pPr>
    </w:p>
    <w:p w14:paraId="6C6D51D0" w14:textId="09D96FFB" w:rsidR="009E30FD" w:rsidRDefault="00DC3705" w:rsidP="00C47132">
      <w:pPr>
        <w:pStyle w:val="BodyText"/>
      </w:pPr>
      <w:r>
        <w:t xml:space="preserve">To avoid the above-mentioned problems in future and to simplify the handling of the fields in </w:t>
      </w:r>
      <w:proofErr w:type="spellStart"/>
      <w:r w:rsidRPr="00C47132">
        <w:rPr>
          <w:i/>
          <w:iCs/>
        </w:rPr>
        <w:t>ServingCellConfigCommon</w:t>
      </w:r>
      <w:proofErr w:type="spellEnd"/>
      <w:r>
        <w:t xml:space="preserve"> and </w:t>
      </w:r>
      <w:proofErr w:type="spellStart"/>
      <w:r w:rsidRPr="00C47132">
        <w:rPr>
          <w:i/>
          <w:iCs/>
        </w:rPr>
        <w:t>ServingCellConfigCommonSIB</w:t>
      </w:r>
      <w:proofErr w:type="spellEnd"/>
      <w:r>
        <w:t xml:space="preserve">, it seems advisable to </w:t>
      </w:r>
      <w:r w:rsidR="0028739C">
        <w:t xml:space="preserve">mark all </w:t>
      </w:r>
      <w:r w:rsidR="00E31308">
        <w:t xml:space="preserve">optional </w:t>
      </w:r>
      <w:r w:rsidR="0028739C">
        <w:t xml:space="preserve">fields </w:t>
      </w:r>
      <w:r w:rsidR="00E31308">
        <w:t>added to t</w:t>
      </w:r>
      <w:r w:rsidR="0028739C">
        <w:t xml:space="preserve">hose two IEs </w:t>
      </w:r>
      <w:r w:rsidR="00E31308">
        <w:t xml:space="preserve">in future </w:t>
      </w:r>
      <w:r w:rsidR="0028739C">
        <w:t>with “Need R” or “Need N”</w:t>
      </w:r>
      <w:r w:rsidR="00E31308">
        <w:t>.</w:t>
      </w:r>
      <w:r w:rsidR="006C6CF6">
        <w:t xml:space="preserve"> In this context it should be noted that section </w:t>
      </w:r>
      <w:r w:rsidR="006C6CF6" w:rsidRPr="006C6CF6">
        <w:t>6.1.2</w:t>
      </w:r>
      <w:r w:rsidR="006C6CF6">
        <w:t xml:space="preserve"> of 38.331 </w:t>
      </w:r>
      <w:r w:rsidR="00AD4016">
        <w:t xml:space="preserve">says already: </w:t>
      </w:r>
      <w:r w:rsidR="00125C3B">
        <w:t>“</w:t>
      </w:r>
      <w:r w:rsidR="00125C3B" w:rsidRPr="00125C3B">
        <w:rPr>
          <w:i/>
          <w:iCs/>
        </w:rPr>
        <w:t>Any field with Need M or Need N in system information shall be interpreted as Need R</w:t>
      </w:r>
      <w:r w:rsidR="00125C3B">
        <w:t xml:space="preserve">”. </w:t>
      </w:r>
    </w:p>
    <w:p w14:paraId="2A475DD1" w14:textId="7015369D" w:rsidR="00384B66" w:rsidRDefault="00384B66" w:rsidP="00384B66">
      <w:r w:rsidRPr="007F20A7">
        <w:rPr>
          <w:b/>
          <w:bCs/>
          <w:lang w:eastAsia="en-GB"/>
        </w:rPr>
        <w:t>Q</w:t>
      </w:r>
      <w:r>
        <w:rPr>
          <w:b/>
          <w:bCs/>
          <w:lang w:eastAsia="en-GB"/>
        </w:rPr>
        <w:t>3:</w:t>
      </w:r>
      <w:r>
        <w:rPr>
          <w:b/>
          <w:bCs/>
          <w:lang w:eastAsia="en-GB"/>
        </w:rPr>
        <w:tab/>
        <w:t xml:space="preserve">Should all </w:t>
      </w:r>
      <w:r w:rsidR="00125C3B">
        <w:rPr>
          <w:b/>
          <w:bCs/>
          <w:lang w:eastAsia="en-GB"/>
        </w:rPr>
        <w:t xml:space="preserve">optional </w:t>
      </w:r>
      <w:r>
        <w:rPr>
          <w:b/>
          <w:bCs/>
          <w:lang w:eastAsia="en-GB"/>
        </w:rPr>
        <w:t xml:space="preserve">fields added </w:t>
      </w:r>
      <w:r w:rsidR="00125C3B">
        <w:rPr>
          <w:b/>
          <w:bCs/>
          <w:lang w:eastAsia="en-GB"/>
        </w:rPr>
        <w:t xml:space="preserve">in future </w:t>
      </w:r>
      <w:r>
        <w:rPr>
          <w:b/>
          <w:bCs/>
          <w:lang w:eastAsia="en-GB"/>
        </w:rPr>
        <w:t xml:space="preserve">to </w:t>
      </w:r>
      <w:proofErr w:type="spellStart"/>
      <w:r w:rsidR="00125C3B">
        <w:rPr>
          <w:b/>
          <w:bCs/>
          <w:lang w:eastAsia="en-GB"/>
        </w:rPr>
        <w:t>ServingCellConfigCommon</w:t>
      </w:r>
      <w:proofErr w:type="spellEnd"/>
      <w:r w:rsidR="00125C3B">
        <w:rPr>
          <w:b/>
          <w:bCs/>
          <w:lang w:eastAsia="en-GB"/>
        </w:rPr>
        <w:t xml:space="preserve"> and </w:t>
      </w:r>
      <w:proofErr w:type="spellStart"/>
      <w:r w:rsidR="00125C3B">
        <w:rPr>
          <w:b/>
          <w:bCs/>
          <w:lang w:eastAsia="en-GB"/>
        </w:rPr>
        <w:t>ServingCellConfigCommonSIB</w:t>
      </w:r>
      <w:proofErr w:type="spellEnd"/>
      <w:r w:rsidR="00125C3B">
        <w:rPr>
          <w:b/>
          <w:bCs/>
          <w:lang w:eastAsia="en-GB"/>
        </w:rPr>
        <w:t xml:space="preserve"> (including their child IEs) be marked as “Need R” or “Need N” (</w:t>
      </w:r>
      <w:r w:rsidR="00125C3B" w:rsidRPr="00125C3B">
        <w:rPr>
          <w:b/>
          <w:bCs/>
          <w:u w:val="single"/>
          <w:lang w:eastAsia="en-GB"/>
        </w:rPr>
        <w:t>not</w:t>
      </w:r>
      <w:r w:rsidR="00125C3B">
        <w:rPr>
          <w:b/>
          <w:bCs/>
          <w:lang w:eastAsia="en-GB"/>
        </w:rPr>
        <w:t xml:space="preserve"> as “Need M”)</w:t>
      </w:r>
      <w:r>
        <w:rPr>
          <w:b/>
          <w:bCs/>
          <w:lang w:eastAsia="en-GB"/>
        </w:rPr>
        <w:t>?</w:t>
      </w:r>
    </w:p>
    <w:tbl>
      <w:tblPr>
        <w:tblStyle w:val="TableGrid"/>
        <w:tblW w:w="9776" w:type="dxa"/>
        <w:tblLook w:val="04A0" w:firstRow="1" w:lastRow="0" w:firstColumn="1" w:lastColumn="0" w:noHBand="0" w:noVBand="1"/>
      </w:tblPr>
      <w:tblGrid>
        <w:gridCol w:w="1756"/>
        <w:gridCol w:w="8020"/>
      </w:tblGrid>
      <w:tr w:rsidR="00384B66" w:rsidRPr="008F3140" w14:paraId="0227711C" w14:textId="77777777" w:rsidTr="004D24F7">
        <w:tc>
          <w:tcPr>
            <w:tcW w:w="1756" w:type="dxa"/>
          </w:tcPr>
          <w:p w14:paraId="0EE6F06C" w14:textId="77777777" w:rsidR="00384B66" w:rsidRPr="008F3140" w:rsidRDefault="00384B66" w:rsidP="002F7616">
            <w:pPr>
              <w:spacing w:after="0"/>
              <w:jc w:val="both"/>
              <w:rPr>
                <w:b/>
                <w:bCs/>
                <w:noProof/>
                <w:lang w:val="en-GB"/>
              </w:rPr>
            </w:pPr>
            <w:r w:rsidRPr="008F3140">
              <w:rPr>
                <w:b/>
                <w:bCs/>
                <w:noProof/>
                <w:lang w:val="en-GB"/>
              </w:rPr>
              <w:lastRenderedPageBreak/>
              <w:t>Company</w:t>
            </w:r>
          </w:p>
        </w:tc>
        <w:tc>
          <w:tcPr>
            <w:tcW w:w="8020" w:type="dxa"/>
          </w:tcPr>
          <w:p w14:paraId="4CA21C60" w14:textId="77777777" w:rsidR="00384B66" w:rsidRPr="008F3140" w:rsidRDefault="00384B66" w:rsidP="002F7616">
            <w:pPr>
              <w:spacing w:after="0"/>
              <w:jc w:val="both"/>
              <w:rPr>
                <w:b/>
                <w:bCs/>
                <w:noProof/>
                <w:lang w:val="en-GB"/>
              </w:rPr>
            </w:pPr>
            <w:r w:rsidRPr="008F3140">
              <w:rPr>
                <w:b/>
                <w:bCs/>
                <w:noProof/>
                <w:lang w:val="en-GB"/>
              </w:rPr>
              <w:t>Comments</w:t>
            </w:r>
          </w:p>
        </w:tc>
      </w:tr>
      <w:tr w:rsidR="00384B66" w:rsidRPr="008F3140" w14:paraId="7EF96CE2" w14:textId="77777777" w:rsidTr="004D24F7">
        <w:tc>
          <w:tcPr>
            <w:tcW w:w="1756" w:type="dxa"/>
          </w:tcPr>
          <w:p w14:paraId="3E2AF7AB" w14:textId="77777777" w:rsidR="00384B66" w:rsidRPr="008F3140" w:rsidRDefault="00384B66" w:rsidP="002F7616">
            <w:pPr>
              <w:spacing w:after="0"/>
              <w:jc w:val="both"/>
              <w:rPr>
                <w:rFonts w:eastAsiaTheme="minorEastAsia"/>
                <w:noProof/>
                <w:lang w:val="en-GB" w:eastAsia="zh-CN"/>
              </w:rPr>
            </w:pPr>
            <w:r>
              <w:rPr>
                <w:rFonts w:eastAsiaTheme="minorEastAsia"/>
                <w:noProof/>
                <w:lang w:val="en-GB" w:eastAsia="zh-CN"/>
              </w:rPr>
              <w:t>Ericsson</w:t>
            </w:r>
          </w:p>
        </w:tc>
        <w:tc>
          <w:tcPr>
            <w:tcW w:w="8020" w:type="dxa"/>
          </w:tcPr>
          <w:p w14:paraId="116C3351" w14:textId="4DFD28A0" w:rsidR="00384B66" w:rsidRPr="008F3140" w:rsidRDefault="00125C3B" w:rsidP="002F7616">
            <w:pPr>
              <w:spacing w:after="0"/>
              <w:jc w:val="both"/>
              <w:rPr>
                <w:noProof/>
                <w:lang w:val="en-GB"/>
              </w:rPr>
            </w:pPr>
            <w:r>
              <w:rPr>
                <w:noProof/>
                <w:lang w:val="en-GB"/>
              </w:rPr>
              <w:t>Yes!</w:t>
            </w:r>
            <w:r w:rsidR="00384B66">
              <w:rPr>
                <w:noProof/>
                <w:lang w:val="en-GB"/>
              </w:rPr>
              <w:t xml:space="preserve"> </w:t>
            </w:r>
          </w:p>
        </w:tc>
      </w:tr>
      <w:tr w:rsidR="00384B66" w:rsidRPr="008F3140" w14:paraId="6F71F167" w14:textId="77777777" w:rsidTr="004D24F7">
        <w:tc>
          <w:tcPr>
            <w:tcW w:w="1756" w:type="dxa"/>
          </w:tcPr>
          <w:p w14:paraId="41D31EBA" w14:textId="5A85DC27" w:rsidR="00384B66" w:rsidRPr="00D1605B" w:rsidRDefault="00D1605B" w:rsidP="002F7616">
            <w:pPr>
              <w:spacing w:after="0"/>
              <w:jc w:val="both"/>
              <w:rPr>
                <w:rFonts w:eastAsia="Yu Mincho"/>
                <w:noProof/>
                <w:lang w:val="en-GB"/>
              </w:rPr>
            </w:pPr>
            <w:r>
              <w:rPr>
                <w:rFonts w:eastAsia="Yu Mincho" w:hint="eastAsia"/>
                <w:noProof/>
                <w:lang w:val="en-GB"/>
              </w:rPr>
              <w:t>Q</w:t>
            </w:r>
            <w:r>
              <w:rPr>
                <w:rFonts w:eastAsia="Yu Mincho"/>
                <w:noProof/>
                <w:lang w:val="en-GB"/>
              </w:rPr>
              <w:t>ualcomm Incorporated</w:t>
            </w:r>
          </w:p>
        </w:tc>
        <w:tc>
          <w:tcPr>
            <w:tcW w:w="8020" w:type="dxa"/>
          </w:tcPr>
          <w:p w14:paraId="59851A00" w14:textId="10E3C203" w:rsidR="004D24F7" w:rsidRDefault="00D1605B" w:rsidP="002F7616">
            <w:pPr>
              <w:spacing w:after="0"/>
              <w:jc w:val="both"/>
              <w:rPr>
                <w:rFonts w:eastAsia="Yu Mincho"/>
                <w:noProof/>
                <w:lang w:val="en-GB"/>
              </w:rPr>
            </w:pPr>
            <w:r>
              <w:rPr>
                <w:rFonts w:eastAsia="Yu Mincho" w:hint="eastAsia"/>
                <w:noProof/>
                <w:lang w:val="en-GB"/>
              </w:rPr>
              <w:t>T</w:t>
            </w:r>
            <w:r>
              <w:rPr>
                <w:rFonts w:eastAsia="Yu Mincho"/>
                <w:noProof/>
                <w:lang w:val="en-GB"/>
              </w:rPr>
              <w:t>his is indeed desirable</w:t>
            </w:r>
            <w:r w:rsidR="004D24F7">
              <w:rPr>
                <w:rFonts w:eastAsia="Yu Mincho"/>
                <w:noProof/>
                <w:lang w:val="en-GB"/>
              </w:rPr>
              <w:t>, but probably needs careful review.</w:t>
            </w:r>
          </w:p>
          <w:p w14:paraId="5B4E8C87" w14:textId="12973E23" w:rsidR="00384B66" w:rsidRPr="000668F2" w:rsidRDefault="004D24F7" w:rsidP="002F7616">
            <w:pPr>
              <w:spacing w:after="0"/>
              <w:jc w:val="both"/>
              <w:rPr>
                <w:rFonts w:eastAsia="Yu Mincho"/>
                <w:noProof/>
                <w:lang w:val="en-GB"/>
              </w:rPr>
            </w:pPr>
            <w:r>
              <w:rPr>
                <w:rFonts w:eastAsia="Yu Mincho"/>
                <w:noProof/>
                <w:lang w:val="en-GB"/>
              </w:rPr>
              <w:t>T</w:t>
            </w:r>
            <w:r w:rsidR="00D1605B">
              <w:rPr>
                <w:rFonts w:eastAsia="Yu Mincho"/>
                <w:noProof/>
                <w:lang w:val="en-GB"/>
              </w:rPr>
              <w:t xml:space="preserve">here </w:t>
            </w:r>
            <w:r>
              <w:rPr>
                <w:rFonts w:eastAsia="Yu Mincho"/>
                <w:noProof/>
                <w:lang w:val="en-GB"/>
              </w:rPr>
              <w:t xml:space="preserve">are </w:t>
            </w:r>
            <w:r w:rsidR="00D1605B">
              <w:rPr>
                <w:rFonts w:eastAsia="Yu Mincho"/>
                <w:noProof/>
                <w:lang w:val="en-GB"/>
              </w:rPr>
              <w:t xml:space="preserve">cases in the current ASN.1 </w:t>
            </w:r>
            <w:r w:rsidR="000668F2">
              <w:rPr>
                <w:rFonts w:eastAsia="Yu Mincho"/>
                <w:noProof/>
                <w:lang w:val="en-GB"/>
              </w:rPr>
              <w:t xml:space="preserve">structure </w:t>
            </w:r>
            <w:r w:rsidR="00D1605B">
              <w:rPr>
                <w:rFonts w:eastAsia="Yu Mincho"/>
                <w:noProof/>
                <w:lang w:val="en-GB"/>
              </w:rPr>
              <w:t xml:space="preserve">that </w:t>
            </w:r>
            <w:r>
              <w:rPr>
                <w:rFonts w:eastAsia="Yu Mincho"/>
                <w:noProof/>
                <w:lang w:val="en-GB"/>
              </w:rPr>
              <w:t xml:space="preserve">the </w:t>
            </w:r>
            <w:r w:rsidR="00D1605B" w:rsidRPr="000668F2">
              <w:rPr>
                <w:rFonts w:eastAsia="Yu Mincho"/>
                <w:noProof/>
                <w:lang w:val="en-GB"/>
              </w:rPr>
              <w:t xml:space="preserve">same field </w:t>
            </w:r>
            <w:r>
              <w:rPr>
                <w:rFonts w:eastAsia="Yu Mincho"/>
                <w:noProof/>
                <w:lang w:val="en-GB"/>
              </w:rPr>
              <w:t>is</w:t>
            </w:r>
            <w:r w:rsidR="00D1605B" w:rsidRPr="000668F2">
              <w:rPr>
                <w:rFonts w:eastAsia="Yu Mincho"/>
                <w:noProof/>
                <w:lang w:val="en-GB"/>
              </w:rPr>
              <w:t xml:space="preserve"> included in </w:t>
            </w:r>
            <w:proofErr w:type="spellStart"/>
            <w:r w:rsidR="00D1605B" w:rsidRPr="000668F2">
              <w:rPr>
                <w:i/>
                <w:iCs/>
                <w:lang w:val="en-US" w:eastAsia="zh-CN"/>
              </w:rPr>
              <w:t>ServingCellConfigCommon</w:t>
            </w:r>
            <w:proofErr w:type="spellEnd"/>
            <w:r w:rsidR="00D1605B" w:rsidRPr="000668F2">
              <w:rPr>
                <w:i/>
                <w:iCs/>
                <w:lang w:val="en-US" w:eastAsia="zh-CN"/>
              </w:rPr>
              <w:t xml:space="preserve"> </w:t>
            </w:r>
            <w:r w:rsidR="00D1605B" w:rsidRPr="000668F2">
              <w:rPr>
                <w:lang w:val="en-US" w:eastAsia="zh-CN"/>
              </w:rPr>
              <w:t>and</w:t>
            </w:r>
            <w:r w:rsidR="00D1605B" w:rsidRPr="000668F2">
              <w:rPr>
                <w:i/>
                <w:iCs/>
                <w:lang w:val="en-US" w:eastAsia="zh-CN"/>
              </w:rPr>
              <w:t xml:space="preserve"> ServingCellConfig</w:t>
            </w:r>
            <w:r w:rsidR="000668F2" w:rsidRPr="000668F2">
              <w:rPr>
                <w:lang w:val="en-US" w:eastAsia="zh-CN"/>
              </w:rPr>
              <w:t xml:space="preserve">, e.g. </w:t>
            </w:r>
            <w:r w:rsidR="000668F2" w:rsidRPr="000668F2">
              <w:rPr>
                <w:rFonts w:cs="Arial"/>
                <w:i/>
                <w:iCs/>
                <w:lang w:val="en-GB"/>
              </w:rPr>
              <w:t>BWP-</w:t>
            </w:r>
            <w:proofErr w:type="spellStart"/>
            <w:r w:rsidR="000668F2" w:rsidRPr="000668F2">
              <w:rPr>
                <w:rFonts w:cs="Arial"/>
                <w:i/>
                <w:iCs/>
                <w:lang w:val="en-GB"/>
              </w:rPr>
              <w:t>DownlinkCommon</w:t>
            </w:r>
            <w:proofErr w:type="spellEnd"/>
            <w:r>
              <w:rPr>
                <w:rFonts w:cs="Arial"/>
                <w:i/>
                <w:iCs/>
                <w:lang w:val="en-GB"/>
              </w:rPr>
              <w:t xml:space="preserve">, </w:t>
            </w:r>
            <w:proofErr w:type="spellStart"/>
            <w:r w:rsidRPr="004D24F7">
              <w:rPr>
                <w:rFonts w:cs="Arial"/>
                <w:i/>
                <w:iCs/>
                <w:lang w:val="en-GB"/>
              </w:rPr>
              <w:t>SCS-SpecificCarrier</w:t>
            </w:r>
            <w:proofErr w:type="spellEnd"/>
            <w:r w:rsidR="000668F2" w:rsidRPr="000668F2">
              <w:rPr>
                <w:rFonts w:cs="Arial"/>
                <w:lang w:val="en-GB"/>
              </w:rPr>
              <w:t>. It is not clear what this suggestion means for those cases.</w:t>
            </w:r>
          </w:p>
        </w:tc>
      </w:tr>
      <w:tr w:rsidR="00384B66" w:rsidRPr="008F3140" w14:paraId="40F6914E" w14:textId="77777777" w:rsidTr="004D24F7">
        <w:tc>
          <w:tcPr>
            <w:tcW w:w="1756" w:type="dxa"/>
          </w:tcPr>
          <w:p w14:paraId="0146FEDF" w14:textId="65F9B64E" w:rsidR="00384B66" w:rsidRPr="008F3140" w:rsidRDefault="002B1C41" w:rsidP="002F7616">
            <w:pPr>
              <w:spacing w:after="0"/>
              <w:jc w:val="both"/>
              <w:rPr>
                <w:rFonts w:eastAsiaTheme="minorEastAsia"/>
                <w:noProof/>
                <w:lang w:val="en-GB" w:eastAsia="zh-CN"/>
              </w:rPr>
            </w:pPr>
            <w:r>
              <w:rPr>
                <w:rFonts w:eastAsiaTheme="minorEastAsia"/>
                <w:noProof/>
                <w:lang w:val="en-GB" w:eastAsia="zh-CN"/>
              </w:rPr>
              <w:t>MediaTek</w:t>
            </w:r>
          </w:p>
        </w:tc>
        <w:tc>
          <w:tcPr>
            <w:tcW w:w="8020" w:type="dxa"/>
          </w:tcPr>
          <w:p w14:paraId="2700A9DC" w14:textId="5A2D8FF5" w:rsidR="002B1C41" w:rsidRDefault="002B1C41" w:rsidP="002F7616">
            <w:pPr>
              <w:spacing w:after="0"/>
              <w:jc w:val="both"/>
              <w:rPr>
                <w:lang w:val="en-GB"/>
              </w:rPr>
            </w:pPr>
            <w:r>
              <w:rPr>
                <w:lang w:val="en-GB"/>
              </w:rPr>
              <w:t>Yes, in principle. There should be no delta configuration applicable for system information. The UE does not combine two SIB1 to make the finial configuration. We believe that “using Need R or Need N in SI” is already including in current ASN.1 rules.</w:t>
            </w:r>
          </w:p>
          <w:p w14:paraId="1BAC6DA2" w14:textId="572C0346" w:rsidR="00384B66" w:rsidRPr="008F3140" w:rsidRDefault="005F438B" w:rsidP="002F7616">
            <w:pPr>
              <w:spacing w:after="0"/>
              <w:jc w:val="both"/>
              <w:rPr>
                <w:lang w:val="en-GB"/>
              </w:rPr>
            </w:pPr>
            <w:r>
              <w:rPr>
                <w:lang w:val="en-GB"/>
              </w:rPr>
              <w:t>However, as QC pointed out, it would request careful review while same IE is used in both dedicated message and SI.</w:t>
            </w:r>
          </w:p>
        </w:tc>
      </w:tr>
      <w:tr w:rsidR="002B1C41" w:rsidRPr="008F3140" w14:paraId="3AF1B6AC" w14:textId="77777777" w:rsidTr="004D24F7">
        <w:tc>
          <w:tcPr>
            <w:tcW w:w="1756" w:type="dxa"/>
          </w:tcPr>
          <w:p w14:paraId="12B35798" w14:textId="1C194F50" w:rsidR="002B1C41" w:rsidRPr="008F3140" w:rsidRDefault="006230C4" w:rsidP="002F7616">
            <w:pPr>
              <w:spacing w:after="0"/>
              <w:jc w:val="both"/>
              <w:rPr>
                <w:rFonts w:eastAsiaTheme="minorEastAsia"/>
                <w:noProof/>
                <w:lang w:eastAsia="zh-CN"/>
              </w:rPr>
            </w:pPr>
            <w:r>
              <w:rPr>
                <w:rFonts w:eastAsiaTheme="minorEastAsia"/>
                <w:noProof/>
                <w:lang w:eastAsia="zh-CN"/>
              </w:rPr>
              <w:t>Intel</w:t>
            </w:r>
          </w:p>
        </w:tc>
        <w:tc>
          <w:tcPr>
            <w:tcW w:w="8020" w:type="dxa"/>
          </w:tcPr>
          <w:p w14:paraId="3C976B69" w14:textId="77777777" w:rsidR="00527201" w:rsidRPr="000A71D8" w:rsidRDefault="006230C4" w:rsidP="00527201">
            <w:pPr>
              <w:spacing w:after="0"/>
              <w:jc w:val="both"/>
              <w:rPr>
                <w:noProof/>
                <w:lang w:val="en-GB"/>
              </w:rPr>
            </w:pPr>
            <w:r>
              <w:rPr>
                <w:noProof/>
              </w:rPr>
              <w:t xml:space="preserve">While this is OK in principle, as mentioned above, it may not be possible for IEs that are used in dedicated and common signalling.  For these, we will a statement similar to what we </w:t>
            </w:r>
            <w:r w:rsidR="00527201">
              <w:rPr>
                <w:noProof/>
              </w:rPr>
              <w:t xml:space="preserve">already </w:t>
            </w:r>
            <w:r>
              <w:rPr>
                <w:noProof/>
              </w:rPr>
              <w:t xml:space="preserve">have for SIBs: </w:t>
            </w:r>
            <w:proofErr w:type="spellStart"/>
            <w:r w:rsidR="00527201">
              <w:rPr>
                <w:sz w:val="20"/>
                <w:szCs w:val="20"/>
              </w:rPr>
              <w:t>Any</w:t>
            </w:r>
            <w:proofErr w:type="spellEnd"/>
            <w:r w:rsidR="00527201">
              <w:rPr>
                <w:sz w:val="20"/>
                <w:szCs w:val="20"/>
              </w:rPr>
              <w:t xml:space="preserve"> </w:t>
            </w:r>
            <w:proofErr w:type="spellStart"/>
            <w:r w:rsidR="00527201">
              <w:rPr>
                <w:sz w:val="20"/>
                <w:szCs w:val="20"/>
              </w:rPr>
              <w:t>field</w:t>
            </w:r>
            <w:proofErr w:type="spellEnd"/>
            <w:r w:rsidR="00527201">
              <w:rPr>
                <w:sz w:val="20"/>
                <w:szCs w:val="20"/>
              </w:rPr>
              <w:t xml:space="preserve"> </w:t>
            </w:r>
            <w:proofErr w:type="spellStart"/>
            <w:r w:rsidR="00527201">
              <w:rPr>
                <w:sz w:val="20"/>
                <w:szCs w:val="20"/>
              </w:rPr>
              <w:t>with</w:t>
            </w:r>
            <w:proofErr w:type="spellEnd"/>
            <w:r w:rsidR="00527201">
              <w:rPr>
                <w:sz w:val="20"/>
                <w:szCs w:val="20"/>
              </w:rPr>
              <w:t xml:space="preserve"> Need M </w:t>
            </w:r>
            <w:proofErr w:type="spellStart"/>
            <w:r w:rsidR="00527201">
              <w:rPr>
                <w:sz w:val="20"/>
                <w:szCs w:val="20"/>
              </w:rPr>
              <w:t>or</w:t>
            </w:r>
            <w:proofErr w:type="spellEnd"/>
            <w:r w:rsidR="00527201">
              <w:rPr>
                <w:sz w:val="20"/>
                <w:szCs w:val="20"/>
              </w:rPr>
              <w:t xml:space="preserve"> Need N in </w:t>
            </w:r>
            <w:proofErr w:type="spellStart"/>
            <w:r w:rsidR="00527201">
              <w:rPr>
                <w:sz w:val="20"/>
                <w:szCs w:val="20"/>
              </w:rPr>
              <w:t>system</w:t>
            </w:r>
            <w:proofErr w:type="spellEnd"/>
            <w:r w:rsidR="00527201">
              <w:rPr>
                <w:sz w:val="20"/>
                <w:szCs w:val="20"/>
              </w:rPr>
              <w:t xml:space="preserve"> </w:t>
            </w:r>
            <w:proofErr w:type="spellStart"/>
            <w:r w:rsidR="00527201">
              <w:rPr>
                <w:sz w:val="20"/>
                <w:szCs w:val="20"/>
              </w:rPr>
              <w:t>information</w:t>
            </w:r>
            <w:proofErr w:type="spellEnd"/>
            <w:r w:rsidR="00527201">
              <w:rPr>
                <w:sz w:val="20"/>
                <w:szCs w:val="20"/>
              </w:rPr>
              <w:t xml:space="preserve"> </w:t>
            </w:r>
            <w:proofErr w:type="spellStart"/>
            <w:r w:rsidR="00527201">
              <w:rPr>
                <w:sz w:val="20"/>
                <w:szCs w:val="20"/>
              </w:rPr>
              <w:t>shall</w:t>
            </w:r>
            <w:proofErr w:type="spellEnd"/>
            <w:r w:rsidR="00527201">
              <w:rPr>
                <w:sz w:val="20"/>
                <w:szCs w:val="20"/>
              </w:rPr>
              <w:t xml:space="preserve"> </w:t>
            </w:r>
            <w:proofErr w:type="spellStart"/>
            <w:r w:rsidR="00527201">
              <w:rPr>
                <w:sz w:val="20"/>
                <w:szCs w:val="20"/>
              </w:rPr>
              <w:t>be</w:t>
            </w:r>
            <w:proofErr w:type="spellEnd"/>
            <w:r w:rsidR="00527201">
              <w:rPr>
                <w:sz w:val="20"/>
                <w:szCs w:val="20"/>
              </w:rPr>
              <w:t xml:space="preserve"> </w:t>
            </w:r>
            <w:proofErr w:type="spellStart"/>
            <w:r w:rsidR="00527201">
              <w:rPr>
                <w:sz w:val="20"/>
                <w:szCs w:val="20"/>
              </w:rPr>
              <w:t>interpreted</w:t>
            </w:r>
            <w:proofErr w:type="spellEnd"/>
            <w:r w:rsidR="00527201">
              <w:rPr>
                <w:sz w:val="20"/>
                <w:szCs w:val="20"/>
              </w:rPr>
              <w:t xml:space="preserve"> </w:t>
            </w:r>
            <w:proofErr w:type="spellStart"/>
            <w:r w:rsidR="00527201">
              <w:rPr>
                <w:sz w:val="20"/>
                <w:szCs w:val="20"/>
              </w:rPr>
              <w:t>as</w:t>
            </w:r>
            <w:proofErr w:type="spellEnd"/>
            <w:r w:rsidR="00527201">
              <w:rPr>
                <w:sz w:val="20"/>
                <w:szCs w:val="20"/>
              </w:rPr>
              <w:t xml:space="preserve"> Need R.</w:t>
            </w:r>
          </w:p>
          <w:p w14:paraId="05341AB8" w14:textId="18007B5B" w:rsidR="002B1C41" w:rsidRPr="008F3140" w:rsidRDefault="002B1C41" w:rsidP="002F7616">
            <w:pPr>
              <w:spacing w:after="0"/>
              <w:jc w:val="both"/>
              <w:rPr>
                <w:noProof/>
              </w:rPr>
            </w:pPr>
          </w:p>
        </w:tc>
      </w:tr>
      <w:tr w:rsidR="00E609F0" w:rsidRPr="008F3140" w14:paraId="0D7A1AC9" w14:textId="77777777" w:rsidTr="004D24F7">
        <w:tc>
          <w:tcPr>
            <w:tcW w:w="1756" w:type="dxa"/>
          </w:tcPr>
          <w:p w14:paraId="76A20057" w14:textId="20623789" w:rsidR="00E609F0" w:rsidRDefault="00E609F0" w:rsidP="002F7616">
            <w:pPr>
              <w:spacing w:after="0"/>
              <w:jc w:val="both"/>
              <w:rPr>
                <w:rFonts w:eastAsiaTheme="minorEastAsia"/>
                <w:noProof/>
                <w:lang w:eastAsia="zh-CN"/>
              </w:rPr>
            </w:pPr>
            <w:r>
              <w:rPr>
                <w:rFonts w:eastAsiaTheme="minorEastAsia" w:hint="eastAsia"/>
                <w:noProof/>
                <w:lang w:eastAsia="zh-CN"/>
              </w:rPr>
              <w:t>CATT</w:t>
            </w:r>
          </w:p>
        </w:tc>
        <w:tc>
          <w:tcPr>
            <w:tcW w:w="8020" w:type="dxa"/>
          </w:tcPr>
          <w:p w14:paraId="3FF3F7E6" w14:textId="6883E37E" w:rsidR="00E609F0" w:rsidRPr="00E609F0" w:rsidRDefault="00114231" w:rsidP="000E2DA6">
            <w:pPr>
              <w:spacing w:after="0"/>
              <w:jc w:val="both"/>
              <w:rPr>
                <w:rFonts w:eastAsiaTheme="minorEastAsia"/>
                <w:noProof/>
                <w:lang w:eastAsia="zh-CN"/>
              </w:rPr>
            </w:pPr>
            <w:r>
              <w:rPr>
                <w:rFonts w:eastAsiaTheme="minorEastAsia" w:hint="eastAsia"/>
                <w:noProof/>
                <w:lang w:eastAsia="zh-CN"/>
              </w:rPr>
              <w:t>Yes, from Rel-16.</w:t>
            </w:r>
          </w:p>
        </w:tc>
      </w:tr>
      <w:tr w:rsidR="000F0FBF" w:rsidRPr="008F3140" w14:paraId="59F61C46" w14:textId="77777777" w:rsidTr="004D24F7">
        <w:tc>
          <w:tcPr>
            <w:tcW w:w="1756" w:type="dxa"/>
          </w:tcPr>
          <w:p w14:paraId="0505EB97" w14:textId="2DA97E9A" w:rsidR="000F0FBF" w:rsidRDefault="000F0FBF" w:rsidP="002F7616">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4F2BAF6F" w14:textId="53B73D14" w:rsidR="000F0FBF" w:rsidRDefault="000F0FBF" w:rsidP="000E2DA6">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gree with Intel. For those fields also used in dedicated configurations, the existing statemetn is still valid.</w:t>
            </w:r>
          </w:p>
        </w:tc>
      </w:tr>
      <w:tr w:rsidR="00C31C30" w:rsidRPr="008F3140" w14:paraId="5E68D3A7" w14:textId="77777777" w:rsidTr="004D24F7">
        <w:tc>
          <w:tcPr>
            <w:tcW w:w="1756" w:type="dxa"/>
          </w:tcPr>
          <w:p w14:paraId="7F8991E4" w14:textId="6672D593" w:rsidR="00C31C30" w:rsidRDefault="00C31C30" w:rsidP="002F7616">
            <w:pPr>
              <w:spacing w:after="0"/>
              <w:jc w:val="both"/>
              <w:rPr>
                <w:rFonts w:eastAsiaTheme="minorEastAsia"/>
                <w:noProof/>
                <w:lang w:eastAsia="zh-CN"/>
              </w:rPr>
            </w:pPr>
            <w:r>
              <w:rPr>
                <w:rFonts w:eastAsiaTheme="minorEastAsia"/>
                <w:noProof/>
                <w:lang w:eastAsia="zh-CN"/>
              </w:rPr>
              <w:t>Nokia</w:t>
            </w:r>
          </w:p>
        </w:tc>
        <w:tc>
          <w:tcPr>
            <w:tcW w:w="8020" w:type="dxa"/>
          </w:tcPr>
          <w:p w14:paraId="5BAEDD33" w14:textId="37A8924E" w:rsidR="00C31C30" w:rsidRDefault="00C31C30" w:rsidP="000E2DA6">
            <w:pPr>
              <w:spacing w:after="0"/>
              <w:jc w:val="both"/>
              <w:rPr>
                <w:rFonts w:eastAsiaTheme="minorEastAsia"/>
                <w:noProof/>
                <w:lang w:eastAsia="zh-CN"/>
              </w:rPr>
            </w:pPr>
            <w:r>
              <w:rPr>
                <w:rFonts w:eastAsiaTheme="minorEastAsia"/>
                <w:noProof/>
                <w:lang w:eastAsia="zh-CN"/>
              </w:rPr>
              <w:t>Agree with Intel</w:t>
            </w:r>
            <w:r w:rsidR="008D724A">
              <w:rPr>
                <w:rFonts w:eastAsiaTheme="minorEastAsia"/>
                <w:noProof/>
                <w:lang w:eastAsia="zh-CN"/>
              </w:rPr>
              <w:t xml:space="preserve">: </w:t>
            </w:r>
            <w:r w:rsidR="00F95D59">
              <w:rPr>
                <w:rFonts w:eastAsiaTheme="minorEastAsia"/>
                <w:noProof/>
                <w:lang w:eastAsia="zh-CN"/>
              </w:rPr>
              <w:t xml:space="preserve">We cannot always used Need R </w:t>
            </w:r>
            <w:r w:rsidR="00750467">
              <w:rPr>
                <w:rFonts w:eastAsiaTheme="minorEastAsia"/>
                <w:noProof/>
                <w:lang w:eastAsia="zh-CN"/>
              </w:rPr>
              <w:t>for all (child) fields</w:t>
            </w:r>
            <w:r w:rsidR="00F95D59">
              <w:rPr>
                <w:rFonts w:eastAsiaTheme="minorEastAsia"/>
                <w:noProof/>
                <w:lang w:eastAsia="zh-CN"/>
              </w:rPr>
              <w:t xml:space="preserve"> if the same configuration is used also in dedicated signalling. That's also why we have the statement for Need N/M - fields in SIBs</w:t>
            </w:r>
            <w:r>
              <w:rPr>
                <w:rFonts w:eastAsiaTheme="minorEastAsia"/>
                <w:noProof/>
                <w:lang w:eastAsia="zh-CN"/>
              </w:rPr>
              <w:t>.</w:t>
            </w:r>
          </w:p>
        </w:tc>
      </w:tr>
    </w:tbl>
    <w:p w14:paraId="7A219C77" w14:textId="77777777" w:rsidR="00384B66" w:rsidRDefault="00384B66" w:rsidP="00D55A48"/>
    <w:bookmarkEnd w:id="2"/>
    <w:p w14:paraId="7FFAC03E" w14:textId="6289EBAD" w:rsidR="00C01F33" w:rsidRPr="00CE0424" w:rsidRDefault="00A45FE7" w:rsidP="00CE0424">
      <w:pPr>
        <w:pStyle w:val="Heading1"/>
      </w:pPr>
      <w:r>
        <w:t>4</w:t>
      </w:r>
      <w:r w:rsidR="00EC4447">
        <w:tab/>
      </w:r>
      <w:r w:rsidR="00C01F33" w:rsidRPr="00CE0424">
        <w:t>Conclusion</w:t>
      </w:r>
    </w:p>
    <w:p w14:paraId="2BE4CBBD" w14:textId="2E2DF095" w:rsidR="00040095" w:rsidRPr="00040095" w:rsidRDefault="006D30D0" w:rsidP="006E1C82">
      <w:pPr>
        <w:pStyle w:val="BodyText"/>
        <w:rPr>
          <w:lang w:val="en-US"/>
        </w:rPr>
      </w:pPr>
      <w:r>
        <w:rPr>
          <w:lang w:val="en-US"/>
        </w:rPr>
        <w:t>&lt;To be added later&gt;</w:t>
      </w:r>
    </w:p>
    <w:sectPr w:rsidR="00040095" w:rsidRPr="00040095"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278AE" w14:textId="77777777" w:rsidR="002E4B5A" w:rsidRDefault="002E4B5A">
      <w:r>
        <w:separator/>
      </w:r>
    </w:p>
  </w:endnote>
  <w:endnote w:type="continuationSeparator" w:id="0">
    <w:p w14:paraId="579E28FF" w14:textId="77777777" w:rsidR="002E4B5A" w:rsidRDefault="002E4B5A">
      <w:r>
        <w:continuationSeparator/>
      </w:r>
    </w:p>
  </w:endnote>
  <w:endnote w:type="continuationNotice" w:id="1">
    <w:p w14:paraId="76E3FBF2" w14:textId="77777777" w:rsidR="002E4B5A" w:rsidRDefault="002E4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41B4" w14:textId="77777777" w:rsidR="002E4B5A" w:rsidRDefault="002E4B5A">
      <w:r>
        <w:separator/>
      </w:r>
    </w:p>
  </w:footnote>
  <w:footnote w:type="continuationSeparator" w:id="0">
    <w:p w14:paraId="60059358" w14:textId="77777777" w:rsidR="002E4B5A" w:rsidRDefault="002E4B5A">
      <w:r>
        <w:continuationSeparator/>
      </w:r>
    </w:p>
  </w:footnote>
  <w:footnote w:type="continuationNotice" w:id="1">
    <w:p w14:paraId="00CFFC03" w14:textId="77777777" w:rsidR="002E4B5A" w:rsidRDefault="002E4B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DBD058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E8B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F5B71"/>
    <w:multiLevelType w:val="hybridMultilevel"/>
    <w:tmpl w:val="60224D24"/>
    <w:lvl w:ilvl="0" w:tplc="AB6CE854">
      <w:start w:val="5"/>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B00EF"/>
    <w:multiLevelType w:val="hybridMultilevel"/>
    <w:tmpl w:val="135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3"/>
  </w:num>
  <w:num w:numId="7">
    <w:abstractNumId w:val="13"/>
  </w:num>
  <w:num w:numId="8">
    <w:abstractNumId w:val="16"/>
  </w:num>
  <w:num w:numId="9">
    <w:abstractNumId w:val="7"/>
  </w:num>
  <w:num w:numId="10">
    <w:abstractNumId w:val="39"/>
  </w:num>
  <w:num w:numId="11">
    <w:abstractNumId w:val="19"/>
  </w:num>
  <w:num w:numId="12">
    <w:abstractNumId w:val="37"/>
  </w:num>
  <w:num w:numId="13">
    <w:abstractNumId w:val="38"/>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2"/>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6"/>
  </w:num>
  <w:num w:numId="31">
    <w:abstractNumId w:val="20"/>
  </w:num>
  <w:num w:numId="32">
    <w:abstractNumId w:val="12"/>
  </w:num>
  <w:num w:numId="33">
    <w:abstractNumId w:val="14"/>
  </w:num>
  <w:num w:numId="34">
    <w:abstractNumId w:val="31"/>
  </w:num>
  <w:num w:numId="35">
    <w:abstractNumId w:val="34"/>
  </w:num>
  <w:num w:numId="36">
    <w:abstractNumId w:val="30"/>
  </w:num>
  <w:num w:numId="37">
    <w:abstractNumId w:val="35"/>
  </w:num>
  <w:num w:numId="38">
    <w:abstractNumId w:val="41"/>
  </w:num>
  <w:num w:numId="39">
    <w:abstractNumId w:val="11"/>
  </w:num>
  <w:num w:numId="40">
    <w:abstractNumId w:val="43"/>
  </w:num>
  <w:num w:numId="41">
    <w:abstractNumId w:val="25"/>
  </w:num>
  <w:num w:numId="42">
    <w:abstractNumId w:val="4"/>
  </w:num>
  <w:num w:numId="43">
    <w:abstractNumId w:val="2"/>
  </w:num>
  <w:num w:numId="44">
    <w:abstractNumId w:val="1"/>
  </w:num>
  <w:num w:numId="45">
    <w:abstractNumId w:val="21"/>
  </w:num>
  <w:num w:numId="46">
    <w:abstractNumId w:val="40"/>
  </w:num>
  <w:num w:numId="4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0E1"/>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17F80"/>
    <w:rsid w:val="00020F8B"/>
    <w:rsid w:val="000211C1"/>
    <w:rsid w:val="000217AD"/>
    <w:rsid w:val="00021D47"/>
    <w:rsid w:val="00022A90"/>
    <w:rsid w:val="00023ECF"/>
    <w:rsid w:val="00023F88"/>
    <w:rsid w:val="00025631"/>
    <w:rsid w:val="0002564D"/>
    <w:rsid w:val="00025ECA"/>
    <w:rsid w:val="00030119"/>
    <w:rsid w:val="000325B8"/>
    <w:rsid w:val="00033D1F"/>
    <w:rsid w:val="00034C15"/>
    <w:rsid w:val="00034EE9"/>
    <w:rsid w:val="00036B44"/>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C55"/>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8F2"/>
    <w:rsid w:val="00066CC6"/>
    <w:rsid w:val="000736E2"/>
    <w:rsid w:val="00073AFF"/>
    <w:rsid w:val="000742E9"/>
    <w:rsid w:val="000746A1"/>
    <w:rsid w:val="00074DA6"/>
    <w:rsid w:val="0007530E"/>
    <w:rsid w:val="00075979"/>
    <w:rsid w:val="00075C8D"/>
    <w:rsid w:val="00075C94"/>
    <w:rsid w:val="00075F85"/>
    <w:rsid w:val="00076BA0"/>
    <w:rsid w:val="00077E5F"/>
    <w:rsid w:val="0008036A"/>
    <w:rsid w:val="0008069D"/>
    <w:rsid w:val="00081AE6"/>
    <w:rsid w:val="00082E5A"/>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1D8"/>
    <w:rsid w:val="000A7CD3"/>
    <w:rsid w:val="000A7D7D"/>
    <w:rsid w:val="000B0A42"/>
    <w:rsid w:val="000B1FD4"/>
    <w:rsid w:val="000B2719"/>
    <w:rsid w:val="000B3654"/>
    <w:rsid w:val="000B3A8F"/>
    <w:rsid w:val="000B3D86"/>
    <w:rsid w:val="000B3E87"/>
    <w:rsid w:val="000B3ECD"/>
    <w:rsid w:val="000B4AB9"/>
    <w:rsid w:val="000B4B3B"/>
    <w:rsid w:val="000B5070"/>
    <w:rsid w:val="000B568A"/>
    <w:rsid w:val="000B58C3"/>
    <w:rsid w:val="000B61E9"/>
    <w:rsid w:val="000C165A"/>
    <w:rsid w:val="000C1C9E"/>
    <w:rsid w:val="000C2622"/>
    <w:rsid w:val="000C2E19"/>
    <w:rsid w:val="000C30D4"/>
    <w:rsid w:val="000C33B7"/>
    <w:rsid w:val="000C3929"/>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2DA6"/>
    <w:rsid w:val="000E36E1"/>
    <w:rsid w:val="000E3911"/>
    <w:rsid w:val="000E3F75"/>
    <w:rsid w:val="000E5A91"/>
    <w:rsid w:val="000E7C17"/>
    <w:rsid w:val="000E7CF8"/>
    <w:rsid w:val="000E7FF9"/>
    <w:rsid w:val="000F06D6"/>
    <w:rsid w:val="000F0EB1"/>
    <w:rsid w:val="000F0F0B"/>
    <w:rsid w:val="000F0FBF"/>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E8A"/>
    <w:rsid w:val="00113F76"/>
    <w:rsid w:val="00114231"/>
    <w:rsid w:val="00114F99"/>
    <w:rsid w:val="001153EA"/>
    <w:rsid w:val="00115643"/>
    <w:rsid w:val="00115E03"/>
    <w:rsid w:val="00116765"/>
    <w:rsid w:val="00116C1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5C3B"/>
    <w:rsid w:val="00126059"/>
    <w:rsid w:val="00126758"/>
    <w:rsid w:val="00126B4A"/>
    <w:rsid w:val="00127763"/>
    <w:rsid w:val="001278A7"/>
    <w:rsid w:val="00127CC4"/>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5EBB"/>
    <w:rsid w:val="001464FD"/>
    <w:rsid w:val="00146542"/>
    <w:rsid w:val="0014789A"/>
    <w:rsid w:val="001478DC"/>
    <w:rsid w:val="00147D92"/>
    <w:rsid w:val="001500DB"/>
    <w:rsid w:val="00151065"/>
    <w:rsid w:val="00151692"/>
    <w:rsid w:val="00151E23"/>
    <w:rsid w:val="00151F7A"/>
    <w:rsid w:val="001526E0"/>
    <w:rsid w:val="00152A28"/>
    <w:rsid w:val="0015321F"/>
    <w:rsid w:val="00153A1B"/>
    <w:rsid w:val="001551B5"/>
    <w:rsid w:val="0015559E"/>
    <w:rsid w:val="00155CA0"/>
    <w:rsid w:val="0015647C"/>
    <w:rsid w:val="00156D0A"/>
    <w:rsid w:val="001578BC"/>
    <w:rsid w:val="001608F0"/>
    <w:rsid w:val="0016096C"/>
    <w:rsid w:val="0016224A"/>
    <w:rsid w:val="001637C7"/>
    <w:rsid w:val="0016380A"/>
    <w:rsid w:val="00163A3C"/>
    <w:rsid w:val="0016480C"/>
    <w:rsid w:val="00164BE8"/>
    <w:rsid w:val="001651B2"/>
    <w:rsid w:val="001658DE"/>
    <w:rsid w:val="001659C1"/>
    <w:rsid w:val="00165DE9"/>
    <w:rsid w:val="001678AA"/>
    <w:rsid w:val="00167BE7"/>
    <w:rsid w:val="0017011C"/>
    <w:rsid w:val="00170DEC"/>
    <w:rsid w:val="00171B20"/>
    <w:rsid w:val="00172117"/>
    <w:rsid w:val="00173982"/>
    <w:rsid w:val="00173A8E"/>
    <w:rsid w:val="00174F53"/>
    <w:rsid w:val="0017502C"/>
    <w:rsid w:val="0017568F"/>
    <w:rsid w:val="0017576E"/>
    <w:rsid w:val="0018143F"/>
    <w:rsid w:val="00181FF8"/>
    <w:rsid w:val="00182D40"/>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6517"/>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29C"/>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7D2"/>
    <w:rsid w:val="001B6A5A"/>
    <w:rsid w:val="001B7D4E"/>
    <w:rsid w:val="001C09B9"/>
    <w:rsid w:val="001C0AA6"/>
    <w:rsid w:val="001C0BBD"/>
    <w:rsid w:val="001C1CE5"/>
    <w:rsid w:val="001C3017"/>
    <w:rsid w:val="001C3C43"/>
    <w:rsid w:val="001C3D2A"/>
    <w:rsid w:val="001C477F"/>
    <w:rsid w:val="001C4B31"/>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0CA3"/>
    <w:rsid w:val="001E129A"/>
    <w:rsid w:val="001E13E6"/>
    <w:rsid w:val="001E1D74"/>
    <w:rsid w:val="001E1E1A"/>
    <w:rsid w:val="001E301D"/>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8F1"/>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480E"/>
    <w:rsid w:val="002453B5"/>
    <w:rsid w:val="00245617"/>
    <w:rsid w:val="002458EB"/>
    <w:rsid w:val="0024701F"/>
    <w:rsid w:val="00247579"/>
    <w:rsid w:val="002500C8"/>
    <w:rsid w:val="00250C35"/>
    <w:rsid w:val="00250F49"/>
    <w:rsid w:val="00251362"/>
    <w:rsid w:val="00252C3D"/>
    <w:rsid w:val="00252E9E"/>
    <w:rsid w:val="00252F6B"/>
    <w:rsid w:val="00253AC8"/>
    <w:rsid w:val="00254B31"/>
    <w:rsid w:val="00254D57"/>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CA5"/>
    <w:rsid w:val="00276E4B"/>
    <w:rsid w:val="00276FC8"/>
    <w:rsid w:val="002772DB"/>
    <w:rsid w:val="0028018F"/>
    <w:rsid w:val="00280573"/>
    <w:rsid w:val="002805F5"/>
    <w:rsid w:val="00280751"/>
    <w:rsid w:val="0028154C"/>
    <w:rsid w:val="00281C29"/>
    <w:rsid w:val="0028280A"/>
    <w:rsid w:val="00283FCF"/>
    <w:rsid w:val="00284539"/>
    <w:rsid w:val="00284CD5"/>
    <w:rsid w:val="00285BB7"/>
    <w:rsid w:val="00286159"/>
    <w:rsid w:val="002865FB"/>
    <w:rsid w:val="00286A80"/>
    <w:rsid w:val="00286ACD"/>
    <w:rsid w:val="0028739C"/>
    <w:rsid w:val="002873DD"/>
    <w:rsid w:val="00287838"/>
    <w:rsid w:val="00290288"/>
    <w:rsid w:val="0029050C"/>
    <w:rsid w:val="002907B5"/>
    <w:rsid w:val="00290880"/>
    <w:rsid w:val="00291228"/>
    <w:rsid w:val="00291786"/>
    <w:rsid w:val="00292AB1"/>
    <w:rsid w:val="00292B23"/>
    <w:rsid w:val="00292EB7"/>
    <w:rsid w:val="002937E9"/>
    <w:rsid w:val="0029411E"/>
    <w:rsid w:val="00294410"/>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5897"/>
    <w:rsid w:val="002A6FAE"/>
    <w:rsid w:val="002A7B16"/>
    <w:rsid w:val="002B103B"/>
    <w:rsid w:val="002B1C41"/>
    <w:rsid w:val="002B1FA8"/>
    <w:rsid w:val="002B24D6"/>
    <w:rsid w:val="002B2C53"/>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2977"/>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359"/>
    <w:rsid w:val="002D48B0"/>
    <w:rsid w:val="002D5B37"/>
    <w:rsid w:val="002D5F30"/>
    <w:rsid w:val="002D6DDC"/>
    <w:rsid w:val="002D6F25"/>
    <w:rsid w:val="002D7637"/>
    <w:rsid w:val="002D7943"/>
    <w:rsid w:val="002E054C"/>
    <w:rsid w:val="002E0D25"/>
    <w:rsid w:val="002E0FFA"/>
    <w:rsid w:val="002E140E"/>
    <w:rsid w:val="002E1705"/>
    <w:rsid w:val="002E17F2"/>
    <w:rsid w:val="002E209C"/>
    <w:rsid w:val="002E4B5A"/>
    <w:rsid w:val="002E52FB"/>
    <w:rsid w:val="002E7040"/>
    <w:rsid w:val="002E769E"/>
    <w:rsid w:val="002E7A2C"/>
    <w:rsid w:val="002E7A65"/>
    <w:rsid w:val="002E7CAE"/>
    <w:rsid w:val="002F0B16"/>
    <w:rsid w:val="002F1DCD"/>
    <w:rsid w:val="002F2771"/>
    <w:rsid w:val="002F30C9"/>
    <w:rsid w:val="002F3669"/>
    <w:rsid w:val="002F3692"/>
    <w:rsid w:val="002F36B5"/>
    <w:rsid w:val="002F37A9"/>
    <w:rsid w:val="002F4A14"/>
    <w:rsid w:val="002F4BAF"/>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1DF"/>
    <w:rsid w:val="00307623"/>
    <w:rsid w:val="00307BA1"/>
    <w:rsid w:val="00310749"/>
    <w:rsid w:val="00310BB4"/>
    <w:rsid w:val="0031129E"/>
    <w:rsid w:val="00311702"/>
    <w:rsid w:val="00311897"/>
    <w:rsid w:val="003118FF"/>
    <w:rsid w:val="00311E82"/>
    <w:rsid w:val="0031299A"/>
    <w:rsid w:val="003137DE"/>
    <w:rsid w:val="00313FD6"/>
    <w:rsid w:val="003143BD"/>
    <w:rsid w:val="00314734"/>
    <w:rsid w:val="00315363"/>
    <w:rsid w:val="00316870"/>
    <w:rsid w:val="00317C4D"/>
    <w:rsid w:val="003203ED"/>
    <w:rsid w:val="00321165"/>
    <w:rsid w:val="003214D8"/>
    <w:rsid w:val="00321CC3"/>
    <w:rsid w:val="00322C9F"/>
    <w:rsid w:val="003236CE"/>
    <w:rsid w:val="00323851"/>
    <w:rsid w:val="00323BBF"/>
    <w:rsid w:val="00323E94"/>
    <w:rsid w:val="00323EDD"/>
    <w:rsid w:val="00324C11"/>
    <w:rsid w:val="00324C3F"/>
    <w:rsid w:val="00324D23"/>
    <w:rsid w:val="00324DAC"/>
    <w:rsid w:val="00324E24"/>
    <w:rsid w:val="00326188"/>
    <w:rsid w:val="00326C4F"/>
    <w:rsid w:val="00326C80"/>
    <w:rsid w:val="0032798D"/>
    <w:rsid w:val="00327B90"/>
    <w:rsid w:val="003302A9"/>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94C"/>
    <w:rsid w:val="00361A3F"/>
    <w:rsid w:val="00362537"/>
    <w:rsid w:val="00364462"/>
    <w:rsid w:val="00364B86"/>
    <w:rsid w:val="0036547B"/>
    <w:rsid w:val="00365B0F"/>
    <w:rsid w:val="00365F10"/>
    <w:rsid w:val="00366A80"/>
    <w:rsid w:val="00367248"/>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4B66"/>
    <w:rsid w:val="0038547C"/>
    <w:rsid w:val="003856B3"/>
    <w:rsid w:val="003856D3"/>
    <w:rsid w:val="00385BF0"/>
    <w:rsid w:val="003865A1"/>
    <w:rsid w:val="00387714"/>
    <w:rsid w:val="00387867"/>
    <w:rsid w:val="003919C8"/>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064"/>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53"/>
    <w:rsid w:val="003C13E7"/>
    <w:rsid w:val="003C1540"/>
    <w:rsid w:val="003C1F2E"/>
    <w:rsid w:val="003C232B"/>
    <w:rsid w:val="003C2702"/>
    <w:rsid w:val="003C27CA"/>
    <w:rsid w:val="003C2C35"/>
    <w:rsid w:val="003C2D19"/>
    <w:rsid w:val="003C3078"/>
    <w:rsid w:val="003C3926"/>
    <w:rsid w:val="003C459B"/>
    <w:rsid w:val="003C4A1B"/>
    <w:rsid w:val="003C4B98"/>
    <w:rsid w:val="003C4DD9"/>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3EA"/>
    <w:rsid w:val="003D4A16"/>
    <w:rsid w:val="003D5175"/>
    <w:rsid w:val="003D53A2"/>
    <w:rsid w:val="003D5B1F"/>
    <w:rsid w:val="003D5B88"/>
    <w:rsid w:val="003D7AE1"/>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2210"/>
    <w:rsid w:val="003F28D9"/>
    <w:rsid w:val="003F2CD4"/>
    <w:rsid w:val="003F30FE"/>
    <w:rsid w:val="003F31CF"/>
    <w:rsid w:val="003F434A"/>
    <w:rsid w:val="003F6051"/>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150"/>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372"/>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A5"/>
    <w:rsid w:val="004B0C6D"/>
    <w:rsid w:val="004B0C76"/>
    <w:rsid w:val="004B0CFD"/>
    <w:rsid w:val="004B20B8"/>
    <w:rsid w:val="004B25D5"/>
    <w:rsid w:val="004B3BBD"/>
    <w:rsid w:val="004B3C44"/>
    <w:rsid w:val="004B50A3"/>
    <w:rsid w:val="004B56A9"/>
    <w:rsid w:val="004B5EAE"/>
    <w:rsid w:val="004B6614"/>
    <w:rsid w:val="004B6CA5"/>
    <w:rsid w:val="004B6CF0"/>
    <w:rsid w:val="004B6F6A"/>
    <w:rsid w:val="004B7187"/>
    <w:rsid w:val="004B72EF"/>
    <w:rsid w:val="004B782E"/>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4F7"/>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780"/>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476B"/>
    <w:rsid w:val="00506557"/>
    <w:rsid w:val="005065DF"/>
    <w:rsid w:val="0050677A"/>
    <w:rsid w:val="00510132"/>
    <w:rsid w:val="005108D8"/>
    <w:rsid w:val="00510DCB"/>
    <w:rsid w:val="005116F9"/>
    <w:rsid w:val="00511ED9"/>
    <w:rsid w:val="00512FA7"/>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201"/>
    <w:rsid w:val="005279A2"/>
    <w:rsid w:val="00527CD9"/>
    <w:rsid w:val="005302A7"/>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A81"/>
    <w:rsid w:val="00547E33"/>
    <w:rsid w:val="00550438"/>
    <w:rsid w:val="0055078B"/>
    <w:rsid w:val="005510A2"/>
    <w:rsid w:val="005516E8"/>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322"/>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08E4"/>
    <w:rsid w:val="005E2054"/>
    <w:rsid w:val="005E36B0"/>
    <w:rsid w:val="005E385F"/>
    <w:rsid w:val="005E43B2"/>
    <w:rsid w:val="005E4441"/>
    <w:rsid w:val="005E4487"/>
    <w:rsid w:val="005E4B27"/>
    <w:rsid w:val="005E4B4D"/>
    <w:rsid w:val="005E5B81"/>
    <w:rsid w:val="005E724E"/>
    <w:rsid w:val="005F015B"/>
    <w:rsid w:val="005F1E63"/>
    <w:rsid w:val="005F265E"/>
    <w:rsid w:val="005F2C7F"/>
    <w:rsid w:val="005F2CB1"/>
    <w:rsid w:val="005F3025"/>
    <w:rsid w:val="005F41A2"/>
    <w:rsid w:val="005F4228"/>
    <w:rsid w:val="005F438B"/>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3E7E"/>
    <w:rsid w:val="006141C6"/>
    <w:rsid w:val="006144C3"/>
    <w:rsid w:val="00614FF8"/>
    <w:rsid w:val="00615271"/>
    <w:rsid w:val="0061578A"/>
    <w:rsid w:val="00616A30"/>
    <w:rsid w:val="00616B07"/>
    <w:rsid w:val="006172FB"/>
    <w:rsid w:val="00620A45"/>
    <w:rsid w:val="00620A71"/>
    <w:rsid w:val="00620D80"/>
    <w:rsid w:val="00620EE8"/>
    <w:rsid w:val="006210B7"/>
    <w:rsid w:val="00621DEC"/>
    <w:rsid w:val="006230C4"/>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619"/>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C47"/>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D6C"/>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CF6"/>
    <w:rsid w:val="006C6F7B"/>
    <w:rsid w:val="006C7522"/>
    <w:rsid w:val="006D08CA"/>
    <w:rsid w:val="006D0DF1"/>
    <w:rsid w:val="006D30D0"/>
    <w:rsid w:val="006D3399"/>
    <w:rsid w:val="006D4ADA"/>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2DE"/>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95F"/>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2B3"/>
    <w:rsid w:val="0073659F"/>
    <w:rsid w:val="00736D7D"/>
    <w:rsid w:val="0073707D"/>
    <w:rsid w:val="0074046A"/>
    <w:rsid w:val="00740E58"/>
    <w:rsid w:val="007435E9"/>
    <w:rsid w:val="007445A0"/>
    <w:rsid w:val="00744603"/>
    <w:rsid w:val="0074524B"/>
    <w:rsid w:val="00745328"/>
    <w:rsid w:val="007459F2"/>
    <w:rsid w:val="00747820"/>
    <w:rsid w:val="00747B54"/>
    <w:rsid w:val="00747D8B"/>
    <w:rsid w:val="00750467"/>
    <w:rsid w:val="00750B38"/>
    <w:rsid w:val="00751228"/>
    <w:rsid w:val="00751451"/>
    <w:rsid w:val="0075199A"/>
    <w:rsid w:val="0075276C"/>
    <w:rsid w:val="00752785"/>
    <w:rsid w:val="0075579A"/>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5FC5"/>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51"/>
    <w:rsid w:val="007A43A6"/>
    <w:rsid w:val="007A4536"/>
    <w:rsid w:val="007A45A6"/>
    <w:rsid w:val="007A4A81"/>
    <w:rsid w:val="007A4C76"/>
    <w:rsid w:val="007A5001"/>
    <w:rsid w:val="007A5083"/>
    <w:rsid w:val="007A520B"/>
    <w:rsid w:val="007A58A6"/>
    <w:rsid w:val="007A67B6"/>
    <w:rsid w:val="007A7239"/>
    <w:rsid w:val="007A7F92"/>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4561"/>
    <w:rsid w:val="00804ECA"/>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6FCA"/>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1E1"/>
    <w:rsid w:val="0085229C"/>
    <w:rsid w:val="00852326"/>
    <w:rsid w:val="00853E19"/>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5E1"/>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869DF"/>
    <w:rsid w:val="00887BCA"/>
    <w:rsid w:val="00890084"/>
    <w:rsid w:val="008901F7"/>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2ED"/>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3CC"/>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4A"/>
    <w:rsid w:val="008D72CD"/>
    <w:rsid w:val="008E065E"/>
    <w:rsid w:val="008E0927"/>
    <w:rsid w:val="008E0CC5"/>
    <w:rsid w:val="008E1530"/>
    <w:rsid w:val="008E1909"/>
    <w:rsid w:val="008E265B"/>
    <w:rsid w:val="008E2B72"/>
    <w:rsid w:val="008E4615"/>
    <w:rsid w:val="008E46C0"/>
    <w:rsid w:val="008E47FD"/>
    <w:rsid w:val="008E4B56"/>
    <w:rsid w:val="008E513F"/>
    <w:rsid w:val="008E517D"/>
    <w:rsid w:val="008E5762"/>
    <w:rsid w:val="008E5ADC"/>
    <w:rsid w:val="008E62BB"/>
    <w:rsid w:val="008E775F"/>
    <w:rsid w:val="008E7D76"/>
    <w:rsid w:val="008F0F1B"/>
    <w:rsid w:val="008F1EAB"/>
    <w:rsid w:val="008F3103"/>
    <w:rsid w:val="008F3140"/>
    <w:rsid w:val="008F33DC"/>
    <w:rsid w:val="008F3A42"/>
    <w:rsid w:val="008F410D"/>
    <w:rsid w:val="008F477F"/>
    <w:rsid w:val="008F4C8D"/>
    <w:rsid w:val="008F617A"/>
    <w:rsid w:val="008F6EAD"/>
    <w:rsid w:val="008F710B"/>
    <w:rsid w:val="008F71CD"/>
    <w:rsid w:val="008F7238"/>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8D7"/>
    <w:rsid w:val="009239BA"/>
    <w:rsid w:val="00923BA5"/>
    <w:rsid w:val="009241B6"/>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6AF2"/>
    <w:rsid w:val="009378DF"/>
    <w:rsid w:val="0094073E"/>
    <w:rsid w:val="00941636"/>
    <w:rsid w:val="00941B1D"/>
    <w:rsid w:val="00941B33"/>
    <w:rsid w:val="0094261E"/>
    <w:rsid w:val="00943742"/>
    <w:rsid w:val="00944077"/>
    <w:rsid w:val="0094419A"/>
    <w:rsid w:val="009442F7"/>
    <w:rsid w:val="009445B5"/>
    <w:rsid w:val="009456B7"/>
    <w:rsid w:val="009456CB"/>
    <w:rsid w:val="00945C05"/>
    <w:rsid w:val="0094675F"/>
    <w:rsid w:val="00946945"/>
    <w:rsid w:val="00947713"/>
    <w:rsid w:val="0094788B"/>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281"/>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0E39"/>
    <w:rsid w:val="00991761"/>
    <w:rsid w:val="00991CA3"/>
    <w:rsid w:val="009934E8"/>
    <w:rsid w:val="009937AE"/>
    <w:rsid w:val="0099384C"/>
    <w:rsid w:val="00993D3F"/>
    <w:rsid w:val="00994A9B"/>
    <w:rsid w:val="00994DCA"/>
    <w:rsid w:val="009953CF"/>
    <w:rsid w:val="0099584E"/>
    <w:rsid w:val="00995B94"/>
    <w:rsid w:val="009960EC"/>
    <w:rsid w:val="00996B2E"/>
    <w:rsid w:val="00996D32"/>
    <w:rsid w:val="009970DD"/>
    <w:rsid w:val="00997EB7"/>
    <w:rsid w:val="009A07F2"/>
    <w:rsid w:val="009A0FBA"/>
    <w:rsid w:val="009A11EF"/>
    <w:rsid w:val="009A1304"/>
    <w:rsid w:val="009A1601"/>
    <w:rsid w:val="009A2589"/>
    <w:rsid w:val="009A3BB6"/>
    <w:rsid w:val="009A462D"/>
    <w:rsid w:val="009A4AC0"/>
    <w:rsid w:val="009A4B40"/>
    <w:rsid w:val="009A58FD"/>
    <w:rsid w:val="009A5CBA"/>
    <w:rsid w:val="009A5E03"/>
    <w:rsid w:val="009A6145"/>
    <w:rsid w:val="009A63EB"/>
    <w:rsid w:val="009A6D84"/>
    <w:rsid w:val="009A7C08"/>
    <w:rsid w:val="009B1AAD"/>
    <w:rsid w:val="009B1F30"/>
    <w:rsid w:val="009B2A81"/>
    <w:rsid w:val="009B2AAA"/>
    <w:rsid w:val="009B316B"/>
    <w:rsid w:val="009B3AC2"/>
    <w:rsid w:val="009B3E23"/>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2D4A"/>
    <w:rsid w:val="009D30BB"/>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30FD"/>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2FFA"/>
    <w:rsid w:val="009F344F"/>
    <w:rsid w:val="009F43C6"/>
    <w:rsid w:val="009F45E5"/>
    <w:rsid w:val="009F4DA8"/>
    <w:rsid w:val="009F643E"/>
    <w:rsid w:val="009F6694"/>
    <w:rsid w:val="009F7743"/>
    <w:rsid w:val="009F77C4"/>
    <w:rsid w:val="00A00351"/>
    <w:rsid w:val="00A006EB"/>
    <w:rsid w:val="00A00D8D"/>
    <w:rsid w:val="00A015E5"/>
    <w:rsid w:val="00A021A5"/>
    <w:rsid w:val="00A02F10"/>
    <w:rsid w:val="00A031D8"/>
    <w:rsid w:val="00A032D0"/>
    <w:rsid w:val="00A0336C"/>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6089"/>
    <w:rsid w:val="00A17F63"/>
    <w:rsid w:val="00A20572"/>
    <w:rsid w:val="00A20E70"/>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1FA5"/>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5FE7"/>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0BB0"/>
    <w:rsid w:val="00A60C6C"/>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1BD8"/>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2E78"/>
    <w:rsid w:val="00A9348E"/>
    <w:rsid w:val="00A93A7C"/>
    <w:rsid w:val="00A9442A"/>
    <w:rsid w:val="00A94A72"/>
    <w:rsid w:val="00A96179"/>
    <w:rsid w:val="00A96BEC"/>
    <w:rsid w:val="00AA016F"/>
    <w:rsid w:val="00AA0BB4"/>
    <w:rsid w:val="00AA0EA5"/>
    <w:rsid w:val="00AA1C06"/>
    <w:rsid w:val="00AA1ED6"/>
    <w:rsid w:val="00AA1F01"/>
    <w:rsid w:val="00AA3084"/>
    <w:rsid w:val="00AA3264"/>
    <w:rsid w:val="00AA4A41"/>
    <w:rsid w:val="00AA51D6"/>
    <w:rsid w:val="00AA5588"/>
    <w:rsid w:val="00AA5922"/>
    <w:rsid w:val="00AA632B"/>
    <w:rsid w:val="00AA6427"/>
    <w:rsid w:val="00AA7929"/>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163"/>
    <w:rsid w:val="00AD2E46"/>
    <w:rsid w:val="00AD3F94"/>
    <w:rsid w:val="00AD4016"/>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D15"/>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860"/>
    <w:rsid w:val="00B10A86"/>
    <w:rsid w:val="00B10B43"/>
    <w:rsid w:val="00B10F8A"/>
    <w:rsid w:val="00B13778"/>
    <w:rsid w:val="00B152A2"/>
    <w:rsid w:val="00B157F9"/>
    <w:rsid w:val="00B15A5E"/>
    <w:rsid w:val="00B15AD0"/>
    <w:rsid w:val="00B20256"/>
    <w:rsid w:val="00B20C76"/>
    <w:rsid w:val="00B20D09"/>
    <w:rsid w:val="00B21660"/>
    <w:rsid w:val="00B2218D"/>
    <w:rsid w:val="00B224FD"/>
    <w:rsid w:val="00B22BD9"/>
    <w:rsid w:val="00B236A6"/>
    <w:rsid w:val="00B239EE"/>
    <w:rsid w:val="00B24959"/>
    <w:rsid w:val="00B2580B"/>
    <w:rsid w:val="00B25A28"/>
    <w:rsid w:val="00B263FB"/>
    <w:rsid w:val="00B2763F"/>
    <w:rsid w:val="00B277A2"/>
    <w:rsid w:val="00B27AAC"/>
    <w:rsid w:val="00B27B8C"/>
    <w:rsid w:val="00B30929"/>
    <w:rsid w:val="00B31362"/>
    <w:rsid w:val="00B31E8E"/>
    <w:rsid w:val="00B33017"/>
    <w:rsid w:val="00B33BB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AB9"/>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3C0C"/>
    <w:rsid w:val="00B64797"/>
    <w:rsid w:val="00B6532A"/>
    <w:rsid w:val="00B6569B"/>
    <w:rsid w:val="00B664C7"/>
    <w:rsid w:val="00B665E1"/>
    <w:rsid w:val="00B6720E"/>
    <w:rsid w:val="00B67929"/>
    <w:rsid w:val="00B714B6"/>
    <w:rsid w:val="00B71CAA"/>
    <w:rsid w:val="00B739F6"/>
    <w:rsid w:val="00B74A07"/>
    <w:rsid w:val="00B74E58"/>
    <w:rsid w:val="00B76813"/>
    <w:rsid w:val="00B773EF"/>
    <w:rsid w:val="00B77AF5"/>
    <w:rsid w:val="00B8122F"/>
    <w:rsid w:val="00B81A6C"/>
    <w:rsid w:val="00B8202F"/>
    <w:rsid w:val="00B8263E"/>
    <w:rsid w:val="00B834E9"/>
    <w:rsid w:val="00B840F4"/>
    <w:rsid w:val="00B84530"/>
    <w:rsid w:val="00B85577"/>
    <w:rsid w:val="00B85DB6"/>
    <w:rsid w:val="00B85DE5"/>
    <w:rsid w:val="00B8630D"/>
    <w:rsid w:val="00B876E6"/>
    <w:rsid w:val="00B87754"/>
    <w:rsid w:val="00B908F5"/>
    <w:rsid w:val="00B90F73"/>
    <w:rsid w:val="00B91A52"/>
    <w:rsid w:val="00B91BFE"/>
    <w:rsid w:val="00B91FBF"/>
    <w:rsid w:val="00B91FF4"/>
    <w:rsid w:val="00B92088"/>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BFC"/>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6860"/>
    <w:rsid w:val="00BB7C24"/>
    <w:rsid w:val="00BC0D18"/>
    <w:rsid w:val="00BC0FDC"/>
    <w:rsid w:val="00BC1D5A"/>
    <w:rsid w:val="00BC2BBF"/>
    <w:rsid w:val="00BC3053"/>
    <w:rsid w:val="00BC3CA2"/>
    <w:rsid w:val="00BC410E"/>
    <w:rsid w:val="00BC44C4"/>
    <w:rsid w:val="00BC4D2E"/>
    <w:rsid w:val="00BC5371"/>
    <w:rsid w:val="00BC5824"/>
    <w:rsid w:val="00BC650B"/>
    <w:rsid w:val="00BC78A9"/>
    <w:rsid w:val="00BD0AC4"/>
    <w:rsid w:val="00BD3374"/>
    <w:rsid w:val="00BD3693"/>
    <w:rsid w:val="00BD3903"/>
    <w:rsid w:val="00BD48AC"/>
    <w:rsid w:val="00BD4D68"/>
    <w:rsid w:val="00BD5F1A"/>
    <w:rsid w:val="00BD643D"/>
    <w:rsid w:val="00BD6CDD"/>
    <w:rsid w:val="00BD6F8A"/>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40A"/>
    <w:rsid w:val="00BF1BEA"/>
    <w:rsid w:val="00BF1FA2"/>
    <w:rsid w:val="00BF2CB4"/>
    <w:rsid w:val="00BF2CE9"/>
    <w:rsid w:val="00BF3279"/>
    <w:rsid w:val="00BF4680"/>
    <w:rsid w:val="00BF5194"/>
    <w:rsid w:val="00BF5746"/>
    <w:rsid w:val="00BF62DE"/>
    <w:rsid w:val="00BF7239"/>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07D4A"/>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1C30"/>
    <w:rsid w:val="00C3246F"/>
    <w:rsid w:val="00C327E1"/>
    <w:rsid w:val="00C329F3"/>
    <w:rsid w:val="00C33113"/>
    <w:rsid w:val="00C3396B"/>
    <w:rsid w:val="00C342B6"/>
    <w:rsid w:val="00C345C8"/>
    <w:rsid w:val="00C35155"/>
    <w:rsid w:val="00C356C2"/>
    <w:rsid w:val="00C3602F"/>
    <w:rsid w:val="00C3719D"/>
    <w:rsid w:val="00C37CB2"/>
    <w:rsid w:val="00C426AF"/>
    <w:rsid w:val="00C43412"/>
    <w:rsid w:val="00C44228"/>
    <w:rsid w:val="00C45567"/>
    <w:rsid w:val="00C46135"/>
    <w:rsid w:val="00C46620"/>
    <w:rsid w:val="00C47132"/>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1650"/>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579"/>
    <w:rsid w:val="00C97ABD"/>
    <w:rsid w:val="00C97F0F"/>
    <w:rsid w:val="00C97F35"/>
    <w:rsid w:val="00CA0863"/>
    <w:rsid w:val="00CA1557"/>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2D8"/>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2BF"/>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D7A90"/>
    <w:rsid w:val="00CE0169"/>
    <w:rsid w:val="00CE0424"/>
    <w:rsid w:val="00CE10E4"/>
    <w:rsid w:val="00CE20B2"/>
    <w:rsid w:val="00CE3EC1"/>
    <w:rsid w:val="00CE455E"/>
    <w:rsid w:val="00CE5654"/>
    <w:rsid w:val="00CE5F36"/>
    <w:rsid w:val="00CE606C"/>
    <w:rsid w:val="00CE613A"/>
    <w:rsid w:val="00CE6273"/>
    <w:rsid w:val="00CE6EB4"/>
    <w:rsid w:val="00CE7538"/>
    <w:rsid w:val="00CE7561"/>
    <w:rsid w:val="00CF0032"/>
    <w:rsid w:val="00CF0831"/>
    <w:rsid w:val="00CF0D15"/>
    <w:rsid w:val="00CF1354"/>
    <w:rsid w:val="00CF2266"/>
    <w:rsid w:val="00CF2593"/>
    <w:rsid w:val="00CF29C3"/>
    <w:rsid w:val="00CF2B3A"/>
    <w:rsid w:val="00CF3B1F"/>
    <w:rsid w:val="00CF3BF6"/>
    <w:rsid w:val="00CF3EB1"/>
    <w:rsid w:val="00CF41AC"/>
    <w:rsid w:val="00CF445D"/>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20E70"/>
    <w:rsid w:val="00D20ED2"/>
    <w:rsid w:val="00D21AE3"/>
    <w:rsid w:val="00D221BE"/>
    <w:rsid w:val="00D22AB5"/>
    <w:rsid w:val="00D232E2"/>
    <w:rsid w:val="00D239A7"/>
    <w:rsid w:val="00D23F47"/>
    <w:rsid w:val="00D250FB"/>
    <w:rsid w:val="00D2559D"/>
    <w:rsid w:val="00D25690"/>
    <w:rsid w:val="00D25E03"/>
    <w:rsid w:val="00D263D5"/>
    <w:rsid w:val="00D2789D"/>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1419"/>
    <w:rsid w:val="00D42379"/>
    <w:rsid w:val="00D42BA5"/>
    <w:rsid w:val="00D4318F"/>
    <w:rsid w:val="00D43886"/>
    <w:rsid w:val="00D438BF"/>
    <w:rsid w:val="00D43A80"/>
    <w:rsid w:val="00D440F8"/>
    <w:rsid w:val="00D443C1"/>
    <w:rsid w:val="00D448E3"/>
    <w:rsid w:val="00D46EF3"/>
    <w:rsid w:val="00D50F35"/>
    <w:rsid w:val="00D52C1D"/>
    <w:rsid w:val="00D53566"/>
    <w:rsid w:val="00D53AA4"/>
    <w:rsid w:val="00D5419B"/>
    <w:rsid w:val="00D543C4"/>
    <w:rsid w:val="00D546FF"/>
    <w:rsid w:val="00D5586A"/>
    <w:rsid w:val="00D55A48"/>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2B"/>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21F6"/>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705"/>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A6F"/>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308"/>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B74"/>
    <w:rsid w:val="00E57E26"/>
    <w:rsid w:val="00E6079A"/>
    <w:rsid w:val="00E609F0"/>
    <w:rsid w:val="00E60C07"/>
    <w:rsid w:val="00E62043"/>
    <w:rsid w:val="00E624F8"/>
    <w:rsid w:val="00E62A99"/>
    <w:rsid w:val="00E632DA"/>
    <w:rsid w:val="00E63838"/>
    <w:rsid w:val="00E63D0A"/>
    <w:rsid w:val="00E64434"/>
    <w:rsid w:val="00E64938"/>
    <w:rsid w:val="00E652BE"/>
    <w:rsid w:val="00E65CFD"/>
    <w:rsid w:val="00E65F01"/>
    <w:rsid w:val="00E66259"/>
    <w:rsid w:val="00E665E2"/>
    <w:rsid w:val="00E6762E"/>
    <w:rsid w:val="00E67C51"/>
    <w:rsid w:val="00E70051"/>
    <w:rsid w:val="00E7057E"/>
    <w:rsid w:val="00E707F3"/>
    <w:rsid w:val="00E70E3B"/>
    <w:rsid w:val="00E717D3"/>
    <w:rsid w:val="00E72830"/>
    <w:rsid w:val="00E72EFC"/>
    <w:rsid w:val="00E746A1"/>
    <w:rsid w:val="00E74756"/>
    <w:rsid w:val="00E7535A"/>
    <w:rsid w:val="00E757FC"/>
    <w:rsid w:val="00E758EC"/>
    <w:rsid w:val="00E766C6"/>
    <w:rsid w:val="00E77F6E"/>
    <w:rsid w:val="00E80668"/>
    <w:rsid w:val="00E80683"/>
    <w:rsid w:val="00E8102C"/>
    <w:rsid w:val="00E819B8"/>
    <w:rsid w:val="00E81F69"/>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432"/>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270"/>
    <w:rsid w:val="00EF18FE"/>
    <w:rsid w:val="00EF1D49"/>
    <w:rsid w:val="00EF1D56"/>
    <w:rsid w:val="00EF1D9A"/>
    <w:rsid w:val="00EF1FA3"/>
    <w:rsid w:val="00EF27BD"/>
    <w:rsid w:val="00EF32CD"/>
    <w:rsid w:val="00EF3A49"/>
    <w:rsid w:val="00EF402A"/>
    <w:rsid w:val="00EF46A4"/>
    <w:rsid w:val="00EF494C"/>
    <w:rsid w:val="00EF4A02"/>
    <w:rsid w:val="00EF5787"/>
    <w:rsid w:val="00EF5BFF"/>
    <w:rsid w:val="00EF60D0"/>
    <w:rsid w:val="00EF6286"/>
    <w:rsid w:val="00EF7818"/>
    <w:rsid w:val="00EF7BDC"/>
    <w:rsid w:val="00F0014E"/>
    <w:rsid w:val="00F01CF9"/>
    <w:rsid w:val="00F01E18"/>
    <w:rsid w:val="00F02ABF"/>
    <w:rsid w:val="00F02D83"/>
    <w:rsid w:val="00F02FCE"/>
    <w:rsid w:val="00F0337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255B"/>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3AE8"/>
    <w:rsid w:val="00F9402B"/>
    <w:rsid w:val="00F94834"/>
    <w:rsid w:val="00F95D59"/>
    <w:rsid w:val="00F96770"/>
    <w:rsid w:val="00F96985"/>
    <w:rsid w:val="00F96B5F"/>
    <w:rsid w:val="00F97838"/>
    <w:rsid w:val="00FA04D5"/>
    <w:rsid w:val="00FA2399"/>
    <w:rsid w:val="00FA26E1"/>
    <w:rsid w:val="00FA2BB3"/>
    <w:rsid w:val="00FA3B5D"/>
    <w:rsid w:val="00FA448C"/>
    <w:rsid w:val="00FA4E2D"/>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441C"/>
    <w:rsid w:val="00FC58CC"/>
    <w:rsid w:val="00FC5965"/>
    <w:rsid w:val="00FC5E75"/>
    <w:rsid w:val="00FC7429"/>
    <w:rsid w:val="00FD004F"/>
    <w:rsid w:val="00FD00E0"/>
    <w:rsid w:val="00FD07F6"/>
    <w:rsid w:val="00FD0CD2"/>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docId w15:val="{C060DA22-960A-448B-9D54-03D1A05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201"/>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5AIRPNAIUNRU-859666464-9912</_dlc_DocId>
    <_dlc_DocIdUrl xmlns="71c5aaf6-e6ce-465b-b873-5148d2a4c105">
      <Url>https://nokia.sharepoint.com/sites/c5g/e2earch/_layouts/15/DocIdRedir.aspx?ID=5AIRPNAIUNRU-859666464-9912</Url>
      <Description>5AIRPNAIUNRU-859666464-9912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04A3A-C2A0-49B7-85AC-C68849324FFC}">
  <ds:schemaRefs>
    <ds:schemaRef ds:uri="http://schemas.openxmlformats.org/officeDocument/2006/bibliography"/>
  </ds:schemaRefs>
</ds:datastoreItem>
</file>

<file path=customXml/itemProps2.xml><?xml version="1.0" encoding="utf-8"?>
<ds:datastoreItem xmlns:ds="http://schemas.openxmlformats.org/officeDocument/2006/customXml" ds:itemID="{5E2035AC-BD4E-4988-B522-644F6C24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purl.org/dc/terms/"/>
    <ds:schemaRef ds:uri="71c5aaf6-e6ce-465b-b873-5148d2a4c105"/>
    <ds:schemaRef ds:uri="http://schemas.microsoft.com/office/2006/documentManagement/types"/>
    <ds:schemaRef ds:uri="http://schemas.openxmlformats.org/package/2006/metadata/core-properties"/>
    <ds:schemaRef ds:uri="a3840f4f-04be-43d1-b2ef-6ff1382503c7"/>
    <ds:schemaRef ds:uri="http://purl.org/dc/elements/1.1/"/>
    <ds:schemaRef ds:uri="http://schemas.microsoft.com/office/infopath/2007/PartnerControls"/>
    <ds:schemaRef ds:uri="83f22d2f-d16e-4be6-ad4f-29fa0b067c3c"/>
    <ds:schemaRef ds:uri="3b34c8f0-1ef5-4d1e-bb66-517ce7fe735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1274DE-56B5-4515-A14C-FF7707683B06}">
  <ds:schemaRefs>
    <ds:schemaRef ds:uri="Microsoft.SharePoint.Taxonomy.ContentTypeSync"/>
  </ds:schemaRefs>
</ds:datastoreItem>
</file>

<file path=customXml/itemProps5.xml><?xml version="1.0" encoding="utf-8"?>
<ds:datastoreItem xmlns:ds="http://schemas.openxmlformats.org/officeDocument/2006/customXml" ds:itemID="{FE7D6AC7-23C4-455A-A883-6E48C9FF9FBF}">
  <ds:schemaRefs>
    <ds:schemaRef ds:uri="http://schemas.microsoft.com/sharepoint/events"/>
  </ds:schemaRefs>
</ds:datastoreItem>
</file>

<file path=customXml/itemProps6.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2519</Words>
  <Characters>13769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[Amaanat]</cp:lastModifiedBy>
  <cp:revision>18</cp:revision>
  <cp:lastPrinted>2008-02-01T05:09:00Z</cp:lastPrinted>
  <dcterms:created xsi:type="dcterms:W3CDTF">2021-10-21T08:18:00Z</dcterms:created>
  <dcterms:modified xsi:type="dcterms:W3CDTF">2021-10-21T09:21:00Z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dlc_DocIdItemGuid">
    <vt:lpwstr>8f89b8d4-7963-43bd-aeee-efd838b2a41e</vt:lpwstr>
  </property>
</Properties>
</file>