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86B2" w14:textId="77777777" w:rsidR="00101413" w:rsidRPr="007F16F8" w:rsidRDefault="00101413" w:rsidP="00101413">
      <w:pPr>
        <w:pStyle w:val="Header"/>
        <w:tabs>
          <w:tab w:val="right" w:pos="9639"/>
        </w:tabs>
        <w:jc w:val="both"/>
        <w:rPr>
          <w:bCs/>
          <w:i/>
          <w:sz w:val="32"/>
          <w:highlight w:val="cyan"/>
          <w:lang w:eastAsia="zh-CN"/>
        </w:rPr>
      </w:pPr>
      <w:r w:rsidRPr="00EE0A06">
        <w:rPr>
          <w:sz w:val="24"/>
          <w:lang w:eastAsia="zh-CN"/>
        </w:rPr>
        <w:t>3GPP TSG RAN WG2 Meeting #</w:t>
      </w:r>
      <w:r w:rsidRPr="008B56A6">
        <w:rPr>
          <w:sz w:val="24"/>
          <w:lang w:eastAsia="zh-CN"/>
        </w:rPr>
        <w:t>1</w:t>
      </w:r>
      <w:r>
        <w:rPr>
          <w:sz w:val="24"/>
          <w:lang w:eastAsia="zh-CN"/>
        </w:rPr>
        <w:t xml:space="preserve">14          </w:t>
      </w:r>
      <w:r w:rsidRPr="00EE0A06">
        <w:rPr>
          <w:bCs/>
          <w:sz w:val="24"/>
        </w:rPr>
        <w:t xml:space="preserve">                      </w:t>
      </w:r>
      <w:r>
        <w:rPr>
          <w:bCs/>
          <w:sz w:val="24"/>
        </w:rPr>
        <w:t xml:space="preserve">                            </w:t>
      </w:r>
      <w:r w:rsidRPr="00EE0A06">
        <w:rPr>
          <w:bCs/>
          <w:sz w:val="24"/>
        </w:rPr>
        <w:t xml:space="preserve"> </w:t>
      </w:r>
      <w:r w:rsidRPr="002B3BE7">
        <w:rPr>
          <w:bCs/>
          <w:sz w:val="24"/>
        </w:rPr>
        <w:t>R2-210</w:t>
      </w:r>
      <w:r>
        <w:rPr>
          <w:bCs/>
          <w:sz w:val="24"/>
        </w:rPr>
        <w:t>xxxx</w:t>
      </w:r>
    </w:p>
    <w:p w14:paraId="6AEF2E82" w14:textId="77777777" w:rsidR="00101413" w:rsidRDefault="00101413" w:rsidP="00101413">
      <w:pPr>
        <w:pStyle w:val="CRCoverPage"/>
        <w:spacing w:after="240"/>
        <w:jc w:val="both"/>
        <w:outlineLvl w:val="0"/>
        <w:rPr>
          <w:b/>
          <w:sz w:val="24"/>
        </w:rPr>
      </w:pPr>
      <w:r>
        <w:rPr>
          <w:b/>
          <w:sz w:val="24"/>
        </w:rPr>
        <w:t>Electronic meeting</w:t>
      </w:r>
      <w:r w:rsidRPr="00F73A55">
        <w:rPr>
          <w:b/>
          <w:sz w:val="24"/>
        </w:rPr>
        <w:t xml:space="preserve">, </w:t>
      </w:r>
      <w:r>
        <w:rPr>
          <w:b/>
          <w:sz w:val="24"/>
        </w:rPr>
        <w:t>19</w:t>
      </w:r>
      <w:r w:rsidRPr="00F73A55">
        <w:rPr>
          <w:b/>
          <w:sz w:val="24"/>
        </w:rPr>
        <w:t>th-</w:t>
      </w:r>
      <w:r>
        <w:rPr>
          <w:b/>
          <w:sz w:val="24"/>
        </w:rPr>
        <w:t>27th May</w:t>
      </w:r>
      <w:r w:rsidRPr="00F73A55">
        <w:rPr>
          <w:b/>
          <w:sz w:val="24"/>
        </w:rPr>
        <w:t xml:space="preserve"> 20</w:t>
      </w:r>
      <w:r>
        <w:rPr>
          <w:b/>
          <w:sz w:val="24"/>
        </w:rPr>
        <w:t>21</w:t>
      </w:r>
    </w:p>
    <w:p w14:paraId="74D814E1"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Pr>
          <w:rFonts w:ascii="Arial" w:hAnsi="Arial" w:cs="Arial"/>
          <w:bCs/>
          <w:sz w:val="22"/>
          <w:szCs w:val="22"/>
        </w:rPr>
        <w:t xml:space="preserve">[draft] </w:t>
      </w:r>
      <w:r w:rsidRPr="00701CBA">
        <w:rPr>
          <w:rFonts w:ascii="Arial" w:hAnsi="Arial" w:cs="Arial"/>
          <w:bCs/>
          <w:sz w:val="22"/>
          <w:szCs w:val="22"/>
        </w:rPr>
        <w:t>LS to RAN1 on UL positioning in RRC_INACTIVE</w:t>
      </w:r>
    </w:p>
    <w:p w14:paraId="20A5EC0F"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p>
    <w:p w14:paraId="185DB9B8" w14:textId="77777777"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Pr="00E046F6">
        <w:rPr>
          <w:rFonts w:ascii="Arial" w:hAnsi="Arial" w:cs="Arial"/>
          <w:bCs/>
          <w:sz w:val="22"/>
          <w:szCs w:val="22"/>
        </w:rPr>
        <w:t>NR_pos_enh</w:t>
      </w:r>
      <w:proofErr w:type="spellEnd"/>
      <w:r w:rsidRPr="00E046F6">
        <w:rPr>
          <w:rFonts w:ascii="Arial" w:hAnsi="Arial" w:cs="Arial"/>
          <w:bCs/>
          <w:sz w:val="22"/>
          <w:szCs w:val="22"/>
        </w:rPr>
        <w:t>-Core</w:t>
      </w:r>
    </w:p>
    <w:p w14:paraId="4CF66E36"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Source:</w:t>
      </w:r>
      <w:r w:rsidRPr="00AD7F38">
        <w:rPr>
          <w:rFonts w:ascii="Arial" w:hAnsi="Arial" w:cs="Arial"/>
          <w:bCs/>
          <w:sz w:val="22"/>
          <w:szCs w:val="22"/>
        </w:rPr>
        <w:tab/>
      </w:r>
      <w:r>
        <w:rPr>
          <w:rFonts w:ascii="Arial" w:hAnsi="Arial" w:cs="Arial"/>
          <w:bCs/>
          <w:sz w:val="22"/>
          <w:szCs w:val="22"/>
          <w:highlight w:val="yellow"/>
        </w:rPr>
        <w:t>Intel</w:t>
      </w:r>
      <w:r w:rsidRPr="001C39E3">
        <w:rPr>
          <w:rFonts w:ascii="Arial" w:hAnsi="Arial" w:cs="Arial"/>
          <w:bCs/>
          <w:sz w:val="22"/>
          <w:szCs w:val="22"/>
          <w:highlight w:val="yellow"/>
        </w:rPr>
        <w:t xml:space="preserve"> (to be: RAN</w:t>
      </w:r>
      <w:r>
        <w:rPr>
          <w:rFonts w:ascii="Arial" w:hAnsi="Arial" w:cs="Arial"/>
          <w:bCs/>
          <w:sz w:val="22"/>
          <w:szCs w:val="22"/>
          <w:highlight w:val="yellow"/>
        </w:rPr>
        <w:t xml:space="preserve"> WG</w:t>
      </w:r>
      <w:r w:rsidRPr="001C39E3">
        <w:rPr>
          <w:rFonts w:ascii="Arial" w:hAnsi="Arial" w:cs="Arial"/>
          <w:bCs/>
          <w:sz w:val="22"/>
          <w:szCs w:val="22"/>
          <w:highlight w:val="yellow"/>
        </w:rPr>
        <w:t>2)</w:t>
      </w:r>
    </w:p>
    <w:p w14:paraId="24EEEB6E"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77777777"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r w:rsidRPr="00AD7F38">
        <w:rPr>
          <w:rFonts w:ascii="Arial" w:hAnsi="Arial" w:cs="Arial"/>
          <w:bCs/>
          <w:sz w:val="22"/>
          <w:szCs w:val="22"/>
        </w:rPr>
        <w:tab/>
      </w:r>
      <w:r w:rsidRPr="00AD7F38">
        <w:rPr>
          <w:rFonts w:ascii="Arial" w:hAnsi="Arial" w:cs="Arial"/>
          <w:bCs/>
          <w:sz w:val="22"/>
          <w:szCs w:val="22"/>
        </w:rPr>
        <w:tab/>
      </w:r>
    </w:p>
    <w:p w14:paraId="66F1AE83"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Pr>
          <w:rFonts w:ascii="Arial" w:hAnsi="Arial" w:cs="Arial"/>
          <w:bCs/>
          <w:sz w:val="22"/>
          <w:szCs w:val="22"/>
          <w:lang w:val="sv-SE"/>
        </w:rPr>
        <w:t>Yi Guo</w:t>
      </w:r>
    </w:p>
    <w:p w14:paraId="60C0D624"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r>
        <w:rPr>
          <w:rFonts w:ascii="Arial" w:hAnsi="Arial" w:cs="Arial"/>
          <w:bCs/>
          <w:sz w:val="22"/>
          <w:szCs w:val="22"/>
          <w:lang w:val="sv-SE"/>
        </w:rPr>
        <w:t>yi.guo@intel.com</w:t>
      </w:r>
    </w:p>
    <w:p w14:paraId="60E41B43" w14:textId="77777777" w:rsidR="00101413" w:rsidRDefault="00101413" w:rsidP="00101413">
      <w:pPr>
        <w:keepNext/>
        <w:tabs>
          <w:tab w:val="left" w:pos="2268"/>
          <w:tab w:val="left" w:pos="2694"/>
        </w:tabs>
        <w:ind w:left="567"/>
        <w:outlineLvl w:val="6"/>
        <w:rPr>
          <w:rFonts w:ascii="Arial" w:hAnsi="Arial" w:cs="Arial"/>
          <w:bCs/>
          <w:color w:val="0000FF"/>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sz w:val="22"/>
            <w:szCs w:val="22"/>
          </w:rPr>
          <w:t>mailto:3GPPLiaison@etsi.org</w:t>
        </w:r>
      </w:hyperlink>
    </w:p>
    <w:p w14:paraId="7A4A261A" w14:textId="77777777" w:rsidR="00101413" w:rsidRPr="001730FF" w:rsidRDefault="00101413" w:rsidP="00101413">
      <w:pPr>
        <w:keepNext/>
        <w:tabs>
          <w:tab w:val="left" w:pos="2268"/>
          <w:tab w:val="left" w:pos="2694"/>
        </w:tabs>
        <w:outlineLvl w:val="6"/>
        <w:rPr>
          <w:rFonts w:ascii="Arial" w:hAnsi="Arial" w:cs="Arial"/>
          <w:bCs/>
          <w:color w:val="0000FF"/>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034953BF" w14:textId="77777777" w:rsidR="00101413" w:rsidRDefault="00101413" w:rsidP="00101413">
      <w:pPr>
        <w:rPr>
          <w:rFonts w:ascii="Arial" w:hAnsi="Arial" w:cs="Arial"/>
          <w:bCs/>
          <w:sz w:val="22"/>
          <w:szCs w:val="22"/>
        </w:rPr>
      </w:pPr>
      <w:r>
        <w:rPr>
          <w:rFonts w:ascii="Arial" w:hAnsi="Arial" w:cs="Arial"/>
          <w:bCs/>
          <w:sz w:val="22"/>
          <w:szCs w:val="22"/>
        </w:rPr>
        <w:t>During RAN2#114-e meeting, RAN2 has discussed the support of positioning in RRC_INACTIVE and made the following set of agreements:</w:t>
      </w:r>
    </w:p>
    <w:p w14:paraId="2F1E7FB5" w14:textId="77777777"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RAN2 agreed that the UE in RRC_INACTIVE can send any uplink LCS or LPP message using Rel-17 SDT frame work as:</w:t>
      </w:r>
    </w:p>
    <w:p w14:paraId="40161ADF" w14:textId="77777777" w:rsidR="00101413" w:rsidRDefault="00101413" w:rsidP="00101413">
      <w:pPr>
        <w:rPr>
          <w:lang w:eastAsia="zh-CN"/>
        </w:rPr>
      </w:pPr>
    </w:p>
    <w:p w14:paraId="2B11BEDF"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62D42D07"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00D05258" w14:textId="77777777" w:rsidR="00101413" w:rsidRDefault="00101413" w:rsidP="00101413">
      <w:pPr>
        <w:rPr>
          <w:lang w:eastAsia="zh-CN"/>
        </w:rPr>
      </w:pPr>
    </w:p>
    <w:p w14:paraId="52F3A38E" w14:textId="77777777"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RAN2 also agreed that the network may send DL messages for UE in RRC_INACTIVE using Rel-17 SDT framework as</w:t>
      </w:r>
    </w:p>
    <w:p w14:paraId="67D6512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23F4574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p>
    <w:p w14:paraId="6FC52046"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8740354"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5B0AEEB"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36333B86" w14:textId="77777777" w:rsidR="00101413" w:rsidRPr="00701CBA" w:rsidRDefault="00101413" w:rsidP="00101413">
      <w:pPr>
        <w:rPr>
          <w:rFonts w:ascii="Arial" w:hAnsi="Arial" w:cs="Arial"/>
          <w:bCs/>
          <w:sz w:val="22"/>
          <w:szCs w:val="22"/>
          <w:lang w:val="x-none"/>
        </w:rPr>
      </w:pPr>
    </w:p>
    <w:p w14:paraId="667F4876" w14:textId="77777777" w:rsidR="00101413" w:rsidRDefault="00101413"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77777777"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0994EE39" w14:textId="77777777" w:rsidR="00101413" w:rsidRPr="000D47C1"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Pr="000D47C1">
        <w:rPr>
          <w:rFonts w:ascii="Arial" w:hAnsi="Arial" w:cs="Arial"/>
          <w:b/>
          <w:sz w:val="22"/>
          <w:szCs w:val="22"/>
        </w:rPr>
        <w:tab/>
      </w:r>
      <w:r w:rsidRPr="00FF25EA">
        <w:rPr>
          <w:rFonts w:ascii="Arial" w:hAnsi="Arial" w:cs="Arial"/>
          <w:sz w:val="22"/>
          <w:szCs w:val="22"/>
        </w:rPr>
        <w:t>RAN2 respectfully requests RAN1 to tak</w:t>
      </w:r>
      <w:r>
        <w:rPr>
          <w:rFonts w:ascii="Arial" w:hAnsi="Arial" w:cs="Arial"/>
          <w:sz w:val="22"/>
          <w:szCs w:val="22"/>
        </w:rPr>
        <w:t>e</w:t>
      </w:r>
      <w:r w:rsidRPr="00FF25EA">
        <w:rPr>
          <w:rFonts w:ascii="Arial" w:hAnsi="Arial" w:cs="Arial"/>
          <w:sz w:val="22"/>
          <w:szCs w:val="22"/>
        </w:rPr>
        <w:t xml:space="preserve"> the above</w:t>
      </w:r>
      <w:r>
        <w:rPr>
          <w:rFonts w:ascii="Arial" w:hAnsi="Arial" w:cs="Arial"/>
          <w:sz w:val="22"/>
          <w:szCs w:val="22"/>
        </w:rPr>
        <w:t xml:space="preserve"> RAN2 agreements</w:t>
      </w:r>
      <w:r w:rsidRPr="00FF25EA">
        <w:rPr>
          <w:rFonts w:ascii="Arial" w:hAnsi="Arial" w:cs="Arial"/>
          <w:sz w:val="22"/>
          <w:szCs w:val="22"/>
        </w:rPr>
        <w:t xml:space="preserve"> into account.</w:t>
      </w:r>
    </w:p>
    <w:p w14:paraId="3183C498" w14:textId="77777777" w:rsidR="00101413" w:rsidRPr="000D47C1" w:rsidRDefault="00101413" w:rsidP="00101413">
      <w:pPr>
        <w:spacing w:after="120"/>
        <w:ind w:left="993" w:hanging="993"/>
        <w:rPr>
          <w:rFonts w:ascii="Arial" w:hAnsi="Arial" w:cs="Arial"/>
          <w:sz w:val="22"/>
          <w:szCs w:val="22"/>
        </w:rPr>
      </w:pPr>
    </w:p>
    <w:p w14:paraId="2719C46D"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3. Date of Next TSG-RAN WG2 Meetings:</w:t>
      </w:r>
    </w:p>
    <w:p w14:paraId="22914ED5" w14:textId="77777777" w:rsidR="00101413" w:rsidRPr="000609CA"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#115-e </w:t>
      </w:r>
      <w:r w:rsidRPr="000609CA">
        <w:rPr>
          <w:rFonts w:ascii="Arial" w:hAnsi="Arial" w:cs="Arial"/>
          <w:bCs/>
          <w:sz w:val="22"/>
          <w:szCs w:val="22"/>
        </w:rPr>
        <w:tab/>
        <w:t>16 – 27 August 2021</w:t>
      </w:r>
      <w:r w:rsidRPr="000609CA">
        <w:rPr>
          <w:rFonts w:ascii="Arial" w:hAnsi="Arial" w:cs="Arial"/>
          <w:bCs/>
          <w:sz w:val="22"/>
          <w:szCs w:val="22"/>
        </w:rPr>
        <w:tab/>
      </w:r>
      <w:r w:rsidRPr="000609CA">
        <w:rPr>
          <w:rFonts w:ascii="Arial" w:hAnsi="Arial" w:cs="Arial"/>
          <w:bCs/>
          <w:sz w:val="22"/>
          <w:szCs w:val="22"/>
        </w:rPr>
        <w:tab/>
        <w:t>Electronic Meeting</w:t>
      </w:r>
    </w:p>
    <w:p w14:paraId="3B8A14ED" w14:textId="77777777" w:rsidR="00101413" w:rsidRPr="000D47C1"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#116-e </w:t>
      </w:r>
      <w:r w:rsidRPr="000609CA">
        <w:rPr>
          <w:rFonts w:ascii="Arial" w:hAnsi="Arial" w:cs="Arial"/>
          <w:bCs/>
          <w:sz w:val="22"/>
          <w:szCs w:val="22"/>
        </w:rPr>
        <w:tab/>
        <w:t>01 – 12 November 2021</w:t>
      </w:r>
      <w:r w:rsidRPr="000609CA">
        <w:rPr>
          <w:rFonts w:ascii="Arial" w:hAnsi="Arial" w:cs="Arial"/>
          <w:bCs/>
          <w:sz w:val="22"/>
          <w:szCs w:val="22"/>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5D1EB" w14:textId="77777777" w:rsidR="00FA4698" w:rsidRDefault="00FA4698">
      <w:r>
        <w:separator/>
      </w:r>
    </w:p>
  </w:endnote>
  <w:endnote w:type="continuationSeparator" w:id="0">
    <w:p w14:paraId="388126F5" w14:textId="77777777" w:rsidR="00FA4698" w:rsidRDefault="00FA4698">
      <w:r>
        <w:continuationSeparator/>
      </w:r>
    </w:p>
  </w:endnote>
  <w:endnote w:type="continuationNotice" w:id="1">
    <w:p w14:paraId="65FB0D8C" w14:textId="77777777" w:rsidR="00FA4698" w:rsidRDefault="00FA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6509" w14:textId="77777777" w:rsidR="00796353" w:rsidRDefault="0079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7777777"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370A" w14:textId="77777777" w:rsidR="00796353" w:rsidRDefault="0079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E021" w14:textId="77777777" w:rsidR="00FA4698" w:rsidRDefault="00FA4698">
      <w:r>
        <w:separator/>
      </w:r>
    </w:p>
  </w:footnote>
  <w:footnote w:type="continuationSeparator" w:id="0">
    <w:p w14:paraId="01484D60" w14:textId="77777777" w:rsidR="00FA4698" w:rsidRDefault="00FA4698">
      <w:r>
        <w:continuationSeparator/>
      </w:r>
    </w:p>
  </w:footnote>
  <w:footnote w:type="continuationNotice" w:id="1">
    <w:p w14:paraId="4DCA4D44" w14:textId="77777777" w:rsidR="00FA4698" w:rsidRDefault="00FA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C9B9" w14:textId="77777777" w:rsidR="00796353" w:rsidRDefault="00796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C4F" w14:textId="77777777" w:rsidR="00796353" w:rsidRDefault="0079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 w:numId="3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87E85"/>
    <w:rsid w:val="00190AC1"/>
    <w:rsid w:val="0019186B"/>
    <w:rsid w:val="00192E7A"/>
    <w:rsid w:val="0019341A"/>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3BE7"/>
    <w:rsid w:val="002B6FF8"/>
    <w:rsid w:val="002C41E6"/>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1C78"/>
    <w:rsid w:val="00463960"/>
    <w:rsid w:val="004669E2"/>
    <w:rsid w:val="00470C31"/>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D0349B"/>
    <w:rsid w:val="00D10249"/>
    <w:rsid w:val="00D115C3"/>
    <w:rsid w:val="00D11897"/>
    <w:rsid w:val="00D11D2B"/>
    <w:rsid w:val="00D13135"/>
    <w:rsid w:val="00D13E4E"/>
    <w:rsid w:val="00D239A7"/>
    <w:rsid w:val="00D23F47"/>
    <w:rsid w:val="00D36E71"/>
    <w:rsid w:val="00D36EC2"/>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styleId="Mention">
    <w:name w:val="Mention"/>
    <w:basedOn w:val="DefaultParagraphFont"/>
    <w:uiPriority w:val="99"/>
    <w:unhideWhenUsed/>
    <w:rsid w:val="00222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Intel-Yi</cp:lastModifiedBy>
  <cp:revision>2</cp:revision>
  <cp:lastPrinted>2008-01-31T07:09:00Z</cp:lastPrinted>
  <dcterms:created xsi:type="dcterms:W3CDTF">2021-05-27T06:32:00Z</dcterms:created>
  <dcterms:modified xsi:type="dcterms:W3CDTF">2021-05-27T06:32:00Z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