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collect companies view on preferred solution CCCH vs. DCCH with the aim to down-select</w:t>
      </w:r>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Heading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Heading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Huawei, HiSilicon</w:t>
            </w:r>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w:t>
            </w:r>
            <w:r>
              <w:rPr>
                <w:color w:val="A6A6A6" w:themeColor="background1" w:themeShade="A6"/>
              </w:rPr>
              <w:lastRenderedPageBreak/>
              <w:t>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 xml:space="preserve">this can be handled </w:t>
            </w:r>
            <w:r>
              <w:rPr>
                <w:color w:val="0000CC"/>
                <w:lang w:eastAsia="zh-TW"/>
              </w:rPr>
              <w:lastRenderedPageBreak/>
              <w:t>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Heading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w:t>
            </w:r>
            <w:r>
              <w:rPr>
                <w:color w:val="A6A6A6" w:themeColor="background1" w:themeShade="A6"/>
              </w:rPr>
              <w:lastRenderedPageBreak/>
              <w:t xml:space="preserve">Questions to narrow down these options and to understand how the actual procedure works will be useful. </w:t>
            </w:r>
          </w:p>
          <w:p w14:paraId="15B4B275" w14:textId="77777777" w:rsidR="00EA567C" w:rsidRPr="00E32894" w:rsidRDefault="00EA567C">
            <w:pPr>
              <w:spacing w:after="0"/>
              <w:rPr>
                <w:rFonts w:hint="eastAsia"/>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77777777"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w:t>
            </w:r>
            <w:r>
              <w:rPr>
                <w:color w:val="0000CC"/>
              </w:rPr>
              <w:lastRenderedPageBreak/>
              <w:t>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lastRenderedPageBreak/>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lastRenderedPageBreak/>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382.5pt;height:259.9pt;mso-width-percent:0;mso-height-percent:0;mso-width-percent:0;mso-height-percent:0" o:ole="">
            <v:imagedata r:id="rId11" o:title=""/>
          </v:shape>
          <o:OLEObject Type="Embed" ProgID="Visio.Drawing.11" ShapeID="_x0000_i1032" DrawAspect="Content" ObjectID="_1688570131" r:id="rId12"/>
        </w:object>
      </w:r>
    </w:p>
    <w:p w14:paraId="15B4B2DE" w14:textId="77777777"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15B4B2E1" w14:textId="77777777"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w:t>
      </w:r>
      <w:r>
        <w:rPr>
          <w:iCs/>
        </w:rPr>
        <w:lastRenderedPageBreak/>
        <w:t xml:space="preserve">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14:paraId="15B4B2EB" w14:textId="7777777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lastRenderedPageBreak/>
              <w:t xml:space="preserve">So, the question is whether we should ensure inorder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lastRenderedPageBreak/>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ListParagraph"/>
              <w:numPr>
                <w:ilvl w:val="0"/>
                <w:numId w:val="55"/>
              </w:numPr>
              <w:spacing w:after="0"/>
            </w:pPr>
            <w:r>
              <w:t xml:space="preserve">Approach A) Specification does not define how/whether UE or network prevents data loss or duplication. This approach A) allows to enable enhancements to minimize (or even prevent) </w:t>
            </w:r>
            <w:r>
              <w:lastRenderedPageBreak/>
              <w:t>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lastRenderedPageBreak/>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rFonts w:hint="eastAsia"/>
                <w:lang w:val="en-US" w:eastAsia="zh-CN"/>
              </w:rPr>
            </w:pPr>
            <w:r>
              <w:t xml:space="preserve">If we go for </w:t>
            </w:r>
            <w:r>
              <w:t>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rFonts w:hint="eastAsia"/>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ListParagraph"/>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BodyText"/>
        <w:numPr>
          <w:ilvl w:val="1"/>
          <w:numId w:val="41"/>
        </w:numPr>
        <w:spacing w:after="60"/>
        <w:jc w:val="both"/>
        <w:rPr>
          <w:color w:val="0000CC"/>
        </w:rPr>
      </w:pPr>
      <w:r>
        <w:rPr>
          <w:color w:val="0000CC"/>
        </w:rPr>
        <w:lastRenderedPageBreak/>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BodyText"/>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24"/>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lastRenderedPageBreak/>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rFonts w:hint="eastAsia"/>
                <w:lang w:eastAsia="zh-CN"/>
              </w:rPr>
            </w:pPr>
            <w:r>
              <w:rPr>
                <w:lang w:eastAsia="zh-CN"/>
              </w:rPr>
              <w:lastRenderedPageBreak/>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77777777"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ListParagraph"/>
        <w:numPr>
          <w:ilvl w:val="0"/>
          <w:numId w:val="45"/>
        </w:numPr>
        <w:jc w:val="both"/>
        <w:rPr>
          <w:ins w:id="26"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2402D070" w:rsidR="00EA567C" w:rsidRDefault="00786B2D">
      <w:pPr>
        <w:pStyle w:val="ListParagraph"/>
        <w:numPr>
          <w:ilvl w:val="0"/>
          <w:numId w:val="45"/>
        </w:numPr>
        <w:jc w:val="both"/>
        <w:rPr>
          <w:ins w:id="27" w:author="Intel" w:date="2021-07-20T22:01:00Z"/>
          <w:color w:val="0000CC"/>
        </w:rPr>
      </w:pPr>
      <w:ins w:id="28" w:author="Huawei" w:date="2021-07-01T13:50:00Z">
        <w:r>
          <w:rPr>
            <w:color w:val="0000CC"/>
          </w:rPr>
          <w:t>Current anchor gNB terminates and ongoing SDT procedure by sending RRCRelease message to the UE</w:t>
        </w:r>
      </w:ins>
      <w:ins w:id="29" w:author="Huawei" w:date="2021-07-01T13:51:00Z">
        <w:r>
          <w:rPr>
            <w:color w:val="0000CC"/>
          </w:rPr>
          <w:t xml:space="preserve"> (where NCC is provided). The UE triggers a new </w:t>
        </w:r>
        <w:commentRangeStart w:id="30"/>
        <w:r>
          <w:rPr>
            <w:color w:val="0000CC"/>
          </w:rPr>
          <w:t xml:space="preserve">non-SDT </w:t>
        </w:r>
      </w:ins>
      <w:commentRangeEnd w:id="30"/>
      <w:r>
        <w:rPr>
          <w:rStyle w:val="CommentReference"/>
        </w:rPr>
        <w:commentReference w:id="30"/>
      </w:r>
      <w:ins w:id="31" w:author="Huawei" w:date="2021-07-01T13:51:00Z">
        <w:r>
          <w:rPr>
            <w:color w:val="0000CC"/>
          </w:rPr>
          <w:t xml:space="preserve">RRC Resume procedure during which the anchor is relocated to the new serving </w:t>
        </w:r>
      </w:ins>
      <w:ins w:id="32" w:author="Huawei" w:date="2021-07-01T13:52:00Z">
        <w:r>
          <w:rPr>
            <w:color w:val="0000CC"/>
          </w:rPr>
          <w:t>gNB.</w:t>
        </w:r>
      </w:ins>
    </w:p>
    <w:p w14:paraId="5871724B" w14:textId="56103D5A" w:rsidR="0046793E" w:rsidRDefault="0046793E" w:rsidP="0046793E">
      <w:pPr>
        <w:pStyle w:val="ListParagraph"/>
        <w:spacing w:before="240"/>
        <w:contextualSpacing w:val="0"/>
        <w:jc w:val="both"/>
        <w:rPr>
          <w:ins w:id="33" w:author="Intel" w:date="2021-07-20T22:01:00Z"/>
          <w:color w:val="0000CC"/>
          <w:lang w:val="en-US"/>
        </w:rPr>
      </w:pPr>
      <w:ins w:id="34" w:author="Intel" w:date="2021-07-20T22:01:00Z">
        <w:r>
          <w:rPr>
            <w:b/>
            <w:bCs/>
            <w:color w:val="FF0000"/>
          </w:rPr>
          <w:t>[</w:t>
        </w:r>
        <w:r>
          <w:rPr>
            <w:b/>
            <w:bCs/>
            <w:color w:val="FF0000"/>
            <w:highlight w:val="yellow"/>
          </w:rPr>
          <w:t>07/</w:t>
        </w:r>
      </w:ins>
      <w:ins w:id="35" w:author="Intel" w:date="2021-07-20T22:02:00Z">
        <w:r>
          <w:rPr>
            <w:b/>
            <w:bCs/>
            <w:color w:val="FF0000"/>
            <w:highlight w:val="yellow"/>
          </w:rPr>
          <w:t>20</w:t>
        </w:r>
      </w:ins>
      <w:ins w:id="36" w:author="Intel" w:date="2021-07-20T22:01:00Z">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lastRenderedPageBreak/>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bl>
    <w:p w14:paraId="15B4B37B" w14:textId="77777777" w:rsidR="00EA567C" w:rsidRDefault="00EA567C"/>
    <w:p w14:paraId="15B4B37C" w14:textId="77777777"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77777777" w:rsidR="00EA567C" w:rsidRDefault="00786B2D">
      <w:pPr>
        <w:pStyle w:val="ListParagraph"/>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lastRenderedPageBreak/>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rFonts w:hint="eastAsia"/>
                <w:lang w:eastAsia="zh-CN"/>
              </w:rPr>
            </w:pPr>
            <w:r>
              <w:rPr>
                <w:lang w:eastAsia="zh-CN"/>
              </w:rPr>
              <w:t>Apple</w:t>
            </w:r>
          </w:p>
        </w:tc>
        <w:tc>
          <w:tcPr>
            <w:tcW w:w="1620" w:type="dxa"/>
          </w:tcPr>
          <w:p w14:paraId="2C7DA37B" w14:textId="27C5B088" w:rsidR="004719FC" w:rsidRDefault="004719FC" w:rsidP="00D56910">
            <w:pPr>
              <w:spacing w:after="0"/>
              <w:rPr>
                <w:rFonts w:eastAsiaTheme="minorEastAsia" w:hint="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bl>
    <w:p w14:paraId="15B4B3B4" w14:textId="77777777" w:rsidR="00EA567C" w:rsidRDefault="00EA567C">
      <w:pPr>
        <w:rPr>
          <w:lang w:val="x-none" w:eastAsia="x-none"/>
        </w:rPr>
      </w:pPr>
    </w:p>
    <w:p w14:paraId="15B4B3B5" w14:textId="77777777"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lastRenderedPageBreak/>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hint="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rFonts w:hint="eastAsia"/>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rFonts w:hint="eastAsia"/>
                <w:lang w:eastAsia="zh-CN"/>
              </w:rPr>
            </w:pPr>
            <w:r>
              <w:rPr>
                <w:lang w:eastAsia="zh-CN"/>
              </w:rPr>
              <w:t xml:space="preserve">Our view is similar as Samsung’s, and the question to SA3 can first check whether the key can be reuse the current security key for SDT transmission. </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lastRenderedPageBreak/>
        <w:t>Topic #2: Radio bearer handling when switching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40"/>
    </w:p>
    <w:p w14:paraId="15B4B3DC" w14:textId="77777777" w:rsidR="00EA567C" w:rsidRDefault="00786B2D">
      <w:pPr>
        <w:pStyle w:val="observ"/>
        <w:ind w:left="360"/>
      </w:pPr>
      <w:r>
        <w:t xml:space="preserve">When switching from SDT to CONNECTED, it is left up to </w:t>
      </w:r>
      <w:bookmarkStart w:id="41" w:name="_Hlk74134203"/>
      <w:r>
        <w:t>network implementation that the data exchanged before triggering the fallback to resume is not lost (i.e. UE does not need to retransmit it) and SDT related data traffic can continue after UE gets CONNECTED</w:t>
      </w:r>
      <w:bookmarkEnd w:id="41"/>
      <w:r>
        <w:t>.</w:t>
      </w:r>
    </w:p>
    <w:bookmarkStart w:id="42" w:name="_Hlk75238081"/>
    <w:p w14:paraId="15B4B3DD" w14:textId="77777777"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43"/>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CommentReference"/>
          </w:rPr>
          <w:commentReference w:id="46"/>
        </w:r>
        <w:r>
          <w:rPr>
            <w:rFonts w:eastAsiaTheme="minorEastAsia"/>
            <w:color w:val="0000CC"/>
          </w:rPr>
          <w:delText>.</w:delText>
        </w:r>
      </w:del>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lastRenderedPageBreak/>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51" w:name="_Ref74135977"/>
      <w:bookmarkStart w:id="52" w:name="_Ref73829785"/>
      <w:bookmarkStart w:id="53" w:name="_Ref74125760"/>
      <w:bookmarkEnd w:id="50"/>
      <w:r>
        <w:t>General topics</w:t>
      </w:r>
      <w:bookmarkEnd w:id="51"/>
      <w:bookmarkEnd w:id="52"/>
      <w:bookmarkEnd w:id="53"/>
    </w:p>
    <w:p w14:paraId="15B4B40F" w14:textId="77777777" w:rsidR="00EA567C" w:rsidRDefault="00786B2D">
      <w:pPr>
        <w:pStyle w:val="Heading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56"/>
      <w:bookmarkEnd w:id="57"/>
      <w:r>
        <w:t xml:space="preserve">contention resolution has not been received by UE in Msg.4/Msg.B.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lastRenderedPageBreak/>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58"/>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rFonts w:hint="eastAsia"/>
                <w:lang w:eastAsia="zh-CN"/>
              </w:rPr>
            </w:pPr>
            <w:r>
              <w:rPr>
                <w:lang w:eastAsia="zh-CN"/>
              </w:rPr>
              <w:lastRenderedPageBreak/>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59"/>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rFonts w:hint="eastAsia"/>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bl>
    <w:p w14:paraId="15B4B44E" w14:textId="77777777" w:rsidR="00EA567C" w:rsidRDefault="00EA567C">
      <w:pPr>
        <w:jc w:val="both"/>
        <w:rPr>
          <w:color w:val="0000CC"/>
          <w:lang w:val="x-none"/>
        </w:rPr>
      </w:pPr>
    </w:p>
    <w:p w14:paraId="15B4B44F" w14:textId="77777777"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60"/>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rFonts w:hint="eastAsia"/>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61" w:name="_Ref74125826"/>
      <w:r>
        <w:lastRenderedPageBreak/>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62" w:name="_Ref74138568"/>
      <w:r>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15B4B474" w14:textId="77777777" w:rsidR="00EA567C" w:rsidRDefault="00786B2D">
      <w:pPr>
        <w:pStyle w:val="ListParagraph"/>
        <w:numPr>
          <w:ilvl w:val="0"/>
          <w:numId w:val="33"/>
        </w:numPr>
        <w:spacing w:after="120"/>
        <w:contextualSpacing w:val="0"/>
        <w:rPr>
          <w:ins w:id="63"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ListParagraph"/>
        <w:numPr>
          <w:ilvl w:val="0"/>
          <w:numId w:val="33"/>
        </w:numPr>
        <w:spacing w:after="120"/>
        <w:contextualSpacing w:val="0"/>
        <w:rPr>
          <w:ins w:id="64" w:author="Intel" w:date="2021-07-20T22:07:00Z"/>
          <w:color w:val="0000CC"/>
        </w:rPr>
      </w:pPr>
      <w:ins w:id="65" w:author="Huawei" w:date="2021-06-24T15:17:00Z">
        <w:r>
          <w:rPr>
            <w:color w:val="0000CC"/>
          </w:rPr>
          <w:t>Legacy behaviour with h</w:t>
        </w:r>
      </w:ins>
      <w:ins w:id="66" w:author="Huawei" w:date="2021-06-24T15:16:00Z">
        <w:r>
          <w:rPr>
            <w:color w:val="0000CC"/>
          </w:rPr>
          <w:t xml:space="preserve">orizontal key derivation </w:t>
        </w:r>
      </w:ins>
      <w:ins w:id="67" w:author="ZTE(EV)" w:date="2021-07-12T14:04:00Z">
        <w:r>
          <w:rPr>
            <w:color w:val="0000CC"/>
          </w:rPr>
          <w:t xml:space="preserve">using the key derived after the first RRCResume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KgNB*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CommentReference"/>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ListParagraph"/>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ListParagraph"/>
        <w:spacing w:after="120"/>
        <w:contextualSpacing w:val="0"/>
        <w:rPr>
          <w:color w:val="0000CC"/>
          <w:lang w:val="en-US"/>
        </w:rPr>
      </w:pPr>
    </w:p>
    <w:p w14:paraId="15B4B476" w14:textId="77777777" w:rsidR="00EA567C" w:rsidRDefault="00EA567C">
      <w:pPr>
        <w:pStyle w:val="ListParagraph"/>
        <w:numPr>
          <w:ilvl w:val="1"/>
          <w:numId w:val="8"/>
        </w:numPr>
        <w:spacing w:after="120"/>
        <w:rPr>
          <w:del w:id="79" w:author="ZTE(EV)" w:date="2021-07-12T14:08:00Z"/>
          <w:color w:val="0000CC"/>
        </w:rPr>
      </w:pPr>
    </w:p>
    <w:bookmarkStart w:id="80" w:name="_Hlk75224939"/>
    <w:p w14:paraId="15B4B477" w14:textId="77777777"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81"/>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 xml:space="preserve">Option 1c) allows to reuse legacy behaviour when it comes to PDCP entities handling, but avoids the issue of reusing the COUNT value with the same security key by calculating new security keys horizontally. As </w:t>
            </w:r>
            <w:r>
              <w:lastRenderedPageBreak/>
              <w:t>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lastRenderedPageBreak/>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ListParagraph"/>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ListParagraph"/>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lastRenderedPageBreak/>
              <w:t>For the initial RRCResume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lastRenderedPageBreak/>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rFonts w:hint="eastAsia"/>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procedure same as any legacy UE in RRC_INACTIVE</w:t>
      </w:r>
      <w:r>
        <w:rPr>
          <w:lang w:eastAsia="x-none"/>
        </w:rPr>
        <w:t>.</w:t>
      </w:r>
    </w:p>
    <w:p w14:paraId="15B4B4B6" w14:textId="77777777" w:rsidR="00EA567C" w:rsidRDefault="00EA567C"/>
    <w:p w14:paraId="15B4B4B7" w14:textId="77777777" w:rsidR="00EA567C" w:rsidRDefault="00786B2D">
      <w:pPr>
        <w:pStyle w:val="Heading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83"/>
    </w:p>
    <w:p w14:paraId="15B4B4BA" w14:textId="77777777"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8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 xml:space="preserve">Yes, but no new </w:t>
            </w:r>
            <w:r>
              <w:lastRenderedPageBreak/>
              <w:t>indication is required</w:t>
            </w:r>
          </w:p>
        </w:tc>
        <w:tc>
          <w:tcPr>
            <w:tcW w:w="6205" w:type="dxa"/>
          </w:tcPr>
          <w:p w14:paraId="15B4B4C3" w14:textId="77777777" w:rsidR="00EA567C" w:rsidRDefault="00786B2D">
            <w:pPr>
              <w:spacing w:after="0"/>
            </w:pPr>
            <w:r>
              <w:lastRenderedPageBreak/>
              <w:t xml:space="preserve">gNB will be able to detect that the RRCResumeRequest is coming from the same UE by reading the I-RNTI included in the message. There is no </w:t>
            </w:r>
            <w:r>
              <w:lastRenderedPageBreak/>
              <w:t>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lastRenderedPageBreak/>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 xml:space="preserve">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w:t>
            </w:r>
            <w:r w:rsidRPr="003D1C62">
              <w:lastRenderedPageBreak/>
              <w:t>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lastRenderedPageBreak/>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rFonts w:hint="eastAsia"/>
                <w:lang w:eastAsia="zh-CN"/>
              </w:rPr>
            </w:pPr>
            <w:r>
              <w:rPr>
                <w:lang w:eastAsia="zh-CN"/>
              </w:rPr>
              <w:t>Apple</w:t>
            </w:r>
          </w:p>
        </w:tc>
        <w:tc>
          <w:tcPr>
            <w:tcW w:w="1170" w:type="dxa"/>
          </w:tcPr>
          <w:p w14:paraId="0831BB1F" w14:textId="2DA08E47" w:rsidR="003F0FFF" w:rsidRDefault="003F0FFF" w:rsidP="00D56910">
            <w:pPr>
              <w:spacing w:after="0"/>
              <w:rPr>
                <w:rFonts w:hint="eastAsia"/>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rPr>
                <w:rFonts w:hint="eastAsia"/>
              </w:rPr>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bl>
    <w:p w14:paraId="15B4B4E2" w14:textId="77777777" w:rsidR="00EA567C" w:rsidRDefault="00EA567C"/>
    <w:p w14:paraId="15B4B4E3" w14:textId="77777777" w:rsidR="00EA567C" w:rsidRDefault="00786B2D">
      <w:pPr>
        <w:pStyle w:val="Heading3"/>
      </w:pPr>
      <w:bookmarkStart w:id="8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86" w:name="_Toc60776816"/>
      <w:bookmarkStart w:id="87" w:name="_Toc60867597"/>
      <w:r>
        <w:rPr>
          <w:rFonts w:ascii="Times New Roman" w:eastAsia="SimSun" w:hAnsi="Times New Roman" w:cs="Times New Roman"/>
          <w:b/>
          <w:bCs/>
          <w:sz w:val="20"/>
          <w:szCs w:val="20"/>
        </w:rPr>
        <w:t>Reception of the RRCRelease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SimSun"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lastRenderedPageBreak/>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9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lastRenderedPageBreak/>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rFonts w:hint="eastAsia"/>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t>The mechanism to be defined that enables the switch from SDT to non-SDT shall 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96"/>
    </w:p>
    <w:bookmarkStart w:id="97" w:name="_Hlk75225116"/>
    <w:p w14:paraId="15B4B52D" w14:textId="7777777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t>When switching from SDT to non-SDT via CCCH-based approach and if the PDCP COUNT is reset, how can the reuse of the same PDCP COUNT and the same security key for the RBs be prevented?</w:t>
      </w:r>
      <w:bookmarkEnd w:id="98"/>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lastRenderedPageBreak/>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rFonts w:hint="eastAsia"/>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99"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100" w:name="_Ref73980681"/>
      <w:r>
        <w:rPr>
          <w:lang w:val="en-US"/>
        </w:rPr>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lastRenderedPageBreak/>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7777777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15B4B559" w14:textId="77777777" w:rsidR="00EA567C" w:rsidRDefault="00786B2D">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3"/>
      <w:r>
        <w:rPr>
          <w:color w:val="0000CC"/>
        </w:rPr>
        <w:t>. (understanding that some of this is dependent on SA3 outcome)?</w:t>
      </w:r>
      <w:bookmarkEnd w:id="104"/>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lastRenderedPageBreak/>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31" type="#_x0000_t75" alt="" style="width:297.55pt;height:221.05pt;mso-width-percent:0;mso-height-percent:0;mso-width-percent:0;mso-height-percent:0" o:ole="">
                  <v:imagedata r:id="rId17" o:title=""/>
                </v:shape>
                <o:OLEObject Type="Embed" ProgID="Visio.Drawing.15" ShapeID="_x0000_i1031" DrawAspect="Content" ObjectID="_1688570132" r:id="rId18"/>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30" type="#_x0000_t75" alt="" style="width:297.55pt;height:221.05pt;mso-width-percent:0;mso-height-percent:0;mso-width-percent:0;mso-height-percent:0" o:ole="">
                  <v:imagedata r:id="rId19" o:title=""/>
                </v:shape>
                <o:OLEObject Type="Embed" ProgID="Visio.Drawing.15" ShapeID="_x0000_i1030" DrawAspect="Content" ObjectID="_1688570133" r:id="rId20"/>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9" type="#_x0000_t75" alt="" style="width:297.55pt;height:221.05pt;mso-width-percent:0;mso-height-percent:0;mso-width-percent:0;mso-height-percent:0" o:ole="">
                  <v:imagedata r:id="rId21" o:title=""/>
                </v:shape>
                <o:OLEObject Type="Embed" ProgID="Visio.Drawing.15" ShapeID="_x0000_i1029" DrawAspect="Content" ObjectID="_1688570134" r:id="rId22"/>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8" type="#_x0000_t75" alt="" style="width:297.55pt;height:253.7pt;mso-width-percent:0;mso-height-percent:0;mso-width-percent:0;mso-height-percent:0" o:ole="">
                  <v:imagedata r:id="rId23" o:title=""/>
                </v:shape>
                <o:OLEObject Type="Embed" ProgID="Visio.Drawing.15" ShapeID="_x0000_i1028" DrawAspect="Content" ObjectID="_1688570135" r:id="rId24"/>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lastRenderedPageBreak/>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rFonts w:hint="eastAsia"/>
                <w:lang w:eastAsia="zh-CN"/>
              </w:rPr>
            </w:pPr>
            <w:r>
              <w:rPr>
                <w:lang w:eastAsia="zh-CN"/>
              </w:rPr>
              <w:t>Apple</w:t>
            </w:r>
          </w:p>
        </w:tc>
        <w:tc>
          <w:tcPr>
            <w:tcW w:w="1170" w:type="dxa"/>
          </w:tcPr>
          <w:p w14:paraId="0615A827" w14:textId="5DBDCDE5" w:rsidR="00FD6D01" w:rsidRDefault="00FD6D01" w:rsidP="00D56910">
            <w:pPr>
              <w:spacing w:after="0"/>
              <w:rPr>
                <w:rFonts w:hint="eastAsia"/>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rFonts w:hint="eastAsia"/>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27" type="#_x0000_t75" alt="" style="width:349.9pt;height:388.7pt;mso-width-percent:0;mso-height-percent:0;mso-width-percent:0;mso-height-percent:0" o:ole="">
            <v:imagedata r:id="rId25" o:title=""/>
            <o:lock v:ext="edit" aspectratio="f"/>
          </v:shape>
          <o:OLEObject Type="Embed" ProgID="Visio.Drawing.15" ShapeID="_x0000_i1027" DrawAspect="Content" ObjectID="_1688570136" r:id="rId26"/>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77777777" w:rsidR="00EA567C" w:rsidRDefault="00786B2D">
      <w:pPr>
        <w:pStyle w:val="ListParagraph"/>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106"/>
    </w:p>
    <w:p w14:paraId="15B4B58C" w14:textId="77777777"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7"/>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rFonts w:hint="eastAsia"/>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26" type="#_x0000_t75" alt="" style="width:402.75pt;height:3in;mso-width-percent:0;mso-height-percent:0;mso-width-percent:0;mso-height-percent:0" o:ole="">
            <v:imagedata r:id="rId27" o:title=""/>
          </v:shape>
          <o:OLEObject Type="Embed" ProgID="Visio.Drawing.11" ShapeID="_x0000_i1026" DrawAspect="Content" ObjectID="_1688570137" r:id="rId28"/>
        </w:object>
      </w:r>
    </w:p>
    <w:p w14:paraId="15B4B5B4" w14:textId="77777777" w:rsidR="00EA567C" w:rsidRDefault="00786B2D">
      <w:pPr>
        <w:pStyle w:val="Caption"/>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the second RRCResumeReq (i.e., in step 7) be routed to the old anchor gNB regardless of anchor relocation or not</w:t>
      </w:r>
      <w:bookmarkEnd w:id="110"/>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77777777" w:rsidR="00EA567C" w:rsidRDefault="00786B2D">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111"/>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112"/>
    </w:p>
    <w:tbl>
      <w:tblPr>
        <w:tblStyle w:val="TableGrid"/>
        <w:tblW w:w="0" w:type="auto"/>
        <w:tblLook w:val="04A0" w:firstRow="1" w:lastRow="0" w:firstColumn="1" w:lastColumn="0" w:noHBand="0" w:noVBand="1"/>
      </w:tblPr>
      <w:tblGrid>
        <w:gridCol w:w="1971"/>
        <w:gridCol w:w="1199"/>
        <w:gridCol w:w="6180"/>
      </w:tblGrid>
      <w:tr w:rsidR="00EA567C" w14:paraId="15B4B5BE" w14:textId="77777777">
        <w:tc>
          <w:tcPr>
            <w:tcW w:w="1975"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tc>
          <w:tcPr>
            <w:tcW w:w="1975" w:type="dxa"/>
          </w:tcPr>
          <w:p w14:paraId="15B4B5BF" w14:textId="77777777" w:rsidR="00EA567C" w:rsidRDefault="00786B2D">
            <w:pPr>
              <w:spacing w:after="0"/>
            </w:pPr>
            <w:r>
              <w:t>Huawei, HiSilicon</w:t>
            </w:r>
          </w:p>
        </w:tc>
        <w:tc>
          <w:tcPr>
            <w:tcW w:w="1170" w:type="dxa"/>
          </w:tcPr>
          <w:p w14:paraId="15B4B5C0" w14:textId="77777777" w:rsidR="00EA567C" w:rsidRDefault="00786B2D">
            <w:pPr>
              <w:spacing w:after="0"/>
            </w:pPr>
            <w:r>
              <w:t>It depends on SA3</w:t>
            </w:r>
          </w:p>
        </w:tc>
        <w:tc>
          <w:tcPr>
            <w:tcW w:w="6205"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trPr>
          <w:trHeight w:val="43"/>
        </w:trPr>
        <w:tc>
          <w:tcPr>
            <w:tcW w:w="1975" w:type="dxa"/>
          </w:tcPr>
          <w:p w14:paraId="15B4B5C3" w14:textId="77777777" w:rsidR="00EA567C" w:rsidRDefault="00786B2D">
            <w:pPr>
              <w:spacing w:after="0"/>
            </w:pPr>
            <w:r>
              <w:t>ZTE</w:t>
            </w:r>
          </w:p>
        </w:tc>
        <w:tc>
          <w:tcPr>
            <w:tcW w:w="1170" w:type="dxa"/>
          </w:tcPr>
          <w:p w14:paraId="15B4B5C4" w14:textId="77777777" w:rsidR="00EA567C" w:rsidRDefault="00786B2D">
            <w:pPr>
              <w:spacing w:after="0"/>
            </w:pPr>
            <w:r>
              <w:t>See Q10</w:t>
            </w:r>
          </w:p>
        </w:tc>
        <w:tc>
          <w:tcPr>
            <w:tcW w:w="6205"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w:t>
            </w:r>
            <w:r>
              <w:lastRenderedPageBreak/>
              <w:t xml:space="preserve">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trPr>
          <w:trHeight w:val="43"/>
        </w:trPr>
        <w:tc>
          <w:tcPr>
            <w:tcW w:w="1975" w:type="dxa"/>
          </w:tcPr>
          <w:p w14:paraId="15B4B5CE" w14:textId="77777777" w:rsidR="00EA567C" w:rsidRDefault="00786B2D">
            <w:pPr>
              <w:spacing w:after="0"/>
            </w:pPr>
            <w:r>
              <w:lastRenderedPageBreak/>
              <w:t>InterDigital</w:t>
            </w:r>
          </w:p>
        </w:tc>
        <w:tc>
          <w:tcPr>
            <w:tcW w:w="1170" w:type="dxa"/>
          </w:tcPr>
          <w:p w14:paraId="15B4B5CF" w14:textId="77777777" w:rsidR="00EA567C" w:rsidRDefault="00786B2D">
            <w:pPr>
              <w:spacing w:after="0"/>
            </w:pPr>
            <w:r>
              <w:t>Yes</w:t>
            </w:r>
          </w:p>
        </w:tc>
        <w:tc>
          <w:tcPr>
            <w:tcW w:w="6205"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tc>
          <w:tcPr>
            <w:tcW w:w="1975" w:type="dxa"/>
          </w:tcPr>
          <w:p w14:paraId="15B4B5D3" w14:textId="77777777" w:rsidR="00EA567C" w:rsidRDefault="00786B2D">
            <w:pPr>
              <w:spacing w:after="0"/>
            </w:pPr>
            <w:r>
              <w:t>CATT</w:t>
            </w:r>
          </w:p>
        </w:tc>
        <w:tc>
          <w:tcPr>
            <w:tcW w:w="1170" w:type="dxa"/>
          </w:tcPr>
          <w:p w14:paraId="15B4B5D4" w14:textId="77777777" w:rsidR="00EA567C" w:rsidRDefault="00786B2D">
            <w:pPr>
              <w:spacing w:after="0"/>
            </w:pPr>
            <w:r>
              <w:t>Yes</w:t>
            </w:r>
          </w:p>
        </w:tc>
        <w:tc>
          <w:tcPr>
            <w:tcW w:w="6205"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tc>
          <w:tcPr>
            <w:tcW w:w="1975" w:type="dxa"/>
          </w:tcPr>
          <w:p w14:paraId="15B4B5D8" w14:textId="77777777" w:rsidR="00EA567C" w:rsidRDefault="00786B2D">
            <w:pPr>
              <w:spacing w:after="0"/>
            </w:pPr>
            <w:r>
              <w:rPr>
                <w:rFonts w:eastAsiaTheme="minorEastAsia" w:hint="eastAsia"/>
              </w:rPr>
              <w:t>Samsung</w:t>
            </w:r>
          </w:p>
        </w:tc>
        <w:tc>
          <w:tcPr>
            <w:tcW w:w="1170" w:type="dxa"/>
          </w:tcPr>
          <w:p w14:paraId="15B4B5D9" w14:textId="77777777" w:rsidR="00EA567C" w:rsidRDefault="00EA567C">
            <w:pPr>
              <w:spacing w:after="0"/>
            </w:pPr>
          </w:p>
        </w:tc>
        <w:tc>
          <w:tcPr>
            <w:tcW w:w="6205"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tc>
          <w:tcPr>
            <w:tcW w:w="1975" w:type="dxa"/>
          </w:tcPr>
          <w:p w14:paraId="15B4B5DC" w14:textId="77777777" w:rsidR="00EA567C" w:rsidRDefault="00786B2D">
            <w:pPr>
              <w:spacing w:after="0"/>
              <w:rPr>
                <w:rFonts w:eastAsiaTheme="minorEastAsia"/>
              </w:rPr>
            </w:pPr>
            <w:r>
              <w:rPr>
                <w:rFonts w:eastAsiaTheme="minorEastAsia" w:hint="eastAsia"/>
              </w:rPr>
              <w:t>Fujitsu</w:t>
            </w:r>
          </w:p>
        </w:tc>
        <w:tc>
          <w:tcPr>
            <w:tcW w:w="1170" w:type="dxa"/>
          </w:tcPr>
          <w:p w14:paraId="15B4B5DD" w14:textId="77777777" w:rsidR="00EA567C" w:rsidRDefault="00786B2D">
            <w:pPr>
              <w:spacing w:after="0"/>
            </w:pPr>
            <w:r>
              <w:rPr>
                <w:rFonts w:eastAsiaTheme="minorEastAsia" w:hint="eastAsia"/>
              </w:rPr>
              <w:t>Yes</w:t>
            </w:r>
          </w:p>
        </w:tc>
        <w:tc>
          <w:tcPr>
            <w:tcW w:w="6205"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tc>
          <w:tcPr>
            <w:tcW w:w="1975" w:type="dxa"/>
          </w:tcPr>
          <w:p w14:paraId="15B4B5E0" w14:textId="77777777" w:rsidR="00EA567C" w:rsidRDefault="00786B2D">
            <w:pPr>
              <w:spacing w:after="0"/>
            </w:pPr>
            <w:r>
              <w:rPr>
                <w:rFonts w:hint="eastAsia"/>
              </w:rPr>
              <w:t>LG</w:t>
            </w:r>
          </w:p>
        </w:tc>
        <w:tc>
          <w:tcPr>
            <w:tcW w:w="1170"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205"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tc>
          <w:tcPr>
            <w:tcW w:w="1975" w:type="dxa"/>
          </w:tcPr>
          <w:p w14:paraId="248AB916" w14:textId="3346AC4F" w:rsidR="008F7925" w:rsidRDefault="008F7925" w:rsidP="008F7925">
            <w:pPr>
              <w:spacing w:after="0"/>
            </w:pPr>
            <w:r>
              <w:t>Intel</w:t>
            </w:r>
          </w:p>
        </w:tc>
        <w:tc>
          <w:tcPr>
            <w:tcW w:w="1170" w:type="dxa"/>
          </w:tcPr>
          <w:p w14:paraId="78EB4A92" w14:textId="394D2BCA" w:rsidR="008F7925" w:rsidRDefault="008F7925" w:rsidP="008F7925">
            <w:pPr>
              <w:spacing w:after="0"/>
              <w:rPr>
                <w:rFonts w:eastAsia="Malgun Gothic"/>
                <w:lang w:eastAsia="ko-KR"/>
              </w:rPr>
            </w:pPr>
            <w:r>
              <w:t>-</w:t>
            </w:r>
          </w:p>
        </w:tc>
        <w:tc>
          <w:tcPr>
            <w:tcW w:w="6205"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tc>
          <w:tcPr>
            <w:tcW w:w="1975" w:type="dxa"/>
          </w:tcPr>
          <w:p w14:paraId="60C9E207" w14:textId="0202C5EA" w:rsidR="00D56910" w:rsidRDefault="00D56910" w:rsidP="00D56910">
            <w:pPr>
              <w:spacing w:after="0"/>
            </w:pPr>
            <w:r>
              <w:rPr>
                <w:rFonts w:hint="eastAsia"/>
                <w:lang w:eastAsia="zh-CN"/>
              </w:rPr>
              <w:t>N</w:t>
            </w:r>
            <w:r>
              <w:rPr>
                <w:lang w:eastAsia="zh-CN"/>
              </w:rPr>
              <w:t>EC</w:t>
            </w:r>
          </w:p>
        </w:tc>
        <w:tc>
          <w:tcPr>
            <w:tcW w:w="1170" w:type="dxa"/>
          </w:tcPr>
          <w:p w14:paraId="3BF10B9F" w14:textId="3F6F57BB" w:rsidR="00D56910" w:rsidRDefault="00D56910" w:rsidP="00D56910">
            <w:pPr>
              <w:spacing w:after="0"/>
            </w:pPr>
            <w:r>
              <w:t xml:space="preserve">New security key is regenerated, but it is the same as previous </w:t>
            </w:r>
            <w:r>
              <w:lastRenderedPageBreak/>
              <w:t>one used during the SDT procedure</w:t>
            </w:r>
          </w:p>
        </w:tc>
        <w:tc>
          <w:tcPr>
            <w:tcW w:w="6205" w:type="dxa"/>
          </w:tcPr>
          <w:p w14:paraId="2D8583D8" w14:textId="77777777" w:rsidR="00D56910" w:rsidRDefault="00D56910" w:rsidP="00D56910">
            <w:pPr>
              <w:spacing w:after="0"/>
              <w:rPr>
                <w:lang w:eastAsia="zh-CN"/>
              </w:rPr>
            </w:pPr>
            <w:r>
              <w:rPr>
                <w:rFonts w:hint="eastAsia"/>
                <w:lang w:eastAsia="zh-CN"/>
              </w:rPr>
              <w:lastRenderedPageBreak/>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w:t>
            </w:r>
            <w:r w:rsidRPr="00206C83">
              <w:lastRenderedPageBreak/>
              <w:t xml:space="preserve">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tc>
          <w:tcPr>
            <w:tcW w:w="1975" w:type="dxa"/>
          </w:tcPr>
          <w:p w14:paraId="0C8DD02A" w14:textId="415EF477" w:rsidR="00D70287" w:rsidRDefault="00D70287" w:rsidP="00D56910">
            <w:pPr>
              <w:spacing w:after="0"/>
              <w:rPr>
                <w:rFonts w:hint="eastAsia"/>
                <w:lang w:eastAsia="zh-CN"/>
              </w:rPr>
            </w:pPr>
            <w:r>
              <w:rPr>
                <w:lang w:eastAsia="zh-CN"/>
              </w:rPr>
              <w:lastRenderedPageBreak/>
              <w:t>Apple</w:t>
            </w:r>
          </w:p>
        </w:tc>
        <w:tc>
          <w:tcPr>
            <w:tcW w:w="1170" w:type="dxa"/>
          </w:tcPr>
          <w:p w14:paraId="37779627" w14:textId="77777777" w:rsidR="00D70287" w:rsidRDefault="00D70287" w:rsidP="00D56910">
            <w:pPr>
              <w:spacing w:after="0"/>
            </w:pPr>
          </w:p>
        </w:tc>
        <w:tc>
          <w:tcPr>
            <w:tcW w:w="6205" w:type="dxa"/>
          </w:tcPr>
          <w:p w14:paraId="01C8272B" w14:textId="68A6A513" w:rsidR="00D70287" w:rsidRDefault="00D70287" w:rsidP="00D56910">
            <w:pPr>
              <w:spacing w:after="0"/>
              <w:rPr>
                <w:rFonts w:hint="eastAsia"/>
                <w:lang w:eastAsia="zh-CN"/>
              </w:rPr>
            </w:pPr>
            <w:r>
              <w:rPr>
                <w:lang w:eastAsia="zh-CN"/>
              </w:rPr>
              <w:t xml:space="preserve">Prefer to check with SA3. </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114" w:name="_Ref75008109"/>
      <w:r>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77777777"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16"/>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lastRenderedPageBreak/>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In our understanding, NAS is not aware whether a RB is or not configured for SDT operation although CT1 confirmation of this may be required. Therefore, detecting SDT or non-SDT data could be left up to UE implementation or if any, SDAP may be the optimum layer to handle this. 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rFonts w:hint="eastAsia"/>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rFonts w:hint="eastAsia"/>
                <w:lang w:eastAsia="zh-CN"/>
              </w:rPr>
            </w:pPr>
            <w:r>
              <w:rPr>
                <w:lang w:eastAsia="zh-CN"/>
              </w:rPr>
              <w:t xml:space="preserve">Same view as CATT.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ListParagraph"/>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t>For DCCH-based approach, which previous option 10.x or new option is preferable for UE to send the indication/request to switch into CONNECTED when non-SDT becomes available during an ongoing SDT session?</w:t>
      </w:r>
      <w:bookmarkEnd w:id="118"/>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lastRenderedPageBreak/>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rFonts w:hint="eastAsia"/>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7777777"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77777777"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19"/>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lastRenderedPageBreak/>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bl>
    <w:p w14:paraId="15B4B66A" w14:textId="77777777" w:rsidR="00EA567C" w:rsidRDefault="00EA567C">
      <w:pPr>
        <w:spacing w:after="120"/>
        <w:jc w:val="both"/>
      </w:pPr>
    </w:p>
    <w:p w14:paraId="15B4B66B" w14:textId="77777777" w:rsidR="00EA567C" w:rsidRDefault="00786B2D">
      <w:pPr>
        <w:pStyle w:val="Heading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121"/>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122"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lastRenderedPageBreak/>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rFonts w:hint="eastAsia"/>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bl>
    <w:p w14:paraId="15B4B690" w14:textId="77777777" w:rsidR="00EA567C" w:rsidRDefault="00EA567C">
      <w:pPr>
        <w:spacing w:after="120"/>
        <w:jc w:val="both"/>
      </w:pPr>
    </w:p>
    <w:bookmarkStart w:id="123" w:name="_Ref75224202"/>
    <w:p w14:paraId="15B4B691" w14:textId="77777777"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24" w:name="_Ref75224054"/>
      <w:r>
        <w:rPr>
          <w:color w:val="0000CC"/>
        </w:rPr>
        <w:t xml:space="preserve">What is the expected UE behaviour after UE sends DCCH message during an ongoing SDT session? </w:t>
      </w:r>
      <w:r w:rsidR="00474DB9">
        <w:rPr>
          <w:color w:val="0000CC"/>
        </w:rPr>
        <w:t>C</w:t>
      </w:r>
      <w:r>
        <w:rPr>
          <w:color w:val="0000CC"/>
        </w:rPr>
        <w:t>onsider the following options.</w:t>
      </w:r>
      <w:bookmarkEnd w:id="124"/>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lastRenderedPageBreak/>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lastRenderedPageBreak/>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he 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rFonts w:hint="eastAsia"/>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rFonts w:hint="eastAsia"/>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25" w:name="_Ref75007984"/>
      <w:r>
        <w:t>[DCCH point (3)] release from SDT to INACTIVE</w:t>
      </w:r>
      <w:bookmarkEnd w:id="125"/>
    </w:p>
    <w:bookmarkStart w:id="126" w:name="_Hlk75225428"/>
    <w:p w14:paraId="15B4B6C0" w14:textId="77777777"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27"/>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lastRenderedPageBreak/>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 xml:space="preserve">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w:t>
            </w:r>
            <w:r>
              <w:lastRenderedPageBreak/>
              <w:t>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lastRenderedPageBreak/>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rFonts w:hint="eastAsia"/>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28" w:name="_Ref75009329"/>
      <w:r>
        <w:t xml:space="preserve">[DCCH point (4)] </w:t>
      </w:r>
      <w:bookmarkEnd w:id="128"/>
      <w:r>
        <w:t>UL grant availability</w:t>
      </w:r>
    </w:p>
    <w:p w14:paraId="15B4B6ED" w14:textId="77777777"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What is the expected UE behaviour if there is no UL grant for a UE to send the DCCH message for non-SDT data indication during an ongoing SDT session?</w:t>
      </w:r>
      <w:bookmarkEnd w:id="129"/>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w:t>
            </w:r>
            <w:r>
              <w:rPr>
                <w:lang w:eastAsia="zh-CN"/>
              </w:rPr>
              <w:lastRenderedPageBreak/>
              <w:t>not able to be transmitted at all, and UE has to start over one RRC Resume procedure as 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rFonts w:hint="eastAsia"/>
                <w:lang w:eastAsia="zh-CN"/>
              </w:rPr>
            </w:pPr>
            <w:r>
              <w:rPr>
                <w:lang w:eastAsia="zh-CN"/>
              </w:rPr>
              <w:lastRenderedPageBreak/>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30" w:name="_Ref74123323"/>
      <w:bookmarkStart w:id="131" w:name="_Ref74146897"/>
      <w:r>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32" w:name="_Hlk73969416"/>
      <w:r>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77777777"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lastRenderedPageBreak/>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lastRenderedPageBreak/>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rFonts w:hint="eastAsia"/>
                <w:lang w:eastAsia="zh-CN"/>
              </w:rPr>
            </w:pPr>
            <w:r>
              <w:rPr>
                <w:lang w:eastAsia="zh-CN"/>
              </w:rPr>
              <w:t>Apple</w:t>
            </w:r>
          </w:p>
        </w:tc>
        <w:tc>
          <w:tcPr>
            <w:tcW w:w="1170" w:type="dxa"/>
          </w:tcPr>
          <w:p w14:paraId="5CA76797" w14:textId="1D93D6EF" w:rsidR="007D6636" w:rsidRDefault="007D6636" w:rsidP="00D56910">
            <w:pPr>
              <w:spacing w:after="0"/>
              <w:rPr>
                <w:rFonts w:hint="eastAsia"/>
                <w:lang w:eastAsia="zh-CN"/>
              </w:rPr>
            </w:pPr>
            <w:r>
              <w:rPr>
                <w:lang w:eastAsia="zh-CN"/>
              </w:rPr>
              <w:t>1,2,3,4</w:t>
            </w:r>
          </w:p>
        </w:tc>
        <w:tc>
          <w:tcPr>
            <w:tcW w:w="6205" w:type="dxa"/>
          </w:tcPr>
          <w:p w14:paraId="1D3DF62E" w14:textId="1A2C9E02" w:rsidR="007D6636" w:rsidRDefault="0058321D" w:rsidP="00D56910">
            <w:pPr>
              <w:spacing w:after="0"/>
              <w:rPr>
                <w:rFonts w:hint="eastAsia"/>
                <w:lang w:eastAsia="zh-CN"/>
              </w:rPr>
            </w:pPr>
            <w:r>
              <w:rPr>
                <w:lang w:eastAsia="zh-CN"/>
              </w:rPr>
              <w:t>For event 5 and 6, the UE operation is same as legacy.</w:t>
            </w: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37" w:name="_Ref75010368"/>
      <w:r>
        <w:t>UE’s action upon detecting an abrupt termination/failure of an SDT session</w:t>
      </w:r>
      <w:bookmarkEnd w:id="137"/>
      <w:r>
        <w:t xml:space="preserve"> </w:t>
      </w:r>
    </w:p>
    <w:p w14:paraId="15B4B746" w14:textId="77777777" w:rsidR="00EA567C" w:rsidRDefault="00786B2D">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8"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38"/>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rFonts w:hint="eastAsia"/>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rFonts w:hint="eastAsia"/>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39" w:name="_Hlk75174134"/>
      <w:r>
        <w:t>transitions autonomously into RRC_IDLE</w:t>
      </w:r>
      <w:bookmarkEnd w:id="139"/>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15B4B77A" w14:textId="77777777" w:rsidR="00EA567C" w:rsidRDefault="00786B2D">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lastRenderedPageBreak/>
        <w:t>The new key is derived for the new cell (using the same NCC and the KgNB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ListParagraph"/>
        <w:numPr>
          <w:ilvl w:val="1"/>
          <w:numId w:val="6"/>
        </w:numPr>
        <w:spacing w:after="60"/>
        <w:contextualSpacing w:val="0"/>
        <w:jc w:val="both"/>
        <w:rPr>
          <w:color w:val="A6A6A6" w:themeColor="background1" w:themeShade="A6"/>
        </w:rPr>
      </w:pPr>
      <w:bookmarkStart w:id="14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40"/>
    <w:p w14:paraId="15B4B78A" w14:textId="77777777"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4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5B4B78E"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5B4B790"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lastRenderedPageBreak/>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25" type="#_x0000_t75" alt="" style="width:222.75pt;height:138.95pt;mso-width-percent:0;mso-height-percent:0;mso-width-percent:0;mso-height-percent:0" o:ole="">
                  <v:imagedata r:id="rId29" o:title=""/>
                </v:shape>
                <o:OLEObject Type="Embed" ProgID="Visio.Drawing.15" ShapeID="_x0000_i1025" DrawAspect="Content" ObjectID="_1688570138" r:id="rId30"/>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lastRenderedPageBreak/>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Heading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15B4B7BC"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5B4B7C0" w14:textId="77777777" w:rsidR="00EA567C" w:rsidRDefault="00786B2D">
      <w:pPr>
        <w:pStyle w:val="Proposal"/>
        <w:numPr>
          <w:ilvl w:val="0"/>
          <w:numId w:val="4"/>
        </w:numPr>
        <w:rPr>
          <w:b/>
          <w:bCs/>
        </w:rPr>
      </w:pPr>
      <w:bookmarkStart w:id="142" w:name="_Toc69291230"/>
      <w:bookmarkStart w:id="143" w:name="_Toc69291231"/>
      <w:bookmarkStart w:id="144" w:name="_Toc69291232"/>
      <w:bookmarkStart w:id="145" w:name="_Toc69291233"/>
      <w:bookmarkStart w:id="146" w:name="_Toc69291234"/>
      <w:bookmarkStart w:id="147" w:name="_Toc69291235"/>
      <w:bookmarkStart w:id="148" w:name="_Toc69291236"/>
      <w:bookmarkStart w:id="149" w:name="_Toc69291237"/>
      <w:bookmarkStart w:id="150" w:name="_Toc69291238"/>
      <w:bookmarkStart w:id="151" w:name="_Toc69291239"/>
      <w:bookmarkStart w:id="152" w:name="_Toc69291240"/>
      <w:bookmarkStart w:id="153" w:name="_Toc69291241"/>
      <w:bookmarkStart w:id="154" w:name="_Toc69291242"/>
      <w:bookmarkStart w:id="155" w:name="_Toc69291243"/>
      <w:bookmarkStart w:id="156" w:name="_Toc69291244"/>
      <w:bookmarkStart w:id="157" w:name="_Toc69291245"/>
      <w:bookmarkStart w:id="158" w:name="_Toc69291246"/>
      <w:bookmarkStart w:id="159" w:name="_Toc69291247"/>
      <w:bookmarkStart w:id="160" w:name="_Toc69291248"/>
      <w:bookmarkStart w:id="161" w:name="_Toc69291249"/>
      <w:bookmarkStart w:id="162" w:name="_Toc69291250"/>
      <w:bookmarkStart w:id="163" w:name="_Toc69291251"/>
      <w:bookmarkStart w:id="164" w:name="_Toc69291252"/>
      <w:bookmarkStart w:id="165" w:name="_Toc69291253"/>
      <w:bookmarkStart w:id="166" w:name="_Toc69291254"/>
      <w:bookmarkStart w:id="167" w:name="_Toc69291255"/>
      <w:bookmarkStart w:id="168" w:name="_Toc69291256"/>
      <w:bookmarkStart w:id="169" w:name="_Toc69291257"/>
      <w:bookmarkStart w:id="170" w:name="_Toc69291258"/>
      <w:bookmarkStart w:id="171" w:name="_Toc69291259"/>
      <w:bookmarkStart w:id="172" w:name="_Toc69291260"/>
      <w:bookmarkStart w:id="173" w:name="_Toc69291261"/>
      <w:bookmarkStart w:id="174" w:name="_Toc69291262"/>
      <w:bookmarkStart w:id="175" w:name="_Toc69291263"/>
      <w:bookmarkStart w:id="176" w:name="_Toc69291264"/>
      <w:bookmarkStart w:id="177" w:name="_Toc69291265"/>
      <w:bookmarkStart w:id="178" w:name="_Toc69291266"/>
      <w:bookmarkStart w:id="179" w:name="_Toc69291267"/>
      <w:bookmarkStart w:id="180" w:name="_Toc69291268"/>
      <w:bookmarkStart w:id="181" w:name="_Toc69291269"/>
      <w:bookmarkStart w:id="182" w:name="_Toc69291270"/>
      <w:bookmarkStart w:id="183" w:name="_Toc69291271"/>
      <w:bookmarkStart w:id="184" w:name="_Toc69291272"/>
      <w:bookmarkStart w:id="185" w:name="_Toc69291273"/>
      <w:bookmarkStart w:id="186" w:name="_Toc69291274"/>
      <w:bookmarkStart w:id="187" w:name="_Toc69291275"/>
      <w:bookmarkStart w:id="188" w:name="_Toc69291276"/>
      <w:bookmarkStart w:id="189" w:name="_Toc69291277"/>
      <w:bookmarkStart w:id="190" w:name="_Toc69291278"/>
      <w:bookmarkStart w:id="191" w:name="_Toc69291279"/>
      <w:bookmarkStart w:id="192" w:name="_Toc69291280"/>
      <w:bookmarkStart w:id="193" w:name="_Toc69291281"/>
      <w:bookmarkStart w:id="194" w:name="_Toc69291282"/>
      <w:bookmarkStart w:id="195" w:name="_Toc69291283"/>
      <w:bookmarkStart w:id="196" w:name="_Toc69291284"/>
      <w:bookmarkStart w:id="197" w:name="_Toc69291285"/>
      <w:bookmarkStart w:id="198" w:name="_Toc69291286"/>
      <w:bookmarkStart w:id="199" w:name="_Toc69291287"/>
      <w:bookmarkStart w:id="200" w:name="_Toc69291288"/>
      <w:bookmarkStart w:id="201" w:name="_Toc69291289"/>
      <w:bookmarkStart w:id="202" w:name="_Toc69291290"/>
      <w:bookmarkStart w:id="203" w:name="_Toc69291291"/>
      <w:bookmarkStart w:id="204" w:name="_Toc69291292"/>
      <w:bookmarkStart w:id="205" w:name="_Toc69291293"/>
      <w:bookmarkStart w:id="206" w:name="_Toc69291294"/>
      <w:bookmarkStart w:id="207" w:name="_Toc69291295"/>
      <w:bookmarkStart w:id="208" w:name="_Toc69291296"/>
      <w:bookmarkStart w:id="209" w:name="_Toc69291297"/>
      <w:bookmarkStart w:id="210" w:name="_Toc69291298"/>
      <w:bookmarkStart w:id="211" w:name="_Toc69291299"/>
      <w:bookmarkStart w:id="212" w:name="_Toc69291300"/>
      <w:bookmarkStart w:id="213" w:name="_Toc69291301"/>
      <w:bookmarkStart w:id="214" w:name="_Toc69291302"/>
      <w:bookmarkStart w:id="215" w:name="_Toc69291303"/>
      <w:bookmarkStart w:id="216" w:name="_Toc69291304"/>
      <w:bookmarkStart w:id="217" w:name="_Toc69291305"/>
      <w:bookmarkStart w:id="218" w:name="_Toc69205206"/>
      <w:bookmarkStart w:id="219" w:name="_Toc69207415"/>
      <w:bookmarkStart w:id="220" w:name="_Toc69208496"/>
      <w:bookmarkStart w:id="221" w:name="_Toc69210335"/>
      <w:bookmarkStart w:id="222" w:name="_Toc69210606"/>
      <w:bookmarkStart w:id="223" w:name="_Toc69221740"/>
      <w:bookmarkStart w:id="224" w:name="_Ref69221882"/>
      <w:bookmarkStart w:id="225" w:name="_Toc69221898"/>
      <w:bookmarkStart w:id="226" w:name="_Toc69221941"/>
      <w:bookmarkStart w:id="227" w:name="_Toc69222488"/>
      <w:bookmarkStart w:id="228" w:name="_Toc69291306"/>
      <w:bookmarkStart w:id="229" w:name="_Toc693130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b/>
          <w:bCs/>
          <w:color w:val="00B050"/>
        </w:rPr>
        <w:t>[To agree]</w:t>
      </w:r>
      <w:r>
        <w:rPr>
          <w:b/>
          <w:bCs/>
        </w:rPr>
        <w:t xml:space="preserve"> </w:t>
      </w:r>
      <w:r>
        <w:rPr>
          <w:highlight w:val="yellow"/>
        </w:rPr>
        <w:t>xxx</w:t>
      </w:r>
      <w:bookmarkEnd w:id="218"/>
      <w:bookmarkEnd w:id="219"/>
      <w:bookmarkEnd w:id="220"/>
      <w:bookmarkEnd w:id="221"/>
      <w:bookmarkEnd w:id="222"/>
      <w:bookmarkEnd w:id="223"/>
      <w:bookmarkEnd w:id="224"/>
      <w:bookmarkEnd w:id="225"/>
      <w:bookmarkEnd w:id="226"/>
      <w:bookmarkEnd w:id="227"/>
      <w:bookmarkEnd w:id="228"/>
      <w:bookmarkEnd w:id="229"/>
    </w:p>
    <w:p w14:paraId="15B4B7C1" w14:textId="77777777" w:rsidR="00EA567C" w:rsidRDefault="00786B2D">
      <w:pPr>
        <w:pStyle w:val="Proposal"/>
        <w:numPr>
          <w:ilvl w:val="0"/>
          <w:numId w:val="4"/>
        </w:numPr>
        <w:rPr>
          <w:b/>
          <w:bCs/>
        </w:rPr>
      </w:pPr>
      <w:bookmarkStart w:id="230" w:name="_Toc69291307"/>
      <w:bookmarkStart w:id="231" w:name="_Toc69291308"/>
      <w:bookmarkStart w:id="232" w:name="_Toc69291309"/>
      <w:bookmarkStart w:id="233" w:name="_Toc69313082"/>
      <w:bookmarkStart w:id="234" w:name="_Toc69205209"/>
      <w:bookmarkStart w:id="235" w:name="_Toc69207418"/>
      <w:bookmarkStart w:id="236" w:name="_Toc69208499"/>
      <w:bookmarkStart w:id="237" w:name="_Toc69210338"/>
      <w:bookmarkStart w:id="238" w:name="_Toc69210609"/>
      <w:bookmarkStart w:id="239" w:name="_Toc69221743"/>
      <w:bookmarkStart w:id="240" w:name="_Toc69221901"/>
      <w:bookmarkStart w:id="241" w:name="_Toc69221944"/>
      <w:bookmarkStart w:id="242" w:name="_Toc69222491"/>
      <w:bookmarkEnd w:id="230"/>
      <w:bookmarkEnd w:id="231"/>
      <w:r>
        <w:rPr>
          <w:b/>
          <w:bCs/>
          <w:color w:val="0000CC"/>
        </w:rPr>
        <w:t>[To discuss]</w:t>
      </w:r>
      <w:r>
        <w:rPr>
          <w:b/>
          <w:bCs/>
        </w:rPr>
        <w:t xml:space="preserve"> </w:t>
      </w:r>
      <w:r>
        <w:rPr>
          <w:highlight w:val="yellow"/>
        </w:rPr>
        <w:t>xxx</w:t>
      </w:r>
      <w:bookmarkEnd w:id="232"/>
      <w:bookmarkEnd w:id="233"/>
    </w:p>
    <w:p w14:paraId="15B4B7C2" w14:textId="77777777" w:rsidR="00EA567C" w:rsidRDefault="00786B2D">
      <w:pPr>
        <w:pStyle w:val="Proposal"/>
        <w:numPr>
          <w:ilvl w:val="0"/>
          <w:numId w:val="4"/>
        </w:numPr>
        <w:rPr>
          <w:b/>
          <w:bCs/>
        </w:rPr>
      </w:pPr>
      <w:bookmarkStart w:id="243" w:name="_Toc69291310"/>
      <w:bookmarkStart w:id="244" w:name="_Toc69313083"/>
      <w:r>
        <w:rPr>
          <w:b/>
          <w:noProof/>
          <w:color w:val="C45911"/>
        </w:rPr>
        <w:t>[FFS]</w:t>
      </w:r>
      <w:r>
        <w:rPr>
          <w:bCs/>
          <w:noProof/>
          <w:color w:val="C45911"/>
        </w:rPr>
        <w:t xml:space="preserve"> </w:t>
      </w:r>
      <w:r>
        <w:rPr>
          <w:highlight w:val="yellow"/>
        </w:rPr>
        <w:t>xxx</w:t>
      </w:r>
      <w:bookmarkEnd w:id="243"/>
      <w:bookmarkEnd w:id="244"/>
    </w:p>
    <w:bookmarkEnd w:id="234"/>
    <w:bookmarkEnd w:id="235"/>
    <w:bookmarkEnd w:id="236"/>
    <w:bookmarkEnd w:id="237"/>
    <w:bookmarkEnd w:id="238"/>
    <w:bookmarkEnd w:id="239"/>
    <w:bookmarkEnd w:id="240"/>
    <w:bookmarkEnd w:id="241"/>
    <w:bookmarkEnd w:id="242"/>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5" w:name="_Toc68865237"/>
      <w:r>
        <w:rPr>
          <w:highlight w:val="yellow"/>
        </w:rPr>
        <w:t>xxxx</w:t>
      </w:r>
      <w:r>
        <w:t>.</w:t>
      </w:r>
      <w:bookmarkEnd w:id="245"/>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Heading1"/>
        <w:numPr>
          <w:ilvl w:val="0"/>
          <w:numId w:val="2"/>
        </w:numPr>
      </w:pPr>
      <w:r>
        <w:lastRenderedPageBreak/>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TOC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TOC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Heading1"/>
      </w:pPr>
      <w:r>
        <w:t xml:space="preserve">Annex: </w:t>
      </w:r>
      <w:bookmarkStart w:id="246" w:name="OLE_LINK490"/>
      <w:bookmarkStart w:id="247" w:name="OLE_LINK491"/>
      <w:r>
        <w:t>companies’ point of contact</w:t>
      </w:r>
      <w:bookmarkEnd w:id="246"/>
      <w:bookmarkEnd w:id="247"/>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77777777" w:rsidR="00EA567C" w:rsidRDefault="00786B2D">
            <w:pPr>
              <w:spacing w:after="0"/>
            </w:pPr>
            <w:r>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8C3836">
            <w:pPr>
              <w:spacing w:after="0"/>
              <w:rPr>
                <w:rFonts w:eastAsiaTheme="minorEastAsia"/>
              </w:rPr>
            </w:pPr>
            <w:hyperlink r:id="rId31"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tc>
          <w:tcPr>
            <w:tcW w:w="1760" w:type="dxa"/>
          </w:tcPr>
          <w:p w14:paraId="15B4B7FC" w14:textId="4A082EAA" w:rsidR="00EA567C" w:rsidRDefault="00EA567C">
            <w:pPr>
              <w:spacing w:after="0"/>
            </w:pPr>
          </w:p>
        </w:tc>
        <w:tc>
          <w:tcPr>
            <w:tcW w:w="2687" w:type="dxa"/>
          </w:tcPr>
          <w:p w14:paraId="15B4B7FD" w14:textId="52ACCB82" w:rsidR="00EA567C" w:rsidRDefault="00EA567C">
            <w:pPr>
              <w:spacing w:after="0"/>
              <w:rPr>
                <w:lang w:eastAsia="zh-CN"/>
              </w:rPr>
            </w:pPr>
          </w:p>
        </w:tc>
        <w:tc>
          <w:tcPr>
            <w:tcW w:w="4903" w:type="dxa"/>
          </w:tcPr>
          <w:p w14:paraId="15B4B7FE" w14:textId="640298CD" w:rsidR="00EA567C" w:rsidRDefault="00EA567C">
            <w:pPr>
              <w:spacing w:after="0"/>
              <w:rPr>
                <w:lang w:eastAsia="zh-CN"/>
              </w:rPr>
            </w:pPr>
          </w:p>
        </w:tc>
      </w:tr>
      <w:tr w:rsidR="00EA567C" w14:paraId="15B4B803" w14:textId="77777777">
        <w:tc>
          <w:tcPr>
            <w:tcW w:w="1760" w:type="dxa"/>
          </w:tcPr>
          <w:p w14:paraId="15B4B800" w14:textId="77777777" w:rsidR="00EA567C" w:rsidRDefault="00EA567C">
            <w:pPr>
              <w:spacing w:after="0"/>
            </w:pPr>
          </w:p>
        </w:tc>
        <w:tc>
          <w:tcPr>
            <w:tcW w:w="2687" w:type="dxa"/>
          </w:tcPr>
          <w:p w14:paraId="15B4B801" w14:textId="77777777" w:rsidR="00EA567C" w:rsidRDefault="00EA567C">
            <w:pPr>
              <w:spacing w:after="0"/>
            </w:pPr>
          </w:p>
        </w:tc>
        <w:tc>
          <w:tcPr>
            <w:tcW w:w="4903" w:type="dxa"/>
          </w:tcPr>
          <w:p w14:paraId="15B4B802" w14:textId="77777777" w:rsidR="00EA567C" w:rsidRDefault="00EA567C">
            <w:pPr>
              <w:spacing w:after="0"/>
            </w:pPr>
          </w:p>
        </w:tc>
      </w:tr>
      <w:tr w:rsidR="00EA567C" w14:paraId="15B4B807" w14:textId="77777777">
        <w:tc>
          <w:tcPr>
            <w:tcW w:w="1760" w:type="dxa"/>
          </w:tcPr>
          <w:p w14:paraId="15B4B804" w14:textId="77777777" w:rsidR="00EA567C" w:rsidRDefault="00EA567C">
            <w:pPr>
              <w:spacing w:after="0"/>
            </w:pPr>
          </w:p>
        </w:tc>
        <w:tc>
          <w:tcPr>
            <w:tcW w:w="2687" w:type="dxa"/>
          </w:tcPr>
          <w:p w14:paraId="15B4B805" w14:textId="77777777" w:rsidR="00EA567C" w:rsidRDefault="00EA567C">
            <w:pPr>
              <w:spacing w:after="0"/>
            </w:pPr>
          </w:p>
        </w:tc>
        <w:tc>
          <w:tcPr>
            <w:tcW w:w="4903" w:type="dxa"/>
          </w:tcPr>
          <w:p w14:paraId="15B4B806" w14:textId="77777777" w:rsidR="00EA567C" w:rsidRDefault="00EA567C">
            <w:pPr>
              <w:spacing w:after="0"/>
            </w:pPr>
          </w:p>
        </w:tc>
      </w:tr>
      <w:tr w:rsidR="00EA567C" w14:paraId="15B4B80B" w14:textId="77777777">
        <w:tc>
          <w:tcPr>
            <w:tcW w:w="1760" w:type="dxa"/>
          </w:tcPr>
          <w:p w14:paraId="15B4B808" w14:textId="77777777" w:rsidR="00EA567C" w:rsidRDefault="00EA567C">
            <w:pPr>
              <w:spacing w:after="0"/>
            </w:pPr>
          </w:p>
        </w:tc>
        <w:tc>
          <w:tcPr>
            <w:tcW w:w="2687" w:type="dxa"/>
          </w:tcPr>
          <w:p w14:paraId="15B4B809" w14:textId="77777777" w:rsidR="00EA567C" w:rsidRDefault="00EA567C">
            <w:pPr>
              <w:spacing w:after="0"/>
            </w:pPr>
          </w:p>
        </w:tc>
        <w:tc>
          <w:tcPr>
            <w:tcW w:w="4903" w:type="dxa"/>
          </w:tcPr>
          <w:p w14:paraId="15B4B80A" w14:textId="77777777" w:rsidR="00EA567C" w:rsidRDefault="00EA567C">
            <w:pPr>
              <w:spacing w:after="0"/>
            </w:pPr>
          </w:p>
        </w:tc>
      </w:tr>
      <w:tr w:rsidR="00EA567C" w14:paraId="15B4B80F" w14:textId="77777777">
        <w:tc>
          <w:tcPr>
            <w:tcW w:w="1760" w:type="dxa"/>
          </w:tcPr>
          <w:p w14:paraId="15B4B80C" w14:textId="77777777" w:rsidR="00EA567C" w:rsidRDefault="00EA567C">
            <w:pPr>
              <w:spacing w:after="0"/>
            </w:pPr>
          </w:p>
        </w:tc>
        <w:tc>
          <w:tcPr>
            <w:tcW w:w="2687" w:type="dxa"/>
          </w:tcPr>
          <w:p w14:paraId="15B4B80D" w14:textId="77777777" w:rsidR="00EA567C" w:rsidRDefault="00EA567C">
            <w:pPr>
              <w:spacing w:after="0"/>
            </w:pPr>
          </w:p>
        </w:tc>
        <w:tc>
          <w:tcPr>
            <w:tcW w:w="4903" w:type="dxa"/>
          </w:tcPr>
          <w:p w14:paraId="15B4B80E" w14:textId="77777777" w:rsidR="00EA567C" w:rsidRDefault="00EA567C">
            <w:pPr>
              <w:spacing w:after="0"/>
            </w:pP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248" w:name="_Ref434066290"/>
      <w:r>
        <w:lastRenderedPageBreak/>
        <w:t>Reference</w:t>
      </w:r>
      <w:bookmarkEnd w:id="248"/>
    </w:p>
    <w:p w14:paraId="15B4B814" w14:textId="77777777" w:rsidR="00EA567C" w:rsidRDefault="00786B2D">
      <w:pPr>
        <w:pStyle w:val="Doc-title"/>
        <w:numPr>
          <w:ilvl w:val="0"/>
          <w:numId w:val="3"/>
        </w:numPr>
        <w:spacing w:after="60"/>
        <w:rPr>
          <w:rFonts w:ascii="Times New Roman" w:hAnsi="Times New Roman" w:cs="Times New Roman"/>
          <w:sz w:val="20"/>
        </w:rPr>
      </w:pPr>
      <w:bookmarkStart w:id="249" w:name="_Ref74122356"/>
      <w:bookmarkEnd w:id="2"/>
      <w:r>
        <w:rPr>
          <w:rFonts w:ascii="Times New Roman" w:hAnsi="Times New Roman" w:cs="Times New Roman"/>
          <w:sz w:val="20"/>
        </w:rPr>
        <w:t>R2-2104771, Discussion on common control plane issues of SDT, OPPO</w:t>
      </w:r>
      <w:bookmarkEnd w:id="249"/>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0" w:name="_Ref74088741"/>
      <w:r>
        <w:rPr>
          <w:rFonts w:ascii="Times New Roman" w:hAnsi="Times New Roman" w:cs="Times New Roman"/>
          <w:sz w:val="20"/>
        </w:rPr>
        <w:t>R2-2104772, on RACH-based SDT, OPPO</w:t>
      </w:r>
      <w:bookmarkEnd w:id="250"/>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1" w:name="_Ref74089061"/>
      <w:r>
        <w:rPr>
          <w:rFonts w:ascii="Times New Roman" w:hAnsi="Times New Roman" w:cs="Times New Roman"/>
          <w:sz w:val="20"/>
        </w:rPr>
        <w:t>R2-2104785, Control Plane Common Aspects of RACH and CG based SDT, Samsung Electronics Co., Ltd</w:t>
      </w:r>
      <w:bookmarkEnd w:id="251"/>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2" w:name="_Ref74088838"/>
      <w:r>
        <w:rPr>
          <w:rFonts w:ascii="Times New Roman" w:hAnsi="Times New Roman" w:cs="Times New Roman"/>
          <w:sz w:val="20"/>
        </w:rPr>
        <w:t>R2-2104881, Failure and successful handling for an SDT session, Intel Corporation</w:t>
      </w:r>
      <w:bookmarkEnd w:id="252"/>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3" w:name="_Ref74088716"/>
      <w:r>
        <w:rPr>
          <w:rFonts w:ascii="Times New Roman" w:hAnsi="Times New Roman" w:cs="Times New Roman"/>
          <w:sz w:val="20"/>
        </w:rPr>
        <w:t>R2-2104882, CP-SDT remaining open issues, Intel Corporation</w:t>
      </w:r>
      <w:bookmarkEnd w:id="253"/>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4" w:name="_Ref74088521"/>
      <w:r>
        <w:rPr>
          <w:rFonts w:ascii="Times New Roman" w:hAnsi="Times New Roman" w:cs="Times New Roman"/>
          <w:sz w:val="20"/>
        </w:rPr>
        <w:t>R2-2104883, RA-SDT remaining open issues, Intel Corporation</w:t>
      </w:r>
      <w:bookmarkEnd w:id="254"/>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5" w:name="_Ref74089279"/>
      <w:r>
        <w:rPr>
          <w:rFonts w:ascii="Times New Roman" w:hAnsi="Times New Roman" w:cs="Times New Roman"/>
          <w:sz w:val="20"/>
        </w:rPr>
        <w:t>R2-2105101, Control plane aspects on the SDT procedure, Apple</w:t>
      </w:r>
      <w:bookmarkEnd w:id="255"/>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6" w:name="_Ref74088756"/>
      <w:r>
        <w:rPr>
          <w:rFonts w:ascii="Times New Roman" w:hAnsi="Times New Roman" w:cs="Times New Roman"/>
          <w:sz w:val="20"/>
        </w:rPr>
        <w:t>R2-2105281, Consideration on CP issues, CATT</w:t>
      </w:r>
      <w:bookmarkEnd w:id="256"/>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7" w:name="_Ref74088996"/>
      <w:r>
        <w:rPr>
          <w:rFonts w:ascii="Times New Roman" w:hAnsi="Times New Roman" w:cs="Times New Roman"/>
          <w:sz w:val="20"/>
        </w:rPr>
        <w:t>R2-2105448, Control plane aspects of SDT, NEC</w:t>
      </w:r>
      <w:bookmarkEnd w:id="257"/>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8" w:name="_Ref74089528"/>
      <w:r>
        <w:rPr>
          <w:rFonts w:ascii="Times New Roman" w:hAnsi="Times New Roman" w:cs="Times New Roman"/>
          <w:sz w:val="20"/>
        </w:rPr>
        <w:t>R2-2105549 on RACH-based SDT, Spreadtrum Communications</w:t>
      </w:r>
      <w:bookmarkEnd w:id="258"/>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59" w:name="_Ref74088665"/>
      <w:r>
        <w:rPr>
          <w:rFonts w:ascii="Times New Roman" w:hAnsi="Times New Roman" w:cs="Times New Roman"/>
          <w:sz w:val="20"/>
        </w:rPr>
        <w:t>R2-2105574, Small data transmission with RA-based schemes, Huawei, HiSilicon</w:t>
      </w:r>
      <w:bookmarkEnd w:id="259"/>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0" w:name="_Ref74088823"/>
      <w:r>
        <w:rPr>
          <w:rFonts w:ascii="Times New Roman" w:hAnsi="Times New Roman" w:cs="Times New Roman"/>
          <w:sz w:val="20"/>
        </w:rPr>
        <w:t>R2-2105575, Control plane common aspects for SDT, Huawei, HiSilicon</w:t>
      </w:r>
      <w:bookmarkEnd w:id="260"/>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1" w:name="_Ref74088986"/>
      <w:r>
        <w:rPr>
          <w:rFonts w:ascii="Times New Roman" w:hAnsi="Times New Roman" w:cs="Times New Roman"/>
          <w:sz w:val="20"/>
        </w:rPr>
        <w:t>R2-2105691, Discussion on subsequent SDT in NR, timer handling, and support for SRB1/2, Sony</w:t>
      </w:r>
      <w:bookmarkEnd w:id="261"/>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2" w:name="_Ref74088974"/>
      <w:r>
        <w:rPr>
          <w:rFonts w:ascii="Times New Roman" w:hAnsi="Times New Roman" w:cs="Times New Roman"/>
          <w:sz w:val="20"/>
        </w:rPr>
        <w:t>R2-2105760, Common aspects for SDT, Ericsson</w:t>
      </w:r>
      <w:bookmarkEnd w:id="262"/>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3" w:name="_Ref74089401"/>
      <w:r>
        <w:rPr>
          <w:rFonts w:ascii="Times New Roman" w:hAnsi="Times New Roman" w:cs="Times New Roman"/>
          <w:sz w:val="20"/>
        </w:rPr>
        <w:t>R2-2105810, Consideration on CP issues for small data transmission, Lenovo, Motorola Mobility</w:t>
      </w:r>
      <w:bookmarkEnd w:id="263"/>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4" w:name="_Ref74088868"/>
      <w:r>
        <w:rPr>
          <w:rFonts w:ascii="Times New Roman" w:hAnsi="Times New Roman" w:cs="Times New Roman"/>
          <w:sz w:val="20"/>
        </w:rPr>
        <w:t>R2-2105885, Discussion on open issues of SDT, Qualcomm Incorporated</w:t>
      </w:r>
      <w:bookmarkEnd w:id="264"/>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5" w:name="_Ref74088671"/>
      <w:r>
        <w:rPr>
          <w:rFonts w:ascii="Times New Roman" w:hAnsi="Times New Roman" w:cs="Times New Roman"/>
          <w:sz w:val="20"/>
        </w:rPr>
        <w:t>R2-2105886 on open issues for RACH based SDT, Qualcomm Incorporated, R2-2103433</w:t>
      </w:r>
      <w:bookmarkEnd w:id="265"/>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6" w:name="_Ref74088860"/>
      <w:r>
        <w:rPr>
          <w:rFonts w:ascii="Times New Roman" w:hAnsi="Times New Roman" w:cs="Times New Roman"/>
          <w:sz w:val="20"/>
        </w:rPr>
        <w:t>R2-2105928, Control plane common aspects of SDT, ZTE Corporation, Sanechips</w:t>
      </w:r>
      <w:bookmarkEnd w:id="266"/>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7" w:name="_Ref74088530"/>
      <w:r>
        <w:rPr>
          <w:rFonts w:ascii="Times New Roman" w:hAnsi="Times New Roman" w:cs="Times New Roman"/>
          <w:sz w:val="20"/>
        </w:rPr>
        <w:t>R2-2105929, Open issues for RACH based SDT, ZTE Corporation, Sanechips, Rel-17</w:t>
      </w:r>
      <w:bookmarkEnd w:id="267"/>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8" w:name="_Ref74088907"/>
      <w:r>
        <w:rPr>
          <w:rFonts w:ascii="Times New Roman" w:hAnsi="Times New Roman" w:cs="Times New Roman"/>
          <w:sz w:val="20"/>
        </w:rPr>
        <w:t>R2-2106050, SDT CP and configuration aspects, InterDigital</w:t>
      </w:r>
      <w:bookmarkEnd w:id="268"/>
    </w:p>
    <w:p w14:paraId="15B4B828" w14:textId="77777777" w:rsidR="00EA567C" w:rsidRDefault="00786B2D">
      <w:pPr>
        <w:pStyle w:val="Doc-title"/>
        <w:numPr>
          <w:ilvl w:val="0"/>
          <w:numId w:val="3"/>
        </w:numPr>
        <w:spacing w:after="60"/>
        <w:rPr>
          <w:rFonts w:ascii="Times New Roman" w:hAnsi="Times New Roman" w:cs="Times New Roman"/>
          <w:sz w:val="20"/>
        </w:rPr>
      </w:pPr>
      <w:bookmarkStart w:id="269" w:name="_Ref74089511"/>
      <w:r>
        <w:rPr>
          <w:rFonts w:ascii="Times New Roman" w:hAnsi="Times New Roman" w:cs="Times New Roman"/>
          <w:sz w:val="20"/>
        </w:rPr>
        <w:t>R2-2106132, Discussion on CP aspects of SDT, China Telecomunication Corp.</w:t>
      </w:r>
      <w:bookmarkEnd w:id="269"/>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0" w:name="_Ref74089097"/>
      <w:r>
        <w:rPr>
          <w:rFonts w:ascii="Times New Roman" w:hAnsi="Times New Roman" w:cs="Times New Roman"/>
          <w:sz w:val="20"/>
        </w:rPr>
        <w:t>R2-2106256, Anchor relocation and context fetch, CMCC</w:t>
      </w:r>
      <w:bookmarkEnd w:id="270"/>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1" w:name="_Ref74222895"/>
      <w:r>
        <w:rPr>
          <w:rFonts w:ascii="Times New Roman" w:hAnsi="Times New Roman" w:cs="Times New Roman"/>
          <w:sz w:val="20"/>
        </w:rPr>
        <w:t>R2-2104401, LS to SA3 on Small data transmissions, Interdigital, April 2021.</w:t>
      </w:r>
      <w:bookmarkEnd w:id="271"/>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2"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2"/>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ZTE(EV)" w:date="2021-07-12T14:00:00Z" w:initials="Z(EV)">
    <w:p w14:paraId="15B4B833" w14:textId="77777777" w:rsidR="00D56910" w:rsidRDefault="00D56910">
      <w:pPr>
        <w:pStyle w:val="CommentText"/>
      </w:pPr>
      <w:r>
        <w:rPr>
          <w:rStyle w:val="CommentReference"/>
        </w:rPr>
        <w:annotationRef/>
      </w:r>
      <w:r>
        <w:t xml:space="preserve">In this case we think the UE can initiate a new RRCResume procedure using the normal rules (and then the rest can be up to the network). </w:t>
      </w:r>
    </w:p>
  </w:comment>
  <w:comment w:id="46" w:author="Huawei" w:date="2021-06-24T13:59:00Z" w:initials="dk">
    <w:p w14:paraId="15B4B834" w14:textId="77777777" w:rsidR="00D56910" w:rsidRDefault="00D56910">
      <w:pPr>
        <w:pStyle w:val="CommentText"/>
      </w:pPr>
      <w:r>
        <w:rPr>
          <w:rStyle w:val="CommentReference"/>
        </w:rPr>
        <w:annotationRef/>
      </w:r>
      <w:r>
        <w:t>There is no such proposal in our paper, so perhaps the reference is wrong? On contrary, we have the following proposal in [12]:</w:t>
      </w:r>
    </w:p>
    <w:p w14:paraId="15B4B835" w14:textId="77777777" w:rsidR="00D56910" w:rsidRDefault="00D56910">
      <w:pPr>
        <w:rPr>
          <w:b/>
          <w:bCs/>
        </w:rPr>
      </w:pPr>
      <w:bookmarkStart w:id="47" w:name="OLE_LINK66"/>
      <w:r>
        <w:rPr>
          <w:b/>
          <w:bCs/>
        </w:rPr>
        <w:t>Proposal 8:</w:t>
      </w:r>
      <w:r>
        <w:rPr>
          <w:rFonts w:eastAsiaTheme="minorEastAsia"/>
          <w:b/>
        </w:rPr>
        <w:t xml:space="preserve"> When UE receives </w:t>
      </w:r>
      <w:r>
        <w:rPr>
          <w:rFonts w:eastAsiaTheme="minorEastAsia"/>
          <w:b/>
          <w:i/>
        </w:rPr>
        <w:t>RRCResume</w:t>
      </w:r>
      <w:r>
        <w:rPr>
          <w:rFonts w:eastAsiaTheme="minorEastAsia"/>
          <w:b/>
        </w:rPr>
        <w:t xml:space="preserve"> message in response to </w:t>
      </w:r>
      <w:r>
        <w:rPr>
          <w:rFonts w:eastAsiaTheme="minorEastAsia"/>
          <w:b/>
          <w:i/>
        </w:rPr>
        <w:t>RRCResumeRequest</w:t>
      </w:r>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D56910" w:rsidRDefault="00D56910">
      <w:pPr>
        <w:pStyle w:val="CommentText"/>
      </w:pPr>
      <w:r>
        <w:rPr>
          <w:rStyle w:val="CommentReference"/>
        </w:rPr>
        <w:annotationRef/>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D19FC" w14:textId="77777777" w:rsidR="008C3836" w:rsidRDefault="008C3836">
      <w:pPr>
        <w:spacing w:after="0" w:line="240" w:lineRule="auto"/>
      </w:pPr>
      <w:r>
        <w:separator/>
      </w:r>
    </w:p>
  </w:endnote>
  <w:endnote w:type="continuationSeparator" w:id="0">
    <w:p w14:paraId="36C56FB3" w14:textId="77777777" w:rsidR="008C3836" w:rsidRDefault="008C3836">
      <w:pPr>
        <w:spacing w:after="0" w:line="240" w:lineRule="auto"/>
      </w:pPr>
      <w:r>
        <w:continuationSeparator/>
      </w:r>
    </w:p>
  </w:endnote>
  <w:endnote w:type="continuationNotice" w:id="1">
    <w:p w14:paraId="6D81C293" w14:textId="77777777" w:rsidR="008C3836" w:rsidRDefault="008C3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A16D0" w14:textId="77777777" w:rsidR="008C3836" w:rsidRDefault="008C3836">
      <w:pPr>
        <w:spacing w:after="0" w:line="240" w:lineRule="auto"/>
      </w:pPr>
      <w:r>
        <w:separator/>
      </w:r>
    </w:p>
  </w:footnote>
  <w:footnote w:type="continuationSeparator" w:id="0">
    <w:p w14:paraId="66814DAF" w14:textId="77777777" w:rsidR="008C3836" w:rsidRDefault="008C3836">
      <w:pPr>
        <w:spacing w:after="0" w:line="240" w:lineRule="auto"/>
      </w:pPr>
      <w:r>
        <w:continuationSeparator/>
      </w:r>
    </w:p>
  </w:footnote>
  <w:footnote w:type="continuationNotice" w:id="1">
    <w:p w14:paraId="2ED472C0" w14:textId="77777777" w:rsidR="008C3836" w:rsidRDefault="008C38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23"/>
  </w:num>
  <w:num w:numId="6">
    <w:abstractNumId w:val="43"/>
  </w:num>
  <w:num w:numId="7">
    <w:abstractNumId w:val="47"/>
  </w:num>
  <w:num w:numId="8">
    <w:abstractNumId w:val="5"/>
  </w:num>
  <w:num w:numId="9">
    <w:abstractNumId w:val="20"/>
  </w:num>
  <w:num w:numId="10">
    <w:abstractNumId w:val="32"/>
  </w:num>
  <w:num w:numId="11">
    <w:abstractNumId w:val="49"/>
  </w:num>
  <w:num w:numId="12">
    <w:abstractNumId w:val="25"/>
  </w:num>
  <w:num w:numId="13">
    <w:abstractNumId w:val="7"/>
  </w:num>
  <w:num w:numId="14">
    <w:abstractNumId w:val="31"/>
  </w:num>
  <w:num w:numId="15">
    <w:abstractNumId w:val="42"/>
  </w:num>
  <w:num w:numId="16">
    <w:abstractNumId w:val="21"/>
  </w:num>
  <w:num w:numId="17">
    <w:abstractNumId w:val="26"/>
  </w:num>
  <w:num w:numId="18">
    <w:abstractNumId w:val="40"/>
  </w:num>
  <w:num w:numId="19">
    <w:abstractNumId w:val="19"/>
  </w:num>
  <w:num w:numId="20">
    <w:abstractNumId w:val="29"/>
  </w:num>
  <w:num w:numId="21">
    <w:abstractNumId w:val="36"/>
  </w:num>
  <w:num w:numId="22">
    <w:abstractNumId w:val="18"/>
  </w:num>
  <w:num w:numId="23">
    <w:abstractNumId w:val="14"/>
  </w:num>
  <w:num w:numId="24">
    <w:abstractNumId w:val="38"/>
  </w:num>
  <w:num w:numId="25">
    <w:abstractNumId w:val="27"/>
  </w:num>
  <w:num w:numId="26">
    <w:abstractNumId w:val="28"/>
  </w:num>
  <w:num w:numId="27">
    <w:abstractNumId w:val="45"/>
  </w:num>
  <w:num w:numId="28">
    <w:abstractNumId w:val="53"/>
  </w:num>
  <w:num w:numId="29">
    <w:abstractNumId w:val="9"/>
  </w:num>
  <w:num w:numId="30">
    <w:abstractNumId w:val="12"/>
  </w:num>
  <w:num w:numId="31">
    <w:abstractNumId w:val="50"/>
  </w:num>
  <w:num w:numId="32">
    <w:abstractNumId w:val="33"/>
  </w:num>
  <w:num w:numId="33">
    <w:abstractNumId w:val="44"/>
  </w:num>
  <w:num w:numId="34">
    <w:abstractNumId w:val="15"/>
  </w:num>
  <w:num w:numId="35">
    <w:abstractNumId w:val="0"/>
  </w:num>
  <w:num w:numId="36">
    <w:abstractNumId w:val="34"/>
  </w:num>
  <w:num w:numId="37">
    <w:abstractNumId w:val="52"/>
  </w:num>
  <w:num w:numId="38">
    <w:abstractNumId w:val="15"/>
  </w:num>
  <w:num w:numId="39">
    <w:abstractNumId w:val="13"/>
  </w:num>
  <w:num w:numId="40">
    <w:abstractNumId w:val="35"/>
  </w:num>
  <w:num w:numId="41">
    <w:abstractNumId w:val="4"/>
  </w:num>
  <w:num w:numId="42">
    <w:abstractNumId w:val="10"/>
  </w:num>
  <w:num w:numId="43">
    <w:abstractNumId w:val="48"/>
  </w:num>
  <w:num w:numId="44">
    <w:abstractNumId w:val="11"/>
  </w:num>
  <w:num w:numId="45">
    <w:abstractNumId w:val="46"/>
  </w:num>
  <w:num w:numId="46">
    <w:abstractNumId w:val="16"/>
  </w:num>
  <w:num w:numId="47">
    <w:abstractNumId w:val="24"/>
  </w:num>
  <w:num w:numId="48">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
  </w:num>
  <w:num w:numId="51">
    <w:abstractNumId w:val="51"/>
  </w:num>
  <w:num w:numId="52">
    <w:abstractNumId w:val="1"/>
  </w:num>
  <w:num w:numId="53">
    <w:abstractNumId w:val="8"/>
  </w:num>
  <w:num w:numId="54">
    <w:abstractNumId w:val="22"/>
  </w:num>
  <w:num w:numId="55">
    <w:abstractNumId w:val="38"/>
  </w:num>
  <w:num w:numId="56">
    <w:abstractNumId w:val="37"/>
  </w:num>
  <w:num w:numId="57">
    <w:abstractNumId w:val="30"/>
  </w:num>
  <w:num w:numId="58">
    <w:abstractNumId w:val="17"/>
  </w:num>
  <w:num w:numId="59">
    <w:abstractNumId w:val="3"/>
  </w:num>
  <w:num w:numId="60">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7C"/>
    <w:rsid w:val="00035B12"/>
    <w:rsid w:val="000B72AB"/>
    <w:rsid w:val="000C5235"/>
    <w:rsid w:val="00101B1B"/>
    <w:rsid w:val="00137DE0"/>
    <w:rsid w:val="001A4205"/>
    <w:rsid w:val="001A5295"/>
    <w:rsid w:val="002248EC"/>
    <w:rsid w:val="00262BDC"/>
    <w:rsid w:val="002777CB"/>
    <w:rsid w:val="00295735"/>
    <w:rsid w:val="002A2A14"/>
    <w:rsid w:val="00304C92"/>
    <w:rsid w:val="0036367D"/>
    <w:rsid w:val="00382CE0"/>
    <w:rsid w:val="003875A8"/>
    <w:rsid w:val="003909CD"/>
    <w:rsid w:val="00396753"/>
    <w:rsid w:val="003A606C"/>
    <w:rsid w:val="003D1C62"/>
    <w:rsid w:val="003F0FFF"/>
    <w:rsid w:val="00421E9C"/>
    <w:rsid w:val="004505A3"/>
    <w:rsid w:val="0046257B"/>
    <w:rsid w:val="0046793E"/>
    <w:rsid w:val="00470884"/>
    <w:rsid w:val="004719FC"/>
    <w:rsid w:val="00474DB9"/>
    <w:rsid w:val="00481D0E"/>
    <w:rsid w:val="00493DD6"/>
    <w:rsid w:val="004A7AEF"/>
    <w:rsid w:val="004B04B6"/>
    <w:rsid w:val="004E3600"/>
    <w:rsid w:val="00517022"/>
    <w:rsid w:val="005720B0"/>
    <w:rsid w:val="0058321D"/>
    <w:rsid w:val="00584FDD"/>
    <w:rsid w:val="005E5920"/>
    <w:rsid w:val="005F4475"/>
    <w:rsid w:val="005F6245"/>
    <w:rsid w:val="006135BD"/>
    <w:rsid w:val="00613B39"/>
    <w:rsid w:val="00661488"/>
    <w:rsid w:val="006751AF"/>
    <w:rsid w:val="0068159B"/>
    <w:rsid w:val="00705E21"/>
    <w:rsid w:val="00766D6F"/>
    <w:rsid w:val="00786B2D"/>
    <w:rsid w:val="007C606E"/>
    <w:rsid w:val="007D6636"/>
    <w:rsid w:val="00802C1C"/>
    <w:rsid w:val="00850F6A"/>
    <w:rsid w:val="00856218"/>
    <w:rsid w:val="008C3836"/>
    <w:rsid w:val="008F6268"/>
    <w:rsid w:val="008F7925"/>
    <w:rsid w:val="00901CFF"/>
    <w:rsid w:val="00917A74"/>
    <w:rsid w:val="009C6CE5"/>
    <w:rsid w:val="009E25BB"/>
    <w:rsid w:val="00A30CCD"/>
    <w:rsid w:val="00A50B88"/>
    <w:rsid w:val="00AE3088"/>
    <w:rsid w:val="00AE78A2"/>
    <w:rsid w:val="00AE79EF"/>
    <w:rsid w:val="00B31367"/>
    <w:rsid w:val="00B330E6"/>
    <w:rsid w:val="00B360B8"/>
    <w:rsid w:val="00B51950"/>
    <w:rsid w:val="00BB6D64"/>
    <w:rsid w:val="00BF3328"/>
    <w:rsid w:val="00C1027F"/>
    <w:rsid w:val="00C20A08"/>
    <w:rsid w:val="00C50497"/>
    <w:rsid w:val="00C972BE"/>
    <w:rsid w:val="00CF726A"/>
    <w:rsid w:val="00CF7EA7"/>
    <w:rsid w:val="00D14CB4"/>
    <w:rsid w:val="00D40E3B"/>
    <w:rsid w:val="00D415A6"/>
    <w:rsid w:val="00D52839"/>
    <w:rsid w:val="00D56910"/>
    <w:rsid w:val="00D57B88"/>
    <w:rsid w:val="00D70287"/>
    <w:rsid w:val="00DF1693"/>
    <w:rsid w:val="00E32894"/>
    <w:rsid w:val="00E802AC"/>
    <w:rsid w:val="00EA2B92"/>
    <w:rsid w:val="00EA567C"/>
    <w:rsid w:val="00EA7D9B"/>
    <w:rsid w:val="00EF1350"/>
    <w:rsid w:val="00F9333A"/>
    <w:rsid w:val="00FB128E"/>
    <w:rsid w:val="00FB57C7"/>
    <w:rsid w:val="00FD6ACF"/>
    <w:rsid w:val="00FD6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emf"/><Relationship Id="rId28"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mailto:ohta.yoshiaki@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vsd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E2EA80-9566-4F62-9650-4815220B0FF5}">
  <ds:schemaRefs>
    <ds:schemaRef ds:uri="http://schemas.openxmlformats.org/officeDocument/2006/bibliography"/>
  </ds:schemaRefs>
</ds:datastoreItem>
</file>

<file path=customXml/itemProps4.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56</Pages>
  <Words>23555</Words>
  <Characters>134270</Characters>
  <Application>Microsoft Office Word</Application>
  <DocSecurity>0</DocSecurity>
  <Lines>1118</Lines>
  <Paragraphs>315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Apple - Fangli</cp:lastModifiedBy>
  <cp:revision>115</cp:revision>
  <dcterms:created xsi:type="dcterms:W3CDTF">2021-07-20T03:39:00Z</dcterms:created>
  <dcterms:modified xsi:type="dcterms:W3CDTF">2021-07-23T09:05:00Z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