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A810D" w14:textId="77777777" w:rsidR="000557CA" w:rsidRDefault="00F41AFA">
      <w:pPr>
        <w:pStyle w:val="a9"/>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9"/>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9"/>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w:t>
      </w:r>
      <w:proofErr w:type="gramStart"/>
      <w:r>
        <w:rPr>
          <w:rFonts w:ascii="Arial" w:hAnsi="Arial" w:cs="Arial"/>
          <w:b/>
          <w:bCs/>
          <w:sz w:val="24"/>
        </w:rPr>
        <w:t>][</w:t>
      </w:r>
      <w:proofErr w:type="gramEnd"/>
      <w:r>
        <w:rPr>
          <w:rFonts w:ascii="Arial" w:hAnsi="Arial" w:cs="Arial"/>
          <w:b/>
          <w:bCs/>
          <w:sz w:val="24"/>
        </w:rPr>
        <w:t>233][</w:t>
      </w:r>
      <w:proofErr w:type="spellStart"/>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 xml:space="preserve">[Post114-e][233][R17 DCCA] </w:t>
      </w:r>
      <w:proofErr w:type="spellStart"/>
      <w:r>
        <w:t>Uu</w:t>
      </w:r>
      <w:proofErr w:type="spellEnd"/>
      <w:r>
        <w:t xml:space="preserve"> Message design for CPAC (CATT)</w:t>
      </w:r>
    </w:p>
    <w:p w14:paraId="5932688C" w14:textId="77777777" w:rsidR="000557CA" w:rsidRDefault="00F41AFA">
      <w:pPr>
        <w:pStyle w:val="EmailDiscussion2"/>
      </w:pPr>
      <w:r>
        <w:t xml:space="preserve">      Scope: Discuss </w:t>
      </w:r>
      <w:proofErr w:type="spellStart"/>
      <w:r>
        <w:t>Uu</w:t>
      </w:r>
      <w:proofErr w:type="spellEnd"/>
      <w:r>
        <w:t xml:space="preserve"> message design for CPAC (e.g. based on </w:t>
      </w:r>
      <w:hyperlink r:id="rId15" w:history="1">
        <w:r>
          <w:rPr>
            <w:rStyle w:val="ae"/>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RRC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c"/>
        <w:tblW w:w="0" w:type="auto"/>
        <w:tblLook w:val="04A0" w:firstRow="1" w:lastRow="0" w:firstColumn="1" w:lastColumn="0" w:noHBand="0" w:noVBand="1"/>
      </w:tblPr>
      <w:tblGrid>
        <w:gridCol w:w="1863"/>
        <w:gridCol w:w="2416"/>
        <w:gridCol w:w="5578"/>
      </w:tblGrid>
      <w:tr w:rsidR="000557CA" w14:paraId="3D9191F7" w14:textId="77777777">
        <w:tc>
          <w:tcPr>
            <w:tcW w:w="1875" w:type="dxa"/>
          </w:tcPr>
          <w:p w14:paraId="62C0FDA0" w14:textId="77777777" w:rsidR="000557CA" w:rsidRDefault="00F41AFA">
            <w:r>
              <w:t>Company</w:t>
            </w:r>
          </w:p>
        </w:tc>
        <w:tc>
          <w:tcPr>
            <w:tcW w:w="2131" w:type="dxa"/>
          </w:tcPr>
          <w:p w14:paraId="20CED3F5" w14:textId="77777777" w:rsidR="000557CA" w:rsidRDefault="00F41AFA">
            <w:r>
              <w:t xml:space="preserve">Reuse of the </w:t>
            </w:r>
            <w:proofErr w:type="spellStart"/>
            <w:r>
              <w:t>conditionalReconfiguration</w:t>
            </w:r>
            <w:proofErr w:type="spellEnd"/>
            <w:r>
              <w:t xml:space="preserve"> filed to configure CPAC (Agree/Disagree)</w:t>
            </w:r>
          </w:p>
        </w:tc>
        <w:tc>
          <w:tcPr>
            <w:tcW w:w="5625" w:type="dxa"/>
          </w:tcPr>
          <w:p w14:paraId="39A60FC2" w14:textId="77777777" w:rsidR="000557CA" w:rsidRDefault="00F41AFA">
            <w:r>
              <w:t>Comment</w:t>
            </w:r>
          </w:p>
          <w:p w14:paraId="32B75055" w14:textId="77777777" w:rsidR="000557CA" w:rsidRDefault="000557CA"/>
        </w:tc>
      </w:tr>
      <w:tr w:rsidR="000557CA" w14:paraId="454869B4" w14:textId="77777777">
        <w:tc>
          <w:tcPr>
            <w:tcW w:w="1875" w:type="dxa"/>
          </w:tcPr>
          <w:p w14:paraId="14997658" w14:textId="77777777" w:rsidR="000557CA" w:rsidRDefault="00F41AFA">
            <w:ins w:id="0" w:author="Icaro" w:date="2021-07-02T17:00:00Z">
              <w:r>
                <w:t>Ericsson</w:t>
              </w:r>
            </w:ins>
          </w:p>
        </w:tc>
        <w:tc>
          <w:tcPr>
            <w:tcW w:w="2131" w:type="dxa"/>
          </w:tcPr>
          <w:p w14:paraId="5E5DB7A1" w14:textId="77777777" w:rsidR="000557CA" w:rsidRDefault="00F41AFA">
            <w:ins w:id="1" w:author="Icaro" w:date="2021-07-02T17:00:00Z">
              <w:r>
                <w:t xml:space="preserve">Yes. </w:t>
              </w:r>
            </w:ins>
          </w:p>
        </w:tc>
        <w:tc>
          <w:tcPr>
            <w:tcW w:w="5625"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tc>
          <w:tcPr>
            <w:tcW w:w="1875" w:type="dxa"/>
          </w:tcPr>
          <w:p w14:paraId="060C0845" w14:textId="77777777" w:rsidR="000557CA" w:rsidRDefault="00F41AFA">
            <w:r>
              <w:t>MediaTek</w:t>
            </w:r>
          </w:p>
        </w:tc>
        <w:tc>
          <w:tcPr>
            <w:tcW w:w="2131" w:type="dxa"/>
          </w:tcPr>
          <w:p w14:paraId="16A5E56F" w14:textId="77777777" w:rsidR="000557CA" w:rsidRDefault="00F41AFA">
            <w:r>
              <w:t>Agree</w:t>
            </w:r>
          </w:p>
        </w:tc>
        <w:tc>
          <w:tcPr>
            <w:tcW w:w="5625" w:type="dxa"/>
          </w:tcPr>
          <w:p w14:paraId="755F86CC" w14:textId="77777777" w:rsidR="000557CA" w:rsidRDefault="000557CA">
            <w:pPr>
              <w:rPr>
                <w:lang w:val="en-US"/>
              </w:rPr>
            </w:pPr>
          </w:p>
        </w:tc>
      </w:tr>
      <w:tr w:rsidR="000557CA" w14:paraId="4EFF573C" w14:textId="77777777">
        <w:tc>
          <w:tcPr>
            <w:tcW w:w="1875" w:type="dxa"/>
          </w:tcPr>
          <w:p w14:paraId="184DBCFC" w14:textId="77777777" w:rsidR="000557CA" w:rsidRDefault="00F41AFA">
            <w:r>
              <w:t>CATT</w:t>
            </w:r>
          </w:p>
        </w:tc>
        <w:tc>
          <w:tcPr>
            <w:tcW w:w="2131" w:type="dxa"/>
          </w:tcPr>
          <w:p w14:paraId="7957C56B" w14:textId="77777777" w:rsidR="000557CA" w:rsidRDefault="00F41AFA">
            <w:r>
              <w:t>Agree</w:t>
            </w:r>
          </w:p>
        </w:tc>
        <w:tc>
          <w:tcPr>
            <w:tcW w:w="5625"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CPAC (all scenarios) in Rel-17.</w:t>
            </w:r>
          </w:p>
        </w:tc>
      </w:tr>
      <w:tr w:rsidR="000557CA" w14:paraId="5DD1A783" w14:textId="77777777">
        <w:tc>
          <w:tcPr>
            <w:tcW w:w="1875" w:type="dxa"/>
          </w:tcPr>
          <w:p w14:paraId="34C280F3" w14:textId="77777777" w:rsidR="000557CA" w:rsidRDefault="00F41AFA">
            <w:pPr>
              <w:rPr>
                <w:lang w:val="en-US" w:eastAsia="zh-CN"/>
              </w:rPr>
            </w:pPr>
            <w:r>
              <w:rPr>
                <w:rFonts w:hint="eastAsia"/>
                <w:lang w:val="en-US" w:eastAsia="zh-CN"/>
              </w:rPr>
              <w:t>ZTE</w:t>
            </w:r>
          </w:p>
        </w:tc>
        <w:tc>
          <w:tcPr>
            <w:tcW w:w="2131" w:type="dxa"/>
          </w:tcPr>
          <w:p w14:paraId="24D9B030" w14:textId="77777777" w:rsidR="000557CA" w:rsidRDefault="00F41AFA">
            <w:pPr>
              <w:rPr>
                <w:lang w:val="en-US" w:eastAsia="zh-CN"/>
              </w:rPr>
            </w:pPr>
            <w:r>
              <w:rPr>
                <w:rFonts w:hint="eastAsia"/>
                <w:lang w:val="en-US" w:eastAsia="zh-CN"/>
              </w:rPr>
              <w:t>Agree</w:t>
            </w:r>
          </w:p>
        </w:tc>
        <w:tc>
          <w:tcPr>
            <w:tcW w:w="5625" w:type="dxa"/>
          </w:tcPr>
          <w:p w14:paraId="4E48E6F8" w14:textId="77777777" w:rsidR="000557CA" w:rsidRDefault="000557CA">
            <w:pPr>
              <w:rPr>
                <w:lang w:val="en-US"/>
              </w:rPr>
            </w:pPr>
          </w:p>
        </w:tc>
      </w:tr>
      <w:tr w:rsidR="00FC152D" w14:paraId="7EA5FBDC" w14:textId="77777777">
        <w:tc>
          <w:tcPr>
            <w:tcW w:w="1875" w:type="dxa"/>
          </w:tcPr>
          <w:p w14:paraId="0BBFAAFC" w14:textId="5469C5C1" w:rsidR="00FC152D" w:rsidRDefault="00FC152D">
            <w:pPr>
              <w:rPr>
                <w:lang w:val="en-US" w:eastAsia="zh-CN"/>
              </w:rPr>
            </w:pPr>
            <w:r>
              <w:rPr>
                <w:lang w:val="en-US" w:eastAsia="zh-CN"/>
              </w:rPr>
              <w:t>Nokia</w:t>
            </w:r>
          </w:p>
        </w:tc>
        <w:tc>
          <w:tcPr>
            <w:tcW w:w="2131" w:type="dxa"/>
          </w:tcPr>
          <w:p w14:paraId="530F4E14" w14:textId="64B77DB8" w:rsidR="00FC152D" w:rsidRDefault="00FC152D">
            <w:pPr>
              <w:rPr>
                <w:lang w:val="en-US" w:eastAsia="zh-CN"/>
              </w:rPr>
            </w:pPr>
            <w:r>
              <w:rPr>
                <w:lang w:val="en-US" w:eastAsia="zh-CN"/>
              </w:rPr>
              <w:t>Agree</w:t>
            </w:r>
          </w:p>
        </w:tc>
        <w:tc>
          <w:tcPr>
            <w:tcW w:w="5625"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CPAC and CHO support (i.e. what is the maximum limit, how to distinguish these configurations, etc.).</w:t>
            </w:r>
          </w:p>
        </w:tc>
      </w:tr>
      <w:tr w:rsidR="00931F17" w14:paraId="0D4634CB" w14:textId="77777777">
        <w:tc>
          <w:tcPr>
            <w:tcW w:w="1875" w:type="dxa"/>
          </w:tcPr>
          <w:p w14:paraId="7A4C6952" w14:textId="70F367C2" w:rsidR="00931F17" w:rsidRDefault="00931F17">
            <w:pPr>
              <w:rPr>
                <w:lang w:val="en-US" w:eastAsia="zh-CN"/>
              </w:rPr>
            </w:pPr>
            <w:r>
              <w:rPr>
                <w:rFonts w:hint="eastAsia"/>
                <w:lang w:val="en-US" w:eastAsia="zh-CN"/>
              </w:rPr>
              <w:t>Sharp</w:t>
            </w:r>
          </w:p>
        </w:tc>
        <w:tc>
          <w:tcPr>
            <w:tcW w:w="2131" w:type="dxa"/>
          </w:tcPr>
          <w:p w14:paraId="60717582" w14:textId="6F2D06D7" w:rsidR="00931F17" w:rsidRDefault="00931F17">
            <w:pPr>
              <w:rPr>
                <w:lang w:val="en-US" w:eastAsia="zh-CN"/>
              </w:rPr>
            </w:pPr>
            <w:r>
              <w:rPr>
                <w:lang w:val="en-US" w:eastAsia="zh-CN"/>
              </w:rPr>
              <w:t>Agree</w:t>
            </w:r>
          </w:p>
        </w:tc>
        <w:tc>
          <w:tcPr>
            <w:tcW w:w="5625" w:type="dxa"/>
          </w:tcPr>
          <w:p w14:paraId="7BB5ECB1" w14:textId="77777777" w:rsidR="00931F17" w:rsidRPr="00FC152D" w:rsidRDefault="00931F17">
            <w:pPr>
              <w:rPr>
                <w:lang w:val="en-US"/>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MCG and SCG reconfiguration </w:t>
      </w:r>
      <w:proofErr w:type="gramStart"/>
      <w:r>
        <w:rPr>
          <w:rFonts w:ascii="Times New Roman" w:eastAsiaTheme="minorEastAsia" w:hAnsi="Times New Roman"/>
          <w:b/>
          <w:bCs/>
          <w:iCs/>
          <w:kern w:val="2"/>
          <w:sz w:val="21"/>
          <w:szCs w:val="21"/>
          <w:u w:val="single"/>
          <w:lang w:val="en-US" w:eastAsia="zh-CN"/>
        </w:rPr>
        <w:t>within  CPA</w:t>
      </w:r>
      <w:proofErr w:type="gramEnd"/>
      <w:r>
        <w:rPr>
          <w:rFonts w:ascii="Times New Roman" w:eastAsiaTheme="minorEastAsia" w:hAnsi="Times New Roman"/>
          <w:b/>
          <w:bCs/>
          <w:iCs/>
          <w:kern w:val="2"/>
          <w:sz w:val="21"/>
          <w:szCs w:val="21"/>
          <w:u w:val="single"/>
          <w:lang w:val="en-US" w:eastAsia="zh-CN"/>
        </w:rPr>
        <w:t>/CPC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Cs/>
          <w:i/>
          <w:kern w:val="2"/>
          <w:sz w:val="21"/>
          <w:szCs w:val="21"/>
          <w:lang w:val="en-US" w:eastAsia="zh-CN"/>
        </w:rPr>
        <w:t>mrdc-SecondaryCellGroup</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hint="eastAsia"/>
          <w:bCs/>
          <w:i/>
          <w:kern w:val="2"/>
          <w:sz w:val="21"/>
          <w:szCs w:val="21"/>
          <w:lang w:val="en-US" w:eastAsia="zh-CN"/>
        </w:rPr>
        <w:t>nr-SecondaryCellGroupConfig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I.e. the RRC message contained in the </w:t>
      </w:r>
      <w:proofErr w:type="spellStart"/>
      <w:r>
        <w:rPr>
          <w:rFonts w:ascii="Times New Roman" w:eastAsiaTheme="minorEastAsia" w:hAnsi="Times New Roman" w:hint="eastAsia"/>
          <w:b/>
          <w:i/>
          <w:kern w:val="2"/>
          <w:sz w:val="21"/>
          <w:szCs w:val="21"/>
          <w:lang w:val="en-US" w:eastAsia="zh-CN"/>
        </w:rPr>
        <w:lastRenderedPageBreak/>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w:t>
      </w:r>
      <w:proofErr w:type="spellStart"/>
      <w:r>
        <w:rPr>
          <w:rFonts w:ascii="Times New Roman" w:eastAsiaTheme="minorEastAsia" w:hAnsi="Times New Roman" w:hint="eastAsia"/>
          <w:b/>
          <w:i/>
          <w:kern w:val="2"/>
          <w:sz w:val="21"/>
          <w:szCs w:val="21"/>
          <w:lang w:val="en-US" w:eastAsia="zh-CN"/>
        </w:rPr>
        <w:t>nr-SecondaryCellGroupConfig</w:t>
      </w:r>
      <w:proofErr w:type="spellEnd"/>
      <w:r>
        <w:rPr>
          <w:rFonts w:ascii="Times New Roman" w:eastAsiaTheme="minorEastAsia" w:hAnsi="Times New Roman" w:hint="eastAsia"/>
          <w:b/>
          <w:iCs/>
          <w:kern w:val="2"/>
          <w:sz w:val="21"/>
          <w:szCs w:val="21"/>
          <w:lang w:val="en-US" w:eastAsia="zh-CN"/>
        </w:rPr>
        <w:t>).</w:t>
      </w:r>
    </w:p>
    <w:tbl>
      <w:tblPr>
        <w:tblStyle w:val="ac"/>
        <w:tblW w:w="0" w:type="auto"/>
        <w:tblLook w:val="04A0" w:firstRow="1" w:lastRow="0" w:firstColumn="1" w:lastColumn="0" w:noHBand="0" w:noVBand="1"/>
      </w:tblPr>
      <w:tblGrid>
        <w:gridCol w:w="1406"/>
        <w:gridCol w:w="4160"/>
        <w:gridCol w:w="4205"/>
      </w:tblGrid>
      <w:tr w:rsidR="000557CA" w14:paraId="7EDDE155" w14:textId="77777777">
        <w:tc>
          <w:tcPr>
            <w:tcW w:w="1406" w:type="dxa"/>
          </w:tcPr>
          <w:p w14:paraId="2129F130" w14:textId="77777777" w:rsidR="000557CA" w:rsidRDefault="00F41AFA">
            <w:r>
              <w:t>Company</w:t>
            </w:r>
          </w:p>
        </w:tc>
        <w:tc>
          <w:tcPr>
            <w:tcW w:w="4160"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SCG re-configurations for each candidate </w:t>
            </w:r>
            <w:proofErr w:type="spellStart"/>
            <w:r>
              <w:t>PSCell</w:t>
            </w:r>
            <w:proofErr w:type="spellEnd"/>
            <w:r>
              <w:t xml:space="preserve"> configuration. (Agree/Disagree)</w:t>
            </w:r>
          </w:p>
        </w:tc>
        <w:tc>
          <w:tcPr>
            <w:tcW w:w="4065" w:type="dxa"/>
          </w:tcPr>
          <w:p w14:paraId="358D0AA3" w14:textId="77777777" w:rsidR="000557CA" w:rsidRDefault="00F41AFA">
            <w:r>
              <w:t>Comment</w:t>
            </w:r>
          </w:p>
        </w:tc>
      </w:tr>
      <w:tr w:rsidR="000557CA" w14:paraId="59D07135" w14:textId="77777777">
        <w:tc>
          <w:tcPr>
            <w:tcW w:w="140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06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tc>
          <w:tcPr>
            <w:tcW w:w="1406" w:type="dxa"/>
          </w:tcPr>
          <w:p w14:paraId="2C93D878" w14:textId="77777777" w:rsidR="000557CA" w:rsidRDefault="00F41AFA">
            <w:r>
              <w:t>MediaTek</w:t>
            </w:r>
          </w:p>
        </w:tc>
        <w:tc>
          <w:tcPr>
            <w:tcW w:w="4160" w:type="dxa"/>
          </w:tcPr>
          <w:p w14:paraId="3EE441BF" w14:textId="77777777" w:rsidR="000557CA" w:rsidRDefault="00F41AFA">
            <w:r>
              <w:t>Agree</w:t>
            </w:r>
          </w:p>
        </w:tc>
        <w:tc>
          <w:tcPr>
            <w:tcW w:w="4065" w:type="dxa"/>
          </w:tcPr>
          <w:p w14:paraId="55BB012B" w14:textId="77777777" w:rsidR="000557CA" w:rsidRDefault="000557CA"/>
        </w:tc>
      </w:tr>
      <w:tr w:rsidR="000557CA" w14:paraId="0081284B" w14:textId="77777777">
        <w:tc>
          <w:tcPr>
            <w:tcW w:w="1406" w:type="dxa"/>
          </w:tcPr>
          <w:p w14:paraId="711D9722" w14:textId="77777777" w:rsidR="000557CA" w:rsidRDefault="00F41AFA">
            <w:r>
              <w:t>CATT</w:t>
            </w:r>
          </w:p>
        </w:tc>
        <w:tc>
          <w:tcPr>
            <w:tcW w:w="4160" w:type="dxa"/>
          </w:tcPr>
          <w:p w14:paraId="173BF1C3" w14:textId="77777777" w:rsidR="000557CA" w:rsidRDefault="00F41AFA">
            <w:r>
              <w:t>Agree</w:t>
            </w:r>
          </w:p>
        </w:tc>
        <w:tc>
          <w:tcPr>
            <w:tcW w:w="4065" w:type="dxa"/>
          </w:tcPr>
          <w:p w14:paraId="71B67A5D" w14:textId="77777777" w:rsidR="000557CA" w:rsidRDefault="00F41AFA">
            <w:pPr>
              <w:jc w:val="left"/>
            </w:pPr>
            <w:r>
              <w:t xml:space="preserve">Reuse of the </w:t>
            </w:r>
            <w:proofErr w:type="spellStart"/>
            <w:r>
              <w:t>condRRCReconfig</w:t>
            </w:r>
            <w:proofErr w:type="spellEnd"/>
            <w:r>
              <w:t>/</w:t>
            </w:r>
            <w:proofErr w:type="spellStart"/>
            <w:r>
              <w:t>condReconfigurationToApply</w:t>
            </w:r>
            <w:proofErr w:type="spellEnd"/>
            <w:r>
              <w:t xml:space="preserve"> field to contain both MCG and SCG re-configurations for each candidate </w:t>
            </w:r>
            <w:proofErr w:type="spellStart"/>
            <w:r>
              <w:t>PSCell</w:t>
            </w:r>
            <w:proofErr w:type="spellEnd"/>
            <w:r>
              <w:t xml:space="preserve"> configuration</w:t>
            </w:r>
          </w:p>
        </w:tc>
      </w:tr>
      <w:tr w:rsidR="000557CA" w14:paraId="21C215C5" w14:textId="77777777">
        <w:tc>
          <w:tcPr>
            <w:tcW w:w="140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065" w:type="dxa"/>
          </w:tcPr>
          <w:p w14:paraId="2888C389" w14:textId="77777777" w:rsidR="000557CA" w:rsidRDefault="00F41AFA">
            <w:pPr>
              <w:jc w:val="left"/>
            </w:pPr>
            <w:r>
              <w:rPr>
                <w:rFonts w:hint="eastAsia"/>
              </w:rPr>
              <w:t xml:space="preserve">The MCG and SCG re-configurations should be delivered to the UE together as a single candidate </w:t>
            </w:r>
            <w:r>
              <w:rPr>
                <w:rFonts w:hint="eastAsia"/>
              </w:rPr>
              <w:lastRenderedPageBreak/>
              <w:t>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SRB1 is a simple way.</w:t>
            </w:r>
          </w:p>
        </w:tc>
      </w:tr>
      <w:tr w:rsidR="004251D0" w14:paraId="626351BB" w14:textId="77777777">
        <w:tc>
          <w:tcPr>
            <w:tcW w:w="1406" w:type="dxa"/>
          </w:tcPr>
          <w:p w14:paraId="29A5E0EC" w14:textId="30A7F79C" w:rsidR="004251D0" w:rsidRDefault="004251D0">
            <w:pPr>
              <w:rPr>
                <w:lang w:val="en-US" w:eastAsia="zh-CN"/>
              </w:rPr>
            </w:pPr>
            <w:r>
              <w:rPr>
                <w:lang w:val="en-US" w:eastAsia="zh-CN"/>
              </w:rPr>
              <w:lastRenderedPageBreak/>
              <w:t>Nokia</w:t>
            </w:r>
          </w:p>
        </w:tc>
        <w:tc>
          <w:tcPr>
            <w:tcW w:w="4160" w:type="dxa"/>
          </w:tcPr>
          <w:p w14:paraId="5BB27B2D" w14:textId="2EDAC868" w:rsidR="004251D0" w:rsidRDefault="004251D0">
            <w:pPr>
              <w:rPr>
                <w:lang w:val="en-US" w:eastAsia="zh-CN"/>
              </w:rPr>
            </w:pPr>
            <w:r>
              <w:rPr>
                <w:lang w:val="en-US" w:eastAsia="zh-CN"/>
              </w:rPr>
              <w:t>Agree</w:t>
            </w:r>
          </w:p>
        </w:tc>
        <w:tc>
          <w:tcPr>
            <w:tcW w:w="4065" w:type="dxa"/>
          </w:tcPr>
          <w:p w14:paraId="692C4516" w14:textId="777E948D" w:rsidR="004251D0" w:rsidRDefault="004251D0">
            <w:pPr>
              <w:jc w:val="left"/>
            </w:pPr>
            <w:r>
              <w:t>We support the FFS suggested by Ericsson.</w:t>
            </w:r>
          </w:p>
        </w:tc>
      </w:tr>
      <w:tr w:rsidR="00B4258B" w14:paraId="07BF21B4" w14:textId="77777777">
        <w:tc>
          <w:tcPr>
            <w:tcW w:w="140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065" w:type="dxa"/>
          </w:tcPr>
          <w:p w14:paraId="273718CC" w14:textId="77777777" w:rsidR="00B4258B" w:rsidRDefault="00B4258B">
            <w:pPr>
              <w:jc w:val="left"/>
            </w:pP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w:t>
      </w:r>
      <w:proofErr w:type="gramStart"/>
      <w:r>
        <w:rPr>
          <w:rFonts w:ascii="Times New Roman" w:hAnsi="Times New Roman"/>
          <w:sz w:val="21"/>
          <w:szCs w:val="21"/>
          <w:lang w:val="en-US"/>
        </w:rPr>
        <w:t>..2</w:t>
      </w:r>
      <w:proofErr w:type="gramEnd"/>
      <w:r>
        <w:rPr>
          <w:rFonts w:ascii="Times New Roman" w:hAnsi="Times New Roman"/>
          <w:sz w:val="21"/>
          <w:szCs w:val="21"/>
          <w:lang w:val="en-US"/>
        </w:rPr>
        <w:t xml:space="preserve">))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proofErr w:type="gramStart"/>
      <w:r>
        <w:rPr>
          <w:rFonts w:ascii="Courier New" w:eastAsia="Times New Roman" w:hAnsi="Courier New"/>
          <w:sz w:val="16"/>
          <w:highlight w:val="yellow"/>
          <w:lang w:eastAsia="en-GB"/>
        </w:rPr>
        <w:t>condExecutionCond-r16</w:t>
      </w:r>
      <w:proofErr w:type="gram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w:t>
      </w:r>
      <w:proofErr w:type="gramStart"/>
      <w:r>
        <w:rPr>
          <w:rFonts w:ascii="Courier New" w:eastAsia="Times New Roman" w:hAnsi="Courier New"/>
          <w:sz w:val="16"/>
          <w:lang w:eastAsia="ja-JP"/>
        </w:rPr>
        <w:t>r16 :</w:t>
      </w:r>
      <w:proofErr w:type="gramEnd"/>
      <w:r>
        <w:rPr>
          <w:rFonts w:ascii="Courier New" w:eastAsia="Times New Roman" w:hAnsi="Courier New"/>
          <w:sz w:val="16"/>
          <w:lang w:eastAsia="ja-JP"/>
        </w:rPr>
        <w:t>:=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w:t>
      </w:r>
      <w:proofErr w:type="gramStart"/>
      <w:r>
        <w:rPr>
          <w:rFonts w:ascii="Courier New" w:eastAsia="Times New Roman" w:hAnsi="Courier New"/>
          <w:sz w:val="16"/>
          <w:lang w:eastAsia="ja-JP"/>
        </w:rPr>
        <w:t>r16 :</w:t>
      </w:r>
      <w:proofErr w:type="gramEnd"/>
      <w:r>
        <w:rPr>
          <w:rFonts w:ascii="Courier New" w:eastAsia="Times New Roman" w:hAnsi="Courier New"/>
          <w:sz w:val="16"/>
          <w:lang w:eastAsia="ja-JP"/>
        </w:rPr>
        <w:t>:=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proofErr w:type="gramStart"/>
      <w:r>
        <w:rPr>
          <w:rFonts w:ascii="Courier New" w:eastAsia="Times New Roman" w:hAnsi="Courier New"/>
          <w:sz w:val="16"/>
          <w:highlight w:val="yellow"/>
          <w:lang w:eastAsia="ja-JP"/>
        </w:rPr>
        <w:t>triggerCondition-r16</w:t>
      </w:r>
      <w:proofErr w:type="gramEnd"/>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 xml:space="preserve">SEQUENCE (SIZE (1..2))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w:t>
      </w:r>
      <w:proofErr w:type="gramStart"/>
      <w:r>
        <w:rPr>
          <w:rFonts w:ascii="Courier New" w:eastAsia="Times New Roman" w:hAnsi="Courier New"/>
          <w:sz w:val="16"/>
          <w:highlight w:val="yellow"/>
          <w:lang w:eastAsia="ja-JP"/>
        </w:rPr>
        <w:t>,  --</w:t>
      </w:r>
      <w:proofErr w:type="gramEnd"/>
      <w:r>
        <w:rPr>
          <w:rFonts w:ascii="Courier New" w:eastAsia="Times New Roman" w:hAnsi="Courier New"/>
          <w:sz w:val="16"/>
          <w:highlight w:val="yellow"/>
          <w:lang w:eastAsia="ja-JP"/>
        </w:rPr>
        <w:t xml:space="preserve">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proofErr w:type="gramStart"/>
      <w:r>
        <w:rPr>
          <w:rFonts w:ascii="Courier New" w:eastAsia="Times New Roman" w:hAnsi="Courier New"/>
          <w:sz w:val="16"/>
          <w:lang w:eastAsia="ja-JP"/>
        </w:rPr>
        <w:t>,--</w:t>
      </w:r>
      <w:proofErr w:type="gramEnd"/>
      <w:r>
        <w:rPr>
          <w:rFonts w:ascii="Courier New" w:eastAsia="Times New Roman" w:hAnsi="Courier New"/>
          <w:sz w:val="16"/>
          <w:lang w:eastAsia="ja-JP"/>
        </w:rPr>
        <w:t xml:space="preserve">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(NG)EN-DC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ac"/>
        <w:tblW w:w="0" w:type="auto"/>
        <w:tblLayout w:type="fixed"/>
        <w:tblLook w:val="04A0" w:firstRow="1" w:lastRow="0" w:firstColumn="1" w:lastColumn="0" w:noHBand="0" w:noVBand="1"/>
      </w:tblPr>
      <w:tblGrid>
        <w:gridCol w:w="1734"/>
        <w:gridCol w:w="2627"/>
        <w:gridCol w:w="5496"/>
      </w:tblGrid>
      <w:tr w:rsidR="000557CA" w14:paraId="0873948B" w14:textId="77777777">
        <w:tc>
          <w:tcPr>
            <w:tcW w:w="1734" w:type="dxa"/>
          </w:tcPr>
          <w:p w14:paraId="69227B5D" w14:textId="77777777" w:rsidR="000557CA" w:rsidRDefault="00F41AFA">
            <w:r>
              <w:t>Company</w:t>
            </w:r>
          </w:p>
        </w:tc>
        <w:tc>
          <w:tcPr>
            <w:tcW w:w="2627"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t>MeasConfig</w:t>
            </w:r>
            <w:proofErr w:type="spellEnd"/>
            <w:r>
              <w:t>. (Agree/Disagree)</w:t>
            </w:r>
          </w:p>
        </w:tc>
        <w:tc>
          <w:tcPr>
            <w:tcW w:w="5496" w:type="dxa"/>
          </w:tcPr>
          <w:p w14:paraId="36E19DE8" w14:textId="77777777" w:rsidR="000557CA" w:rsidRDefault="00F41AFA">
            <w:r>
              <w:t>Comment</w:t>
            </w:r>
          </w:p>
        </w:tc>
      </w:tr>
      <w:tr w:rsidR="000557CA" w14:paraId="374CCB3B" w14:textId="77777777">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lastRenderedPageBreak/>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 xml:space="preserve">A5 needs to refer to the target candidate </w:t>
              </w:r>
              <w:proofErr w:type="spellStart"/>
              <w:r>
                <w:t>PSCell</w:t>
              </w:r>
              <w:proofErr w:type="spellEnd"/>
              <w:r>
                <w:t xml:space="preserve">, and not the </w:t>
              </w:r>
              <w:proofErr w:type="spellStart"/>
              <w:r>
                <w:t>PCell</w:t>
              </w:r>
            </w:ins>
            <w:proofErr w:type="spellEnd"/>
            <w:ins w:id="38" w:author="Icaro" w:date="2021-07-02T17:11:00Z">
              <w:r>
                <w:t xml:space="preserve"> (which is the case of in existing </w:t>
              </w:r>
              <w:proofErr w:type="spellStart"/>
              <w:r>
                <w:t>ReportConfigNR</w:t>
              </w:r>
              <w:proofErr w:type="spellEnd"/>
              <w:r>
                <w:t>, as it was designed for CHO).</w:t>
              </w:r>
            </w:ins>
          </w:p>
          <w:p w14:paraId="05736741" w14:textId="77777777" w:rsidR="000557CA" w:rsidRDefault="00F41AFA">
            <w:r>
              <w:t>[CATT] this issue is addressed in Q7 and Q8</w:t>
            </w:r>
          </w:p>
        </w:tc>
      </w:tr>
      <w:tr w:rsidR="000557CA" w14:paraId="15A3F474" w14:textId="77777777">
        <w:tc>
          <w:tcPr>
            <w:tcW w:w="1734" w:type="dxa"/>
          </w:tcPr>
          <w:p w14:paraId="181D6D21" w14:textId="77777777" w:rsidR="000557CA" w:rsidRDefault="00F41AFA">
            <w:r>
              <w:lastRenderedPageBreak/>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r w:rsidR="00B4258B" w14:paraId="5A4E1B4E" w14:textId="77777777">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(e.g.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in the RRC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c"/>
        <w:tblW w:w="0" w:type="auto"/>
        <w:tblLook w:val="04A0" w:firstRow="1" w:lastRow="0" w:firstColumn="1" w:lastColumn="0" w:noHBand="0" w:noVBand="1"/>
      </w:tblPr>
      <w:tblGrid>
        <w:gridCol w:w="1875"/>
        <w:gridCol w:w="2278"/>
        <w:gridCol w:w="5625"/>
      </w:tblGrid>
      <w:tr w:rsidR="000557CA" w14:paraId="245BA50B" w14:textId="77777777" w:rsidTr="00F12CCF">
        <w:tc>
          <w:tcPr>
            <w:tcW w:w="1875" w:type="dxa"/>
          </w:tcPr>
          <w:p w14:paraId="331F2008" w14:textId="77777777" w:rsidR="000557CA" w:rsidRDefault="00F41AFA">
            <w:r>
              <w:t>Company</w:t>
            </w:r>
          </w:p>
        </w:tc>
        <w:tc>
          <w:tcPr>
            <w:tcW w:w="2278" w:type="dxa"/>
          </w:tcPr>
          <w:p w14:paraId="4C1CABEC" w14:textId="77777777" w:rsidR="000557CA" w:rsidRDefault="00F41AFA">
            <w:pPr>
              <w:jc w:val="left"/>
            </w:pPr>
            <w:r>
              <w:t xml:space="preserve">Upon execution of CPAC, the UE includes </w:t>
            </w:r>
            <w:r>
              <w:lastRenderedPageBreak/>
              <w:t xml:space="preserve">the selected target </w:t>
            </w:r>
            <w:proofErr w:type="spellStart"/>
            <w:r>
              <w:t>PSCell</w:t>
            </w:r>
            <w:proofErr w:type="spellEnd"/>
            <w:r>
              <w:t xml:space="preserve"> information (e.g.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into the RRC Reconfiguration Complete message to the MN. (Agree/Disagree)</w:t>
            </w:r>
          </w:p>
        </w:tc>
        <w:tc>
          <w:tcPr>
            <w:tcW w:w="5625" w:type="dxa"/>
          </w:tcPr>
          <w:p w14:paraId="02FC4E7C" w14:textId="77777777" w:rsidR="000557CA" w:rsidRDefault="00F41AFA">
            <w:r>
              <w:lastRenderedPageBreak/>
              <w:t>Comment</w:t>
            </w:r>
          </w:p>
        </w:tc>
      </w:tr>
      <w:tr w:rsidR="000557CA" w14:paraId="4EC5B181" w14:textId="77777777" w:rsidTr="00F12CCF">
        <w:tc>
          <w:tcPr>
            <w:tcW w:w="1875" w:type="dxa"/>
          </w:tcPr>
          <w:p w14:paraId="6AD7611A" w14:textId="77777777" w:rsidR="000557CA" w:rsidRDefault="00F41AFA">
            <w:ins w:id="39" w:author="Icaro" w:date="2021-07-02T17:12:00Z">
              <w:r>
                <w:lastRenderedPageBreak/>
                <w:t>Ericsson</w:t>
              </w:r>
            </w:ins>
          </w:p>
        </w:tc>
        <w:tc>
          <w:tcPr>
            <w:tcW w:w="2278" w:type="dxa"/>
          </w:tcPr>
          <w:p w14:paraId="63B50593" w14:textId="77777777" w:rsidR="000557CA" w:rsidRDefault="00F41AFA">
            <w:ins w:id="40" w:author="Icaro" w:date="2021-07-02T17:12:00Z">
              <w:r>
                <w:t>Agree</w:t>
              </w:r>
            </w:ins>
          </w:p>
        </w:tc>
        <w:tc>
          <w:tcPr>
            <w:tcW w:w="5625"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w:t>
              </w:r>
              <w:proofErr w:type="spellStart"/>
              <w:r>
                <w:t>RRCReconfigurationComplete</w:t>
              </w:r>
              <w:proofErr w:type="spellEnd"/>
              <w:r>
                <w:t xml:space="preserve"> to the target node, which transmits the source with a HO Success message. In CPC, the MN receives the embedded SN </w:t>
              </w:r>
              <w:proofErr w:type="spellStart"/>
              <w:r>
                <w:t>RRCReconfigurationComplete</w:t>
              </w:r>
              <w:proofErr w:type="spellEnd"/>
              <w:r>
                <w:t xml:space="preserve"> but as CPC is limited to intra-node, there is only a single SN to forward that one.</w:t>
              </w:r>
            </w:ins>
          </w:p>
        </w:tc>
      </w:tr>
      <w:tr w:rsidR="000557CA" w14:paraId="19DB5170" w14:textId="77777777" w:rsidTr="00F12CCF">
        <w:tc>
          <w:tcPr>
            <w:tcW w:w="1875" w:type="dxa"/>
          </w:tcPr>
          <w:p w14:paraId="11377410" w14:textId="77777777" w:rsidR="000557CA" w:rsidRDefault="00F41AFA">
            <w:r>
              <w:t>MediaTek</w:t>
            </w:r>
          </w:p>
        </w:tc>
        <w:tc>
          <w:tcPr>
            <w:tcW w:w="2278" w:type="dxa"/>
          </w:tcPr>
          <w:p w14:paraId="176C4742" w14:textId="77777777" w:rsidR="000557CA" w:rsidRDefault="00F41AFA">
            <w:r>
              <w:t>Agree</w:t>
            </w:r>
          </w:p>
        </w:tc>
        <w:tc>
          <w:tcPr>
            <w:tcW w:w="5625" w:type="dxa"/>
          </w:tcPr>
          <w:p w14:paraId="2FF6605B" w14:textId="77777777" w:rsidR="000557CA" w:rsidRDefault="000557CA"/>
        </w:tc>
      </w:tr>
      <w:tr w:rsidR="000557CA" w14:paraId="286AF917" w14:textId="77777777" w:rsidTr="00F12CCF">
        <w:tc>
          <w:tcPr>
            <w:tcW w:w="1875" w:type="dxa"/>
          </w:tcPr>
          <w:p w14:paraId="0DCFE904" w14:textId="77777777" w:rsidR="000557CA" w:rsidRDefault="00F41AFA">
            <w:r>
              <w:t>CATT</w:t>
            </w:r>
          </w:p>
        </w:tc>
        <w:tc>
          <w:tcPr>
            <w:tcW w:w="2278" w:type="dxa"/>
          </w:tcPr>
          <w:p w14:paraId="7C2B022F" w14:textId="77777777" w:rsidR="000557CA" w:rsidRDefault="00F41AFA">
            <w:r>
              <w:t>Agree</w:t>
            </w:r>
          </w:p>
        </w:tc>
        <w:tc>
          <w:tcPr>
            <w:tcW w:w="5625" w:type="dxa"/>
          </w:tcPr>
          <w:p w14:paraId="18FFCD12" w14:textId="77777777" w:rsidR="000557CA" w:rsidRDefault="00F41AFA">
            <w:r>
              <w:t xml:space="preserve">For R16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However for R17 CPAC, there may be multiple candidate SNs, upon the CPAC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F12CCF">
        <w:tc>
          <w:tcPr>
            <w:tcW w:w="1875"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625" w:type="dxa"/>
          </w:tcPr>
          <w:p w14:paraId="1A87BD3E" w14:textId="77777777" w:rsidR="000557CA" w:rsidRDefault="00F41AFA">
            <w:r>
              <w:rPr>
                <w:rFonts w:hint="eastAsia"/>
                <w:lang w:val="en-US" w:eastAsia="zh-CN"/>
              </w:rPr>
              <w:t xml:space="preserve">Different from the R16 intra-SN CPC, multiple candidate SNs can be configured for the R17 CPAC. So the MN needs to know which candidate SN </w:t>
            </w:r>
            <w:proofErr w:type="gramStart"/>
            <w:r>
              <w:rPr>
                <w:rFonts w:hint="eastAsia"/>
                <w:lang w:val="en-US" w:eastAsia="zh-CN"/>
              </w:rPr>
              <w:t>should the received SN RRC complete message</w:t>
            </w:r>
            <w:proofErr w:type="gramEnd"/>
            <w:r>
              <w:rPr>
                <w:rFonts w:hint="eastAsia"/>
                <w:lang w:val="en-US" w:eastAsia="zh-CN"/>
              </w:rPr>
              <w:t xml:space="preserve"> be transferred to.</w:t>
            </w:r>
          </w:p>
        </w:tc>
      </w:tr>
      <w:tr w:rsidR="008F0117" w14:paraId="67C7AACC" w14:textId="77777777" w:rsidTr="00F12CCF">
        <w:tc>
          <w:tcPr>
            <w:tcW w:w="1875"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625"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F12CCF">
        <w:tc>
          <w:tcPr>
            <w:tcW w:w="1875"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625"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w:t>
            </w:r>
            <w:proofErr w:type="spellStart"/>
            <w:r>
              <w:rPr>
                <w:rFonts w:hint="eastAsia"/>
                <w:lang w:val="en-US" w:eastAsia="zh-CN"/>
              </w:rPr>
              <w:t>RRCReconfigurationComplete</w:t>
            </w:r>
            <w:proofErr w:type="spellEnd"/>
            <w:r>
              <w:rPr>
                <w:rFonts w:hint="eastAsia"/>
                <w:lang w:val="en-US" w:eastAsia="zh-CN"/>
              </w:rPr>
              <w:t xml:space="preserve"> message.</w:t>
            </w: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lastRenderedPageBreak/>
        <w:t>A</w:t>
      </w:r>
      <w:r>
        <w:rPr>
          <w:rFonts w:hint="eastAsia"/>
          <w:lang w:eastAsia="zh-CN"/>
        </w:rPr>
        <w:t xml:space="preserve">ccording to [1][2][4][6],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c"/>
        <w:tblW w:w="0" w:type="auto"/>
        <w:tblLook w:val="04A0" w:firstRow="1" w:lastRow="0" w:firstColumn="1" w:lastColumn="0" w:noHBand="0" w:noVBand="1"/>
      </w:tblPr>
      <w:tblGrid>
        <w:gridCol w:w="1439"/>
        <w:gridCol w:w="4015"/>
        <w:gridCol w:w="4403"/>
      </w:tblGrid>
      <w:tr w:rsidR="000557CA" w14:paraId="66350BDE" w14:textId="77777777">
        <w:tc>
          <w:tcPr>
            <w:tcW w:w="1439" w:type="dxa"/>
          </w:tcPr>
          <w:p w14:paraId="7D83A556" w14:textId="77777777" w:rsidR="000557CA" w:rsidRDefault="00F41AFA">
            <w:r>
              <w:t>Company</w:t>
            </w:r>
          </w:p>
        </w:tc>
        <w:tc>
          <w:tcPr>
            <w:tcW w:w="4015" w:type="dxa"/>
          </w:tcPr>
          <w:p w14:paraId="3E6AC443" w14:textId="77777777" w:rsidR="000557CA" w:rsidRDefault="00F41AFA">
            <w:pPr>
              <w:rPr>
                <w:lang w:eastAsia="zh-CN"/>
              </w:rPr>
            </w:pPr>
            <w:r>
              <w:rPr>
                <w:lang w:eastAsia="zh-CN"/>
              </w:rPr>
              <w:t>O</w:t>
            </w:r>
            <w:r>
              <w:rPr>
                <w:rFonts w:hint="eastAsia"/>
                <w:lang w:eastAsia="zh-CN"/>
              </w:rPr>
              <w:t>ption</w:t>
            </w:r>
          </w:p>
        </w:tc>
        <w:tc>
          <w:tcPr>
            <w:tcW w:w="4403" w:type="dxa"/>
          </w:tcPr>
          <w:p w14:paraId="20F80719" w14:textId="77777777" w:rsidR="000557CA" w:rsidRDefault="00F41AFA">
            <w:r>
              <w:t>Comment</w:t>
            </w:r>
          </w:p>
        </w:tc>
      </w:tr>
      <w:tr w:rsidR="000557CA" w14:paraId="36FC88FF" w14:textId="77777777">
        <w:tc>
          <w:tcPr>
            <w:tcW w:w="1439" w:type="dxa"/>
          </w:tcPr>
          <w:p w14:paraId="1C152FEC" w14:textId="77777777" w:rsidR="000557CA" w:rsidRDefault="00F41AFA">
            <w:ins w:id="46" w:author="Icaro" w:date="2021-07-02T17:13:00Z">
              <w:r>
                <w:t>Ericsson</w:t>
              </w:r>
            </w:ins>
          </w:p>
        </w:tc>
        <w:tc>
          <w:tcPr>
            <w:tcW w:w="4015" w:type="dxa"/>
          </w:tcPr>
          <w:p w14:paraId="73DC3644" w14:textId="77777777" w:rsidR="000557CA" w:rsidRDefault="00F41AFA">
            <w:ins w:id="47" w:author="Icaro" w:date="2021-07-02T17:13:00Z">
              <w:r>
                <w:t>Option 2</w:t>
              </w:r>
            </w:ins>
          </w:p>
        </w:tc>
        <w:tc>
          <w:tcPr>
            <w:tcW w:w="4403"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tc>
          <w:tcPr>
            <w:tcW w:w="1439" w:type="dxa"/>
          </w:tcPr>
          <w:p w14:paraId="11208165" w14:textId="77777777" w:rsidR="000557CA" w:rsidRDefault="00F41AFA">
            <w:r>
              <w:t>MediaTek</w:t>
            </w:r>
          </w:p>
        </w:tc>
        <w:tc>
          <w:tcPr>
            <w:tcW w:w="4015" w:type="dxa"/>
          </w:tcPr>
          <w:p w14:paraId="2710C29B" w14:textId="77777777" w:rsidR="000557CA" w:rsidRDefault="00F41AFA">
            <w:r>
              <w:t xml:space="preserve">Option 2 </w:t>
            </w:r>
          </w:p>
        </w:tc>
        <w:tc>
          <w:tcPr>
            <w:tcW w:w="4403" w:type="dxa"/>
          </w:tcPr>
          <w:p w14:paraId="49066FA7" w14:textId="77777777" w:rsidR="000557CA" w:rsidRDefault="000557CA"/>
        </w:tc>
      </w:tr>
      <w:tr w:rsidR="000557CA" w14:paraId="7213F722" w14:textId="77777777">
        <w:tc>
          <w:tcPr>
            <w:tcW w:w="1439" w:type="dxa"/>
          </w:tcPr>
          <w:p w14:paraId="7D53DD35" w14:textId="77777777" w:rsidR="000557CA" w:rsidRDefault="00F41AFA">
            <w:r>
              <w:t>CATT</w:t>
            </w:r>
          </w:p>
        </w:tc>
        <w:tc>
          <w:tcPr>
            <w:tcW w:w="4015" w:type="dxa"/>
          </w:tcPr>
          <w:p w14:paraId="155A2FD2" w14:textId="77777777" w:rsidR="000557CA" w:rsidRDefault="00F41AFA">
            <w:r>
              <w:t>Option 2</w:t>
            </w:r>
          </w:p>
        </w:tc>
        <w:tc>
          <w:tcPr>
            <w:tcW w:w="4403" w:type="dxa"/>
          </w:tcPr>
          <w:p w14:paraId="3FE93E9E" w14:textId="77777777" w:rsidR="000557CA" w:rsidRDefault="00F41AFA">
            <w:r>
              <w:t>Compared with option 1, option 2 has less signalling overhead.</w:t>
            </w:r>
          </w:p>
        </w:tc>
      </w:tr>
      <w:tr w:rsidR="000557CA" w14:paraId="1D14FB8A" w14:textId="77777777">
        <w:tc>
          <w:tcPr>
            <w:tcW w:w="1439" w:type="dxa"/>
          </w:tcPr>
          <w:p w14:paraId="02FCB4FD" w14:textId="77777777" w:rsidR="000557CA" w:rsidRDefault="00F41AFA">
            <w:pPr>
              <w:rPr>
                <w:lang w:val="en-US" w:eastAsia="zh-CN"/>
              </w:rPr>
            </w:pPr>
            <w:r>
              <w:rPr>
                <w:rFonts w:hint="eastAsia"/>
                <w:lang w:val="en-US" w:eastAsia="zh-CN"/>
              </w:rPr>
              <w:t>ZTE</w:t>
            </w:r>
          </w:p>
        </w:tc>
        <w:tc>
          <w:tcPr>
            <w:tcW w:w="4015" w:type="dxa"/>
          </w:tcPr>
          <w:p w14:paraId="33B7F519" w14:textId="77777777" w:rsidR="000557CA" w:rsidRDefault="00F41AFA">
            <w:pPr>
              <w:rPr>
                <w:lang w:val="en-US" w:eastAsia="zh-CN"/>
              </w:rPr>
            </w:pPr>
            <w:r>
              <w:rPr>
                <w:rFonts w:hint="eastAsia"/>
                <w:lang w:val="en-US" w:eastAsia="zh-CN"/>
              </w:rPr>
              <w:t>Option 2</w:t>
            </w:r>
          </w:p>
        </w:tc>
        <w:tc>
          <w:tcPr>
            <w:tcW w:w="4403" w:type="dxa"/>
          </w:tcPr>
          <w:p w14:paraId="334299D9" w14:textId="77777777" w:rsidR="000557CA" w:rsidRDefault="000557CA"/>
        </w:tc>
      </w:tr>
      <w:tr w:rsidR="008F0117" w14:paraId="075A9257" w14:textId="77777777">
        <w:tc>
          <w:tcPr>
            <w:tcW w:w="1439" w:type="dxa"/>
          </w:tcPr>
          <w:p w14:paraId="061ED55A" w14:textId="6E6E1C7B" w:rsidR="008F0117" w:rsidRDefault="008F0117">
            <w:pPr>
              <w:rPr>
                <w:lang w:val="en-US" w:eastAsia="zh-CN"/>
              </w:rPr>
            </w:pPr>
            <w:r>
              <w:rPr>
                <w:lang w:val="en-US" w:eastAsia="zh-CN"/>
              </w:rPr>
              <w:t>Nokia</w:t>
            </w:r>
          </w:p>
        </w:tc>
        <w:tc>
          <w:tcPr>
            <w:tcW w:w="4015" w:type="dxa"/>
          </w:tcPr>
          <w:p w14:paraId="67EBA04E" w14:textId="753F8455" w:rsidR="008F0117" w:rsidRDefault="008F0117">
            <w:pPr>
              <w:rPr>
                <w:lang w:val="en-US" w:eastAsia="zh-CN"/>
              </w:rPr>
            </w:pPr>
            <w:r>
              <w:rPr>
                <w:lang w:val="en-US" w:eastAsia="zh-CN"/>
              </w:rPr>
              <w:t>Option 2</w:t>
            </w:r>
          </w:p>
        </w:tc>
        <w:tc>
          <w:tcPr>
            <w:tcW w:w="4403"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tc>
          <w:tcPr>
            <w:tcW w:w="1439" w:type="dxa"/>
          </w:tcPr>
          <w:p w14:paraId="1BC73786" w14:textId="13375F61" w:rsidR="00487C7B" w:rsidRDefault="00487C7B">
            <w:pPr>
              <w:rPr>
                <w:lang w:val="en-US" w:eastAsia="zh-CN"/>
              </w:rPr>
            </w:pPr>
            <w:r>
              <w:rPr>
                <w:rFonts w:hint="eastAsia"/>
                <w:lang w:val="en-US" w:eastAsia="zh-CN"/>
              </w:rPr>
              <w:t>Sharp</w:t>
            </w:r>
          </w:p>
        </w:tc>
        <w:tc>
          <w:tcPr>
            <w:tcW w:w="4015"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403"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A3/A5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proofErr w:type="spellStart"/>
      <w:r>
        <w:rPr>
          <w:i/>
        </w:rPr>
        <w:t>ReportConfigInterRAT</w:t>
      </w:r>
      <w:proofErr w:type="spellEnd"/>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proofErr w:type="gram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triggerType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eventId</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Hysteresis</w:t>
      </w:r>
      <w:proofErr w:type="spellEnd"/>
      <w:r>
        <w:rPr>
          <w:rFonts w:ascii="Courier New" w:eastAsia="Times New Roman" w:hAnsi="Courier New"/>
          <w:sz w:val="16"/>
          <w:lang w:eastAsia="ja-JP"/>
        </w:rPr>
        <w:t>,</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w:t>
      </w:r>
      <w:proofErr w:type="spell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reportStrongestCellsForSON</w:t>
      </w:r>
      <w:proofErr w:type="spell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proofErr w:type="gramStart"/>
      <w:r>
        <w:rPr>
          <w:rFonts w:ascii="Courier New" w:eastAsia="Times New Roman" w:hAnsi="Courier New"/>
          <w:sz w:val="16"/>
          <w:lang w:eastAsia="ja-JP"/>
        </w:rPr>
        <w:t>maxReportCells</w:t>
      </w:r>
      <w:proofErr w:type="spellEnd"/>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reportAmount</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maxReportRS-Index-r15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reportRS-IndexResultsNR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reportSFTD-Meas-r15</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w:t>
      </w:r>
      <w:proofErr w:type="gramStart"/>
      <w:r>
        <w:rPr>
          <w:rFonts w:ascii="Courier New" w:eastAsia="Times New Roman" w:hAnsi="Courier New"/>
          <w:sz w:val="16"/>
          <w:highlight w:val="yellow"/>
          <w:lang w:eastAsia="ja-JP"/>
        </w:rPr>
        <w:t>condTriggerConfig-r17</w:t>
      </w:r>
      <w:proofErr w:type="gramEnd"/>
      <w:r>
        <w:rPr>
          <w:rFonts w:ascii="Courier New" w:eastAsia="Times New Roman" w:hAnsi="Courier New"/>
          <w:sz w:val="16"/>
          <w:highlight w:val="yellow"/>
          <w:lang w:eastAsia="ja-JP"/>
        </w:rPr>
        <w:t xml:space="preserve">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w:t>
      </w:r>
      <w:proofErr w:type="gramStart"/>
      <w:r>
        <w:rPr>
          <w:rFonts w:ascii="Courier New" w:eastAsia="Times New Roman" w:hAnsi="Courier New"/>
          <w:sz w:val="16"/>
          <w:highlight w:val="yellow"/>
          <w:lang w:eastAsia="en-GB"/>
        </w:rPr>
        <w:t>r17</w:t>
      </w:r>
      <w:r>
        <w:rPr>
          <w:rFonts w:ascii="Courier New" w:eastAsia="Times New Roman" w:hAnsi="Courier New"/>
          <w:sz w:val="16"/>
          <w:highlight w:val="yellow"/>
          <w:lang w:eastAsia="zh-CN"/>
        </w:rPr>
        <w:t xml:space="preserve"> :</w:t>
      </w:r>
      <w:proofErr w:type="gramEnd"/>
      <w:r>
        <w:rPr>
          <w:rFonts w:ascii="Courier New" w:eastAsia="Times New Roman" w:hAnsi="Courier New"/>
          <w:sz w:val="16"/>
          <w:highlight w:val="yellow"/>
          <w:lang w:eastAsia="zh-CN"/>
        </w:rPr>
        <w:t>:=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r>
        <w:rPr>
          <w:rFonts w:ascii="Courier New" w:eastAsia="Times New Roman" w:hAnsi="Courier New"/>
          <w:sz w:val="16"/>
          <w:highlight w:val="yellow"/>
          <w:lang w:eastAsia="en-GB"/>
        </w:rPr>
        <w:t>condEventId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 xml:space="preserve">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B1 events for CPA and MN initiated CPC. </w:t>
      </w:r>
    </w:p>
    <w:tbl>
      <w:tblPr>
        <w:tblStyle w:val="ac"/>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CondTriggerConfig-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lastRenderedPageBreak/>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A4 events for CPA and MN initiated CPC. </w:t>
      </w:r>
    </w:p>
    <w:tbl>
      <w:tblPr>
        <w:tblStyle w:val="ac"/>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w:t>
            </w:r>
            <w:proofErr w:type="spellStart"/>
            <w:r>
              <w:t>ReportConfigNR</w:t>
            </w:r>
            <w:proofErr w:type="spellEnd"/>
            <w:r>
              <w:t xml:space="preserve">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c"/>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 xml:space="preserve">nitiated CPC is sort of pointless without being able to support A3/A5 for a </w:t>
              </w:r>
              <w:proofErr w:type="spellStart"/>
              <w:r>
                <w:t>PSCell</w:t>
              </w:r>
              <w:proofErr w:type="spellEnd"/>
              <w:r>
                <w:t>.</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A3 or A5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RAN2#113e, the following agreement has been made, due to the problem that A3/A5 is for a serving cell, i.e., </w:t>
            </w:r>
            <w:proofErr w:type="spellStart"/>
            <w:r>
              <w:t>PCell</w:t>
            </w:r>
            <w:proofErr w:type="spellEnd"/>
            <w:r>
              <w:t xml:space="preserve">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w:t>
            </w:r>
            <w:proofErr w:type="spellStart"/>
            <w:r>
              <w:t>PSCell</w:t>
            </w:r>
            <w:proofErr w:type="spellEnd"/>
            <w:r>
              <w:t xml:space="preserve">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CPC? If needed, we think some enhancements on A3/A5 event can be considered to compare the </w:t>
            </w:r>
            <w:proofErr w:type="spellStart"/>
            <w:r>
              <w:rPr>
                <w:rFonts w:hint="eastAsia"/>
                <w:lang w:val="en-US" w:eastAsia="zh-CN"/>
              </w:rPr>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A3/A5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A3/A5 also cover the </w:t>
            </w:r>
            <w:proofErr w:type="spellStart"/>
            <w:r>
              <w:t>PSCell</w:t>
            </w:r>
            <w:proofErr w:type="spellEnd"/>
            <w:r>
              <w:t xml:space="preserve">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bookmarkStart w:id="88" w:name="_GoBack"/>
            <w:bookmarkEnd w:id="88"/>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w:t>
            </w:r>
            <w:proofErr w:type="spellStart"/>
            <w:r>
              <w:rPr>
                <w:rFonts w:hint="eastAsia"/>
                <w:lang w:val="en-US" w:eastAsia="zh-CN"/>
              </w:rPr>
              <w:t>PSCell</w:t>
            </w:r>
            <w:proofErr w:type="spellEnd"/>
            <w:r>
              <w:rPr>
                <w:rFonts w:hint="eastAsia"/>
                <w:lang w:val="en-US" w:eastAsia="zh-CN"/>
              </w:rPr>
              <w:t xml:space="preserve">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A3/A5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e.g.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c"/>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9" w:author="Icaro" w:date="2021-07-02T17:18:00Z">
              <w:r>
                <w:t>Ericsson</w:t>
              </w:r>
            </w:ins>
          </w:p>
        </w:tc>
        <w:tc>
          <w:tcPr>
            <w:tcW w:w="7593" w:type="dxa"/>
          </w:tcPr>
          <w:p w14:paraId="5212DAD3" w14:textId="77777777" w:rsidR="000557CA" w:rsidRDefault="00F41AFA">
            <w:pPr>
              <w:rPr>
                <w:ins w:id="90" w:author="Icaro" w:date="2021-07-02T17:39:00Z"/>
              </w:rPr>
            </w:pPr>
            <w:ins w:id="91" w:author="Icaro" w:date="2021-07-02T17:19:00Z">
              <w:r>
                <w:t xml:space="preserve">No strong view, as long as it is possible to indicate that </w:t>
              </w:r>
              <w:proofErr w:type="spellStart"/>
              <w:r>
                <w:t>PSCell</w:t>
              </w:r>
              <w:proofErr w:type="spellEnd"/>
              <w:r>
                <w:t xml:space="preserve"> is used in A3/A5 for CPC. </w:t>
              </w:r>
            </w:ins>
          </w:p>
          <w:p w14:paraId="38619FDA" w14:textId="77777777" w:rsidR="000557CA" w:rsidRDefault="00F41AFA">
            <w:pPr>
              <w:rPr>
                <w:ins w:id="92" w:author="Icaro" w:date="2021-07-02T17:39:00Z"/>
              </w:rPr>
            </w:pPr>
            <w:ins w:id="93"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lastRenderedPageBreak/>
              <w:t>MediaTek</w:t>
            </w:r>
          </w:p>
        </w:tc>
        <w:tc>
          <w:tcPr>
            <w:tcW w:w="7593" w:type="dxa"/>
          </w:tcPr>
          <w:p w14:paraId="2531BB2B" w14:textId="77777777" w:rsidR="000557CA" w:rsidRDefault="00F41AFA">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A3/A5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proofErr w:type="spellStart"/>
            <w:r w:rsidRPr="008F2071">
              <w:rPr>
                <w:rFonts w:hint="eastAsia"/>
                <w:i/>
                <w:lang w:val="en-US" w:eastAsia="zh-CN"/>
              </w:rPr>
              <w:t>reportconfigEUTRA</w:t>
            </w:r>
            <w:proofErr w:type="spellEnd"/>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w:t>
            </w:r>
            <w:proofErr w:type="spellStart"/>
            <w:r>
              <w:rPr>
                <w:rFonts w:hint="eastAsia"/>
                <w:lang w:val="en-US" w:eastAsia="zh-CN"/>
              </w:rPr>
              <w:t>intiated</w:t>
            </w:r>
            <w:proofErr w:type="spellEnd"/>
            <w:r>
              <w:rPr>
                <w:rFonts w:hint="eastAsia"/>
                <w:lang w:val="en-US" w:eastAsia="zh-CN"/>
              </w:rPr>
              <w:t xml:space="preserve"> CPC/</w:t>
            </w:r>
            <w:proofErr w:type="spellStart"/>
            <w:r>
              <w:rPr>
                <w:rFonts w:hint="eastAsia"/>
                <w:lang w:val="en-US" w:eastAsia="zh-CN"/>
              </w:rPr>
              <w:t>PSCell</w:t>
            </w:r>
            <w:proofErr w:type="spellEnd"/>
            <w:r>
              <w:rPr>
                <w:rFonts w:hint="eastAsia"/>
                <w:lang w:val="en-US" w:eastAsia="zh-CN"/>
              </w:rPr>
              <w:t xml:space="preserve"> change, this can be a simple way.</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4"/>
      <w:r>
        <w:rPr>
          <w:bCs/>
          <w:iCs/>
        </w:rPr>
        <w:t>following agreements were made</w:t>
      </w:r>
      <w:commentRangeEnd w:id="94"/>
      <w:r w:rsidR="002327E9">
        <w:rPr>
          <w:rStyle w:val="af"/>
        </w:rPr>
        <w:commentReference w:id="94"/>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5"/>
      <w:r>
        <w:rPr>
          <w:bCs/>
          <w:iCs/>
          <w:sz w:val="21"/>
          <w:szCs w:val="21"/>
          <w:lang w:val="en-US" w:eastAsia="zh-CN"/>
        </w:rPr>
        <w:lastRenderedPageBreak/>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5"/>
      <w:r>
        <w:rPr>
          <w:rStyle w:val="af"/>
        </w:rPr>
        <w:commentReference w:id="95"/>
      </w:r>
      <w:commentRangeStart w:id="96"/>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96"/>
      <w:r>
        <w:rPr>
          <w:rStyle w:val="af"/>
        </w:rPr>
        <w:commentReference w:id="96"/>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7777777"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ac"/>
        <w:tblW w:w="0" w:type="auto"/>
        <w:tblLook w:val="04A0" w:firstRow="1" w:lastRow="0" w:firstColumn="1" w:lastColumn="0" w:noHBand="0" w:noVBand="1"/>
      </w:tblPr>
      <w:tblGrid>
        <w:gridCol w:w="1548"/>
        <w:gridCol w:w="1710"/>
        <w:gridCol w:w="6599"/>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7" w:author="Icaro" w:date="2021-07-02T17:55:00Z"/>
        </w:rPr>
      </w:pPr>
    </w:p>
    <w:tbl>
      <w:tblPr>
        <w:tblStyle w:val="ac"/>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8" w:author="Icaro" w:date="2021-07-02T17:20:00Z">
              <w:r>
                <w:t>Ericsson</w:t>
              </w:r>
            </w:ins>
          </w:p>
        </w:tc>
        <w:tc>
          <w:tcPr>
            <w:tcW w:w="1688" w:type="dxa"/>
          </w:tcPr>
          <w:p w14:paraId="25648FFC" w14:textId="77777777" w:rsidR="000557CA" w:rsidRDefault="00F41AFA">
            <w:pPr>
              <w:rPr>
                <w:ins w:id="99" w:author="Icaro" w:date="2021-07-02T18:00:00Z"/>
              </w:rPr>
            </w:pPr>
            <w:ins w:id="100" w:author="Icaro" w:date="2021-07-02T17:20:00Z">
              <w:r>
                <w:t xml:space="preserve">Option </w:t>
              </w:r>
            </w:ins>
            <w:ins w:id="101" w:author="Icaro" w:date="2021-07-02T17:22:00Z">
              <w:r>
                <w:t>2</w:t>
              </w:r>
            </w:ins>
            <w:ins w:id="102" w:author="Icaro" w:date="2021-07-02T18:01:00Z">
              <w:r>
                <w:t xml:space="preserve"> is preferred</w:t>
              </w:r>
            </w:ins>
          </w:p>
          <w:p w14:paraId="1DF47B1C" w14:textId="77777777" w:rsidR="000557CA" w:rsidRDefault="00F41AFA">
            <w:pPr>
              <w:rPr>
                <w:ins w:id="103" w:author="Icaro" w:date="2021-07-02T17:26:00Z"/>
              </w:rPr>
            </w:pPr>
            <w:ins w:id="104" w:author="Icaro" w:date="2021-07-02T18:00:00Z">
              <w:r>
                <w:t>Option 1 is acceptable</w:t>
              </w:r>
            </w:ins>
          </w:p>
          <w:p w14:paraId="47239C5D" w14:textId="77777777" w:rsidR="000557CA" w:rsidRDefault="00F41AFA">
            <w:ins w:id="105" w:author="Icaro" w:date="2021-07-02T17:26:00Z">
              <w:r>
                <w:t>Option 3 contradicts the current text in 5.5</w:t>
              </w:r>
            </w:ins>
            <w:ins w:id="106" w:author="Icaro" w:date="2021-07-02T18:01:00Z">
              <w:r>
                <w:t>, not an acceptable option for us.</w:t>
              </w:r>
            </w:ins>
            <w:ins w:id="107" w:author="Icaro" w:date="2021-07-02T18:00:00Z">
              <w:r>
                <w:t xml:space="preserve"> </w:t>
              </w:r>
            </w:ins>
          </w:p>
        </w:tc>
        <w:tc>
          <w:tcPr>
            <w:tcW w:w="6415" w:type="dxa"/>
          </w:tcPr>
          <w:p w14:paraId="3C3288A8" w14:textId="77777777" w:rsidR="000557CA" w:rsidRDefault="00F41AFA">
            <w:pPr>
              <w:rPr>
                <w:ins w:id="108" w:author="Icaro" w:date="2021-07-02T17:22:00Z"/>
              </w:rPr>
            </w:pPr>
            <w:ins w:id="109" w:author="Icaro" w:date="2021-07-02T17:24:00Z">
              <w:r>
                <w:t>We would like to highlight</w:t>
              </w:r>
            </w:ins>
            <w:ins w:id="110" w:author="Icaro" w:date="2021-07-02T17:25:00Z">
              <w:r>
                <w:t xml:space="preserve"> that the question </w:t>
              </w:r>
            </w:ins>
            <w:ins w:id="111" w:author="Icaro" w:date="2021-07-02T17:21:00Z">
              <w:r>
                <w:t>assumes that the complicated stage-2 signalling with various options (that will create some ex</w:t>
              </w:r>
            </w:ins>
            <w:ins w:id="112" w:author="Icaro" w:date="2021-07-02T17:22:00Z">
              <w:r>
                <w:t>tra work in RAN3</w:t>
              </w:r>
            </w:ins>
            <w:ins w:id="113" w:author="Icaro" w:date="2021-07-02T17:21:00Z">
              <w:r>
                <w:t>) has been agreed, which is not clear to us.</w:t>
              </w:r>
            </w:ins>
            <w:ins w:id="114" w:author="Icaro" w:date="2021-07-02T17:25:00Z">
              <w:r>
                <w:t xml:space="preserve"> The simplest is still a procedure with always two steps.</w:t>
              </w:r>
            </w:ins>
          </w:p>
          <w:p w14:paraId="79B16BF2" w14:textId="77777777" w:rsidR="000557CA" w:rsidRDefault="00F41AFA">
            <w:pPr>
              <w:rPr>
                <w:ins w:id="115" w:author="Icaro" w:date="2021-07-02T17:22:00Z"/>
              </w:rPr>
            </w:pPr>
            <w:ins w:id="116" w:author="Icaro" w:date="2021-07-02T17:25:00Z">
              <w:r>
                <w:t xml:space="preserve">We </w:t>
              </w:r>
            </w:ins>
            <w:ins w:id="117" w:author="Icaro" w:date="2021-07-02T17:22:00Z">
              <w:r>
                <w:t xml:space="preserve">are responding </w:t>
              </w:r>
            </w:ins>
            <w:ins w:id="118" w:author="Icaro" w:date="2021-07-02T17:25:00Z">
              <w:r>
                <w:t xml:space="preserve">anyways </w:t>
              </w:r>
            </w:ins>
            <w:ins w:id="119" w:author="Icaro" w:date="2021-07-02T17:22:00Z">
              <w:r>
                <w:t xml:space="preserve">under </w:t>
              </w:r>
            </w:ins>
            <w:ins w:id="120" w:author="Icaro" w:date="2021-07-02T17:25:00Z">
              <w:r>
                <w:t xml:space="preserve">the </w:t>
              </w:r>
            </w:ins>
            <w:ins w:id="121" w:author="Icaro" w:date="2021-07-02T17:22:00Z">
              <w:r>
                <w:t>assumption</w:t>
              </w:r>
            </w:ins>
            <w:ins w:id="122" w:author="Icaro" w:date="2021-07-02T17:25:00Z">
              <w:r>
                <w:t xml:space="preserve"> that the complicated solution with various options had been agreed</w:t>
              </w:r>
            </w:ins>
            <w:ins w:id="123" w:author="Icaro" w:date="2021-07-02T17:45:00Z">
              <w:r>
                <w:t xml:space="preserve"> (good luck RAN3 to finish this in time)</w:t>
              </w:r>
            </w:ins>
            <w:ins w:id="124" w:author="Icaro" w:date="2021-07-02T17:25:00Z">
              <w:r>
                <w:t>, which c</w:t>
              </w:r>
            </w:ins>
            <w:ins w:id="125" w:author="Icaro" w:date="2021-07-02T17:26:00Z">
              <w:r>
                <w:t>reates this additional issue.</w:t>
              </w:r>
            </w:ins>
          </w:p>
          <w:p w14:paraId="268717BB" w14:textId="77777777" w:rsidR="000557CA" w:rsidRDefault="00F41AFA">
            <w:pPr>
              <w:rPr>
                <w:ins w:id="126" w:author="Icaro" w:date="2021-07-02T17:22:00Z"/>
              </w:rPr>
            </w:pPr>
            <w:ins w:id="127" w:author="Icaro" w:date="2021-07-02T17:22:00Z">
              <w:r>
                <w:t xml:space="preserve">Option 1 is not </w:t>
              </w:r>
            </w:ins>
            <w:ins w:id="128" w:author="Icaro" w:date="2021-07-02T18:01:00Z">
              <w:r>
                <w:t>the best</w:t>
              </w:r>
            </w:ins>
            <w:ins w:id="129" w:author="Icaro" w:date="2021-07-02T17:22:00Z">
              <w:r>
                <w:t>, as we try to avoid UE autonomous actions for something where a signalling would be possible.</w:t>
              </w:r>
            </w:ins>
            <w:ins w:id="130" w:author="Icaro" w:date="2021-07-02T17:27:00Z">
              <w:r>
                <w:t xml:space="preserve"> And, these </w:t>
              </w:r>
              <w:proofErr w:type="spellStart"/>
              <w:r>
                <w:t>measId</w:t>
              </w:r>
              <w:proofErr w:type="spellEnd"/>
              <w:r>
                <w:t xml:space="preserve">(s) are anyways deleted later upon successful execution or suspend/release. </w:t>
              </w:r>
            </w:ins>
          </w:p>
          <w:p w14:paraId="27A61B4E" w14:textId="77777777" w:rsidR="000557CA" w:rsidRDefault="00F41AFA">
            <w:ins w:id="131" w:author="Icaro" w:date="2021-07-02T17:22:00Z">
              <w:r>
                <w:t xml:space="preserve">Option 3 </w:t>
              </w:r>
            </w:ins>
            <w:ins w:id="132" w:author="Icaro" w:date="2021-07-02T17:46:00Z">
              <w:r>
                <w:t>lead</w:t>
              </w:r>
            </w:ins>
            <w:ins w:id="133" w:author="Icaro" w:date="2021-07-02T17:54:00Z">
              <w:r>
                <w:t>s</w:t>
              </w:r>
            </w:ins>
            <w:ins w:id="134" w:author="Icaro" w:date="2021-07-02T17:46:00Z">
              <w:r>
                <w:t xml:space="preserve"> to an </w:t>
              </w:r>
            </w:ins>
            <w:ins w:id="135" w:author="Icaro" w:date="2021-07-02T17:22:00Z">
              <w:r>
                <w:t>inconsistent spec</w:t>
              </w:r>
            </w:ins>
            <w:ins w:id="136" w:author="Icaro" w:date="2021-07-02T17:23:00Z">
              <w:r>
                <w:t>ification. Section 5.5 in RRC specifies when the UE shall perform measurements and without any changes</w:t>
              </w:r>
            </w:ins>
            <w:ins w:id="137" w:author="Icaro" w:date="2021-07-02T17:45:00Z">
              <w:r>
                <w:t>,</w:t>
              </w:r>
            </w:ins>
            <w:ins w:id="138" w:author="Icaro" w:date="2021-07-02T17:23:00Z">
              <w:r>
                <w:t xml:space="preserve"> </w:t>
              </w:r>
            </w:ins>
            <w:ins w:id="139" w:author="Icaro" w:date="2021-07-02T17:45:00Z">
              <w:r>
                <w:t xml:space="preserve">the </w:t>
              </w:r>
            </w:ins>
            <w:ins w:id="140" w:author="Icaro" w:date="2021-07-02T17:23:00Z">
              <w:r>
                <w:t xml:space="preserve">sentence is no sense “it’s up to the UE implementation whether to perform measurements on the </w:t>
              </w:r>
              <w:proofErr w:type="spellStart"/>
              <w:r>
                <w:t>measID</w:t>
              </w:r>
              <w:proofErr w:type="spellEnd"/>
              <w:r>
                <w:t xml:space="preserve"> related with CPC that are not linked with the applicable candidate </w:t>
              </w:r>
              <w:proofErr w:type="spellStart"/>
              <w:r>
                <w:t>PSCells</w:t>
              </w:r>
              <w:proofErr w:type="spellEnd"/>
              <w:r>
                <w:t>” as it would</w:t>
              </w:r>
            </w:ins>
            <w:ins w:id="141" w:author="Icaro" w:date="2021-07-02T17:24:00Z">
              <w:r>
                <w:t xml:space="preserve"> contradict what the specs </w:t>
              </w:r>
            </w:ins>
            <w:ins w:id="142" w:author="Icaro" w:date="2021-07-02T17:46:00Z">
              <w:r>
                <w:t xml:space="preserve">says </w:t>
              </w:r>
            </w:ins>
            <w:ins w:id="143"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 xml:space="preserve">Option 2 and 3 seems the same as UE would anyway not trigger this CPC. However, we prefer to have clear rule saying that UE is not required to do </w:t>
            </w:r>
            <w:r>
              <w:lastRenderedPageBreak/>
              <w:t>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lastRenderedPageBreak/>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c"/>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4"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4"/>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5" w:name="_Toc68014821"/>
                  <w:r>
                    <w:rPr>
                      <w:rFonts w:ascii="Arial" w:eastAsia="Times New Roman" w:hAnsi="Arial"/>
                      <w:sz w:val="24"/>
                      <w:lang w:eastAsia="ja-JP"/>
                    </w:rPr>
                    <w:t>5.5.3.1</w:t>
                  </w:r>
                  <w:r>
                    <w:rPr>
                      <w:rFonts w:ascii="Arial" w:eastAsia="Times New Roman" w:hAnsi="Arial"/>
                      <w:sz w:val="24"/>
                      <w:lang w:eastAsia="ja-JP"/>
                    </w:rPr>
                    <w:tab/>
                    <w:t>General</w:t>
                  </w:r>
                  <w:bookmarkEnd w:id="145"/>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等线"/>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146"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7" w:author="CATT" w:date="2021-07-21T11:50:00Z"/>
                      <w:color w:val="000000"/>
                      <w:lang w:val="en-US" w:eastAsia="zh-CN"/>
                    </w:rPr>
                  </w:pPr>
                  <w:ins w:id="148"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RRC message for CPC (i.e. option 1).</w:t>
            </w:r>
          </w:p>
          <w:p w14:paraId="70C52F8E" w14:textId="77777777" w:rsidR="000557CA" w:rsidRDefault="00F41AFA">
            <w:r>
              <w:rPr>
                <w:rFonts w:hint="eastAsia"/>
                <w:lang w:val="en-US" w:eastAsia="zh-CN"/>
              </w:rPr>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w:t>
            </w:r>
            <w:proofErr w:type="spellStart"/>
            <w:r>
              <w:rPr>
                <w:rFonts w:hint="eastAsia"/>
                <w:lang w:val="en-US" w:eastAsia="zh-CN"/>
              </w:rPr>
              <w:t>can not</w:t>
            </w:r>
            <w:proofErr w:type="spellEnd"/>
            <w:r>
              <w:rPr>
                <w:rFonts w:hint="eastAsia"/>
                <w:lang w:val="en-US" w:eastAsia="zh-CN"/>
              </w:rPr>
              <w:t xml:space="preserve"> perform the measurements). It seems that the option 3 has less spec impact than option 2. But if the majority wants to clearly specify this, we are </w:t>
            </w:r>
            <w:r>
              <w:rPr>
                <w:rFonts w:hint="eastAsia"/>
                <w:lang w:val="en-US" w:eastAsia="zh-CN"/>
              </w:rPr>
              <w:lastRenderedPageBreak/>
              <w:t>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lastRenderedPageBreak/>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w:t>
            </w:r>
            <w:proofErr w:type="spellStart"/>
            <w:r>
              <w:rPr>
                <w:rFonts w:hint="eastAsia"/>
                <w:lang w:val="en-US" w:eastAsia="zh-CN"/>
              </w:rPr>
              <w:t>measID</w:t>
            </w:r>
            <w:proofErr w:type="spellEnd"/>
            <w:r>
              <w:rPr>
                <w:rFonts w:hint="eastAsia"/>
                <w:lang w:val="en-US" w:eastAsia="zh-CN"/>
              </w:rPr>
              <w:t xml:space="preserve"> should be removed by the network to avoid this </w:t>
            </w:r>
            <w:r>
              <w:t>inconsistency</w:t>
            </w:r>
            <w:r>
              <w:rPr>
                <w:rFonts w:hint="eastAsia"/>
                <w:lang w:eastAsia="zh-CN"/>
              </w:rPr>
              <w:t xml:space="preserve">. </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as long as the UE deletes CPC related </w:t>
      </w:r>
      <w:proofErr w:type="spellStart"/>
      <w:r>
        <w:rPr>
          <w:i/>
          <w:sz w:val="21"/>
          <w:szCs w:val="21"/>
        </w:rPr>
        <w:t>measConfig</w:t>
      </w:r>
      <w:proofErr w:type="spellEnd"/>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deletes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ac"/>
        <w:tblW w:w="0" w:type="auto"/>
        <w:tblLook w:val="04A0" w:firstRow="1" w:lastRow="0" w:firstColumn="1" w:lastColumn="0" w:noHBand="0" w:noVBand="1"/>
      </w:tblPr>
      <w:tblGrid>
        <w:gridCol w:w="1548"/>
        <w:gridCol w:w="1710"/>
        <w:gridCol w:w="6599"/>
      </w:tblGrid>
      <w:tr w:rsidR="000557CA" w14:paraId="78CE9C68" w14:textId="77777777">
        <w:tc>
          <w:tcPr>
            <w:tcW w:w="1548" w:type="dxa"/>
          </w:tcPr>
          <w:p w14:paraId="44679226" w14:textId="77777777" w:rsidR="000557CA" w:rsidRDefault="00F41AFA">
            <w:r>
              <w:t>Company</w:t>
            </w:r>
          </w:p>
        </w:tc>
        <w:tc>
          <w:tcPr>
            <w:tcW w:w="1710" w:type="dxa"/>
          </w:tcPr>
          <w:p w14:paraId="545E99C4" w14:textId="77777777" w:rsidR="000557CA" w:rsidRDefault="00F41AFA">
            <w:r>
              <w:t xml:space="preserve">The UE should deletes CPC related </w:t>
            </w:r>
            <w:proofErr w:type="spellStart"/>
            <w:r>
              <w:t>measConfig</w:t>
            </w:r>
            <w:proofErr w:type="spellEnd"/>
            <w:r>
              <w:t xml:space="preserve"> upon successful CPC execution (Agree/Disagree)</w:t>
            </w:r>
          </w:p>
        </w:tc>
        <w:tc>
          <w:tcPr>
            <w:tcW w:w="6599" w:type="dxa"/>
          </w:tcPr>
          <w:p w14:paraId="4C3DC580" w14:textId="77777777" w:rsidR="000557CA" w:rsidRDefault="00F41AFA">
            <w:r>
              <w:t>Comment</w:t>
            </w:r>
          </w:p>
        </w:tc>
      </w:tr>
      <w:tr w:rsidR="000557CA" w14:paraId="5D1A67E5" w14:textId="77777777">
        <w:tc>
          <w:tcPr>
            <w:tcW w:w="1548" w:type="dxa"/>
          </w:tcPr>
          <w:p w14:paraId="29534AFA" w14:textId="77777777" w:rsidR="000557CA" w:rsidRDefault="00F41AFA">
            <w:ins w:id="149" w:author="Icaro" w:date="2021-07-02T17:31:00Z">
              <w:r>
                <w:t>Ericsson</w:t>
              </w:r>
            </w:ins>
          </w:p>
        </w:tc>
        <w:tc>
          <w:tcPr>
            <w:tcW w:w="1710" w:type="dxa"/>
          </w:tcPr>
          <w:p w14:paraId="7B7022C5" w14:textId="77777777" w:rsidR="000557CA" w:rsidRDefault="00F41AFA">
            <w:ins w:id="150" w:author="Icaro" w:date="2021-07-02T17:31:00Z">
              <w:r>
                <w:t>Agree</w:t>
              </w:r>
            </w:ins>
          </w:p>
        </w:tc>
        <w:tc>
          <w:tcPr>
            <w:tcW w:w="6599" w:type="dxa"/>
          </w:tcPr>
          <w:p w14:paraId="17F2EA7C" w14:textId="77777777" w:rsidR="000557CA" w:rsidRDefault="00F41AFA">
            <w:ins w:id="151" w:author="Icaro" w:date="2021-07-02T17:47:00Z">
              <w:r>
                <w:t xml:space="preserve">As </w:t>
              </w:r>
            </w:ins>
            <w:ins w:id="152" w:author="Icaro" w:date="2021-07-02T17:32:00Z">
              <w:r>
                <w:t>discussed earlier</w:t>
              </w:r>
            </w:ins>
            <w:ins w:id="153" w:author="Icaro" w:date="2021-07-02T17:47:00Z">
              <w:r>
                <w:t xml:space="preserve">, this </w:t>
              </w:r>
            </w:ins>
            <w:ins w:id="154" w:author="Icaro" w:date="2021-07-02T17:32:00Z">
              <w:r>
                <w:t>assumes we have agreed on the complicated solution with various options. If that is the case, we need to have something like that as in CHO.</w:t>
              </w:r>
            </w:ins>
          </w:p>
        </w:tc>
      </w:tr>
      <w:tr w:rsidR="000557CA" w14:paraId="00D0D8BF" w14:textId="77777777">
        <w:tc>
          <w:tcPr>
            <w:tcW w:w="1548" w:type="dxa"/>
          </w:tcPr>
          <w:p w14:paraId="591095A8" w14:textId="77777777" w:rsidR="000557CA" w:rsidRDefault="00F41AFA">
            <w:r>
              <w:t>MediaTek</w:t>
            </w:r>
          </w:p>
        </w:tc>
        <w:tc>
          <w:tcPr>
            <w:tcW w:w="1710" w:type="dxa"/>
          </w:tcPr>
          <w:p w14:paraId="6C4A2339" w14:textId="77777777" w:rsidR="000557CA" w:rsidRDefault="00F41AFA">
            <w:r>
              <w:t>Agree</w:t>
            </w:r>
          </w:p>
        </w:tc>
        <w:tc>
          <w:tcPr>
            <w:tcW w:w="6599" w:type="dxa"/>
          </w:tcPr>
          <w:p w14:paraId="73362FB3" w14:textId="77777777" w:rsidR="000557CA" w:rsidRDefault="00F41AFA">
            <w:r>
              <w:t>It seems simpler to just follow the CHO design.</w:t>
            </w:r>
          </w:p>
        </w:tc>
      </w:tr>
      <w:tr w:rsidR="000557CA" w14:paraId="204EAFDD" w14:textId="77777777">
        <w:tc>
          <w:tcPr>
            <w:tcW w:w="1548" w:type="dxa"/>
          </w:tcPr>
          <w:p w14:paraId="6717CE75" w14:textId="77777777" w:rsidR="000557CA" w:rsidRDefault="00F41AFA">
            <w:r>
              <w:t>CATT</w:t>
            </w:r>
          </w:p>
        </w:tc>
        <w:tc>
          <w:tcPr>
            <w:tcW w:w="1710" w:type="dxa"/>
          </w:tcPr>
          <w:p w14:paraId="17584BC1" w14:textId="77777777" w:rsidR="000557CA" w:rsidRDefault="00F41AFA">
            <w:r>
              <w:t>Agree</w:t>
            </w:r>
          </w:p>
        </w:tc>
        <w:tc>
          <w:tcPr>
            <w:tcW w:w="6599" w:type="dxa"/>
          </w:tcPr>
          <w:p w14:paraId="315EE39C" w14:textId="77777777" w:rsidR="000557CA" w:rsidRDefault="00F41AFA">
            <w:r>
              <w:t xml:space="preserve">In R16, UE shall delete the CHO/CPC related </w:t>
            </w:r>
            <w:proofErr w:type="spellStart"/>
            <w:r>
              <w:t>measConfig</w:t>
            </w:r>
            <w:proofErr w:type="spellEnd"/>
            <w:r>
              <w:t xml:space="preserve"> upon successful CHO/CPC execution. The same principle can be reused for R17 CPAC.</w:t>
            </w:r>
          </w:p>
        </w:tc>
      </w:tr>
      <w:tr w:rsidR="000557CA" w14:paraId="520C6D87" w14:textId="77777777">
        <w:tc>
          <w:tcPr>
            <w:tcW w:w="1548" w:type="dxa"/>
          </w:tcPr>
          <w:p w14:paraId="05BD831C" w14:textId="77777777" w:rsidR="000557CA" w:rsidRDefault="00F41AFA">
            <w:pPr>
              <w:rPr>
                <w:lang w:val="en-US" w:eastAsia="zh-CN"/>
              </w:rPr>
            </w:pPr>
            <w:r>
              <w:rPr>
                <w:rFonts w:hint="eastAsia"/>
                <w:lang w:val="en-US" w:eastAsia="zh-CN"/>
              </w:rPr>
              <w:t>ZTE</w:t>
            </w:r>
          </w:p>
        </w:tc>
        <w:tc>
          <w:tcPr>
            <w:tcW w:w="1710" w:type="dxa"/>
          </w:tcPr>
          <w:p w14:paraId="525B8A22" w14:textId="77777777" w:rsidR="000557CA" w:rsidRDefault="00F41AFA">
            <w:pPr>
              <w:rPr>
                <w:lang w:val="en-US" w:eastAsia="zh-CN"/>
              </w:rPr>
            </w:pPr>
            <w:r>
              <w:rPr>
                <w:rFonts w:hint="eastAsia"/>
                <w:lang w:val="en-US" w:eastAsia="zh-CN"/>
              </w:rPr>
              <w:t>Agree</w:t>
            </w:r>
          </w:p>
        </w:tc>
        <w:tc>
          <w:tcPr>
            <w:tcW w:w="6599"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tc>
          <w:tcPr>
            <w:tcW w:w="1548" w:type="dxa"/>
          </w:tcPr>
          <w:p w14:paraId="0336A6E9" w14:textId="2A2C94F8" w:rsidR="00C91C67" w:rsidRDefault="00C91C67">
            <w:pPr>
              <w:rPr>
                <w:lang w:val="en-US" w:eastAsia="zh-CN"/>
              </w:rPr>
            </w:pPr>
            <w:r>
              <w:rPr>
                <w:lang w:val="en-US" w:eastAsia="zh-CN"/>
              </w:rPr>
              <w:t>Nokia</w:t>
            </w:r>
          </w:p>
        </w:tc>
        <w:tc>
          <w:tcPr>
            <w:tcW w:w="1710" w:type="dxa"/>
          </w:tcPr>
          <w:p w14:paraId="62ADF316" w14:textId="656ADF9F" w:rsidR="00C91C67" w:rsidRDefault="00C91C67">
            <w:pPr>
              <w:rPr>
                <w:lang w:val="en-US" w:eastAsia="zh-CN"/>
              </w:rPr>
            </w:pPr>
            <w:r>
              <w:rPr>
                <w:lang w:val="en-US" w:eastAsia="zh-CN"/>
              </w:rPr>
              <w:t>Depends</w:t>
            </w:r>
          </w:p>
        </w:tc>
        <w:tc>
          <w:tcPr>
            <w:tcW w:w="6599"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tc>
          <w:tcPr>
            <w:tcW w:w="1548" w:type="dxa"/>
          </w:tcPr>
          <w:p w14:paraId="21450E17" w14:textId="0B89C4EA" w:rsidR="007B065F" w:rsidRDefault="007B065F">
            <w:pPr>
              <w:rPr>
                <w:lang w:val="en-US" w:eastAsia="zh-CN"/>
              </w:rPr>
            </w:pPr>
            <w:r>
              <w:rPr>
                <w:rFonts w:hint="eastAsia"/>
                <w:lang w:val="en-US" w:eastAsia="zh-CN"/>
              </w:rPr>
              <w:t>Sharp</w:t>
            </w:r>
          </w:p>
        </w:tc>
        <w:tc>
          <w:tcPr>
            <w:tcW w:w="1710"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599"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ac"/>
        <w:tblW w:w="0" w:type="auto"/>
        <w:tblLook w:val="04A0" w:firstRow="1" w:lastRow="0" w:firstColumn="1" w:lastColumn="0" w:noHBand="0" w:noVBand="1"/>
      </w:tblPr>
      <w:tblGrid>
        <w:gridCol w:w="1548"/>
        <w:gridCol w:w="1710"/>
        <w:gridCol w:w="6599"/>
      </w:tblGrid>
      <w:tr w:rsidR="000557CA" w14:paraId="766A31C3" w14:textId="77777777">
        <w:tc>
          <w:tcPr>
            <w:tcW w:w="1548" w:type="dxa"/>
          </w:tcPr>
          <w:p w14:paraId="734FA768" w14:textId="77777777" w:rsidR="000557CA" w:rsidRDefault="00F41AFA">
            <w:r>
              <w:t>Company</w:t>
            </w:r>
          </w:p>
        </w:tc>
        <w:tc>
          <w:tcPr>
            <w:tcW w:w="1710" w:type="dxa"/>
          </w:tcPr>
          <w:p w14:paraId="51D62376" w14:textId="77777777" w:rsidR="000557CA" w:rsidRDefault="00F41AFA">
            <w:r>
              <w:t>The MN does not need to comprehend the execution condition set by the source SN (Agree/Disagree)</w:t>
            </w:r>
          </w:p>
        </w:tc>
        <w:tc>
          <w:tcPr>
            <w:tcW w:w="6599" w:type="dxa"/>
          </w:tcPr>
          <w:p w14:paraId="1F1B53CA" w14:textId="77777777" w:rsidR="000557CA" w:rsidRDefault="00F41AFA">
            <w:r>
              <w:t>Comment</w:t>
            </w:r>
          </w:p>
        </w:tc>
      </w:tr>
      <w:tr w:rsidR="000557CA" w14:paraId="0B4DCA86" w14:textId="77777777">
        <w:tc>
          <w:tcPr>
            <w:tcW w:w="1548" w:type="dxa"/>
          </w:tcPr>
          <w:p w14:paraId="63040DAF" w14:textId="77777777" w:rsidR="000557CA" w:rsidRDefault="00F41AFA">
            <w:ins w:id="155" w:author="Icaro" w:date="2021-07-02T17:31:00Z">
              <w:r>
                <w:t>Ericsson</w:t>
              </w:r>
            </w:ins>
          </w:p>
        </w:tc>
        <w:tc>
          <w:tcPr>
            <w:tcW w:w="1710" w:type="dxa"/>
          </w:tcPr>
          <w:p w14:paraId="2D8DD88E" w14:textId="77777777" w:rsidR="000557CA" w:rsidRDefault="00F41AFA">
            <w:ins w:id="156" w:author="Icaro" w:date="2021-07-02T17:33:00Z">
              <w:r>
                <w:t>It does not matter</w:t>
              </w:r>
            </w:ins>
            <w:ins w:id="157" w:author="Icaro" w:date="2021-07-02T18:02:00Z">
              <w:r>
                <w:t>?</w:t>
              </w:r>
            </w:ins>
          </w:p>
        </w:tc>
        <w:tc>
          <w:tcPr>
            <w:tcW w:w="6599" w:type="dxa"/>
          </w:tcPr>
          <w:p w14:paraId="35B97B3B" w14:textId="77777777" w:rsidR="000557CA" w:rsidRDefault="00F41AFA">
            <w:pPr>
              <w:rPr>
                <w:ins w:id="158" w:author="Icaro" w:date="2021-07-02T17:34:00Z"/>
              </w:rPr>
            </w:pPr>
            <w:ins w:id="159" w:author="Icaro" w:date="2021-07-02T17:33:00Z">
              <w:r>
                <w:t xml:space="preserve">What </w:t>
              </w:r>
            </w:ins>
            <w:ins w:id="160" w:author="Icaro" w:date="2021-07-02T17:34:00Z">
              <w:r>
                <w:t xml:space="preserve">matters is that the MN needs to indicate to the UE that the execution conditions (one or two </w:t>
              </w:r>
              <w:proofErr w:type="spellStart"/>
              <w:r>
                <w:t>measId</w:t>
              </w:r>
              <w:proofErr w:type="spellEnd"/>
              <w:r>
                <w:t xml:space="preserve">(s)) should refer to an SCG </w:t>
              </w:r>
              <w:proofErr w:type="spellStart"/>
              <w:r>
                <w:t>MeasConfig</w:t>
              </w:r>
              <w:proofErr w:type="spellEnd"/>
              <w:r>
                <w:t xml:space="preserve">. And, for that reason, we should define a new field or have some way to indicate that to the UE. </w:t>
              </w:r>
            </w:ins>
          </w:p>
          <w:p w14:paraId="27B95064" w14:textId="77777777" w:rsidR="000557CA" w:rsidRDefault="00F41AFA">
            <w:ins w:id="161" w:author="Icaro" w:date="2021-07-02T17:34:00Z">
              <w:r>
                <w:t xml:space="preserve">Hiding or not hiding </w:t>
              </w:r>
            </w:ins>
            <w:ins w:id="162" w:author="Icaro" w:date="2021-07-02T17:50:00Z">
              <w:r>
                <w:t xml:space="preserve">seems </w:t>
              </w:r>
            </w:ins>
            <w:ins w:id="163" w:author="Icaro" w:date="2021-07-02T17:34:00Z">
              <w:r>
                <w:t>irrelevant in our view</w:t>
              </w:r>
            </w:ins>
            <w:ins w:id="164" w:author="Icaro" w:date="2021-07-02T17:50:00Z">
              <w:r>
                <w:t>, maybe proponents could explain the point of hiding it.</w:t>
              </w:r>
            </w:ins>
          </w:p>
        </w:tc>
      </w:tr>
      <w:tr w:rsidR="000557CA" w14:paraId="079215A6" w14:textId="77777777">
        <w:tc>
          <w:tcPr>
            <w:tcW w:w="1548" w:type="dxa"/>
          </w:tcPr>
          <w:p w14:paraId="425F2104" w14:textId="77777777" w:rsidR="000557CA" w:rsidRDefault="00F41AFA">
            <w:r>
              <w:t>MediaTek</w:t>
            </w:r>
          </w:p>
        </w:tc>
        <w:tc>
          <w:tcPr>
            <w:tcW w:w="1710" w:type="dxa"/>
          </w:tcPr>
          <w:p w14:paraId="568261FB" w14:textId="77777777" w:rsidR="000557CA" w:rsidRDefault="00F41AFA">
            <w:r>
              <w:t>No strong view</w:t>
            </w:r>
          </w:p>
        </w:tc>
        <w:tc>
          <w:tcPr>
            <w:tcW w:w="65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tc>
          <w:tcPr>
            <w:tcW w:w="1548" w:type="dxa"/>
          </w:tcPr>
          <w:p w14:paraId="0A552E57" w14:textId="77777777" w:rsidR="000557CA" w:rsidRDefault="00F41AFA">
            <w:r>
              <w:t>CATT</w:t>
            </w:r>
          </w:p>
        </w:tc>
        <w:tc>
          <w:tcPr>
            <w:tcW w:w="1710" w:type="dxa"/>
          </w:tcPr>
          <w:p w14:paraId="00DF7974" w14:textId="77777777" w:rsidR="000557CA" w:rsidRDefault="00F41AFA">
            <w:r>
              <w:t>Agree</w:t>
            </w:r>
          </w:p>
        </w:tc>
        <w:tc>
          <w:tcPr>
            <w:tcW w:w="6599" w:type="dxa"/>
          </w:tcPr>
          <w:p w14:paraId="18431350" w14:textId="77777777" w:rsidR="000557CA" w:rsidRDefault="00F41AFA">
            <w:r>
              <w:t>The MN does not need to comprehend the execution condition set by the source SN.</w:t>
            </w:r>
          </w:p>
        </w:tc>
      </w:tr>
      <w:tr w:rsidR="000557CA" w14:paraId="24586E7F" w14:textId="77777777">
        <w:tc>
          <w:tcPr>
            <w:tcW w:w="1548" w:type="dxa"/>
          </w:tcPr>
          <w:p w14:paraId="5B188FBF" w14:textId="77777777" w:rsidR="000557CA" w:rsidRDefault="00F41AFA">
            <w:pPr>
              <w:rPr>
                <w:lang w:val="en-US" w:eastAsia="zh-CN"/>
              </w:rPr>
            </w:pPr>
            <w:r>
              <w:rPr>
                <w:rFonts w:hint="eastAsia"/>
                <w:lang w:val="en-US" w:eastAsia="zh-CN"/>
              </w:rPr>
              <w:t>ZTE</w:t>
            </w:r>
          </w:p>
        </w:tc>
        <w:tc>
          <w:tcPr>
            <w:tcW w:w="1710" w:type="dxa"/>
          </w:tcPr>
          <w:p w14:paraId="584F7464" w14:textId="77777777" w:rsidR="000557CA" w:rsidRDefault="00F41AFA">
            <w:pPr>
              <w:rPr>
                <w:lang w:val="en-US" w:eastAsia="zh-CN"/>
              </w:rPr>
            </w:pPr>
            <w:r>
              <w:rPr>
                <w:rFonts w:hint="eastAsia"/>
                <w:lang w:val="en-US" w:eastAsia="zh-CN"/>
              </w:rPr>
              <w:t>Agree</w:t>
            </w:r>
          </w:p>
        </w:tc>
        <w:tc>
          <w:tcPr>
            <w:tcW w:w="65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SCG </w:t>
            </w:r>
            <w:proofErr w:type="spellStart"/>
            <w:r>
              <w:rPr>
                <w:rFonts w:hint="eastAsia"/>
                <w:lang w:val="en-US" w:eastAsia="zh-CN"/>
              </w:rPr>
              <w:t>MeasConfig</w:t>
            </w:r>
            <w:proofErr w:type="spellEnd"/>
            <w:r>
              <w:rPr>
                <w:rFonts w:hint="eastAsia"/>
                <w:lang w:val="en-US" w:eastAsia="zh-CN"/>
              </w:rPr>
              <w:t>.</w:t>
            </w:r>
          </w:p>
        </w:tc>
      </w:tr>
      <w:tr w:rsidR="00735698" w14:paraId="112A9CEA" w14:textId="77777777">
        <w:tc>
          <w:tcPr>
            <w:tcW w:w="1548" w:type="dxa"/>
          </w:tcPr>
          <w:p w14:paraId="470F1210" w14:textId="49676568" w:rsidR="00735698" w:rsidRDefault="00735698">
            <w:pPr>
              <w:rPr>
                <w:lang w:val="en-US" w:eastAsia="zh-CN"/>
              </w:rPr>
            </w:pPr>
            <w:r>
              <w:rPr>
                <w:lang w:val="en-US" w:eastAsia="zh-CN"/>
              </w:rPr>
              <w:t>Nokia</w:t>
            </w:r>
          </w:p>
        </w:tc>
        <w:tc>
          <w:tcPr>
            <w:tcW w:w="1710" w:type="dxa"/>
          </w:tcPr>
          <w:p w14:paraId="2834BCB1" w14:textId="676C2A20" w:rsidR="00735698" w:rsidRDefault="00735698">
            <w:pPr>
              <w:rPr>
                <w:lang w:val="en-US" w:eastAsia="zh-CN"/>
              </w:rPr>
            </w:pPr>
            <w:r>
              <w:rPr>
                <w:lang w:val="en-US" w:eastAsia="zh-CN"/>
              </w:rPr>
              <w:t>Agree</w:t>
            </w:r>
          </w:p>
        </w:tc>
        <w:tc>
          <w:tcPr>
            <w:tcW w:w="6599" w:type="dxa"/>
          </w:tcPr>
          <w:p w14:paraId="0A3793B7" w14:textId="7469B8EE" w:rsidR="00735698" w:rsidRDefault="00735698">
            <w:pPr>
              <w:rPr>
                <w:lang w:val="en-US" w:eastAsia="zh-CN"/>
              </w:rPr>
            </w:pPr>
            <w:r w:rsidRPr="00735698">
              <w:rPr>
                <w:lang w:val="en-US" w:eastAsia="zh-CN"/>
              </w:rPr>
              <w:t xml:space="preserve">We think Ericsson is right, what matters most is the proper linking of conditions with configurations for particular candidate </w:t>
            </w:r>
            <w:proofErr w:type="spellStart"/>
            <w:r w:rsidRPr="00735698">
              <w:rPr>
                <w:lang w:val="en-US" w:eastAsia="zh-CN"/>
              </w:rPr>
              <w:t>PSCells</w:t>
            </w:r>
            <w:proofErr w:type="spellEnd"/>
            <w:r w:rsidRPr="00735698">
              <w:rPr>
                <w:lang w:val="en-US" w:eastAsia="zh-CN"/>
              </w:rPr>
              <w:t>. Besides that, the MN does not have to comprehend the conditions.</w:t>
            </w:r>
          </w:p>
        </w:tc>
      </w:tr>
      <w:tr w:rsidR="00110F50" w14:paraId="474FA846" w14:textId="77777777">
        <w:tc>
          <w:tcPr>
            <w:tcW w:w="1548"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10"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5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SCG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xml:space="preserve">, a new field for the execution condition(s) set by the SN (e.g.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5" w:name="_Hlk71218247"/>
      <w:bookmarkStart w:id="166" w:name="_Toc71566828"/>
      <w:bookmarkStart w:id="167"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65"/>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 xml:space="preserve">to indicate that the execution condition refers to the SCG </w:t>
      </w:r>
      <w:proofErr w:type="spellStart"/>
      <w:r>
        <w:rPr>
          <w:rFonts w:ascii="Times New Roman" w:hAnsi="Times New Roman"/>
          <w:b/>
        </w:rPr>
        <w:t>MeasConfig</w:t>
      </w:r>
      <w:proofErr w:type="spellEnd"/>
      <w:r>
        <w:rPr>
          <w:rFonts w:ascii="Times New Roman" w:hAnsi="Times New Roman"/>
          <w:b/>
        </w:rPr>
        <w:t xml:space="preserve"> .</w:t>
      </w:r>
      <w:bookmarkEnd w:id="166"/>
    </w:p>
    <w:bookmarkEnd w:id="167"/>
    <w:p w14:paraId="61551773" w14:textId="77777777" w:rsidR="000557CA" w:rsidRDefault="000557CA">
      <w:pPr>
        <w:pStyle w:val="Doc-text2"/>
        <w:ind w:left="0" w:firstLine="0"/>
      </w:pPr>
    </w:p>
    <w:tbl>
      <w:tblPr>
        <w:tblStyle w:val="ac"/>
        <w:tblW w:w="0" w:type="auto"/>
        <w:tblLook w:val="04A0" w:firstRow="1" w:lastRow="0" w:firstColumn="1" w:lastColumn="0" w:noHBand="0" w:noVBand="1"/>
      </w:tblPr>
      <w:tblGrid>
        <w:gridCol w:w="1548"/>
        <w:gridCol w:w="1710"/>
        <w:gridCol w:w="6599"/>
      </w:tblGrid>
      <w:tr w:rsidR="000557CA" w14:paraId="4C09FFF5" w14:textId="77777777">
        <w:tc>
          <w:tcPr>
            <w:tcW w:w="1548" w:type="dxa"/>
          </w:tcPr>
          <w:p w14:paraId="187182D4" w14:textId="77777777" w:rsidR="000557CA" w:rsidRDefault="00F41AFA">
            <w:r>
              <w:t>Company</w:t>
            </w:r>
          </w:p>
        </w:tc>
        <w:tc>
          <w:tcPr>
            <w:tcW w:w="1710" w:type="dxa"/>
          </w:tcPr>
          <w:p w14:paraId="55B4AFA5" w14:textId="77777777" w:rsidR="000557CA" w:rsidRDefault="00F41AFA">
            <w:r>
              <w:t xml:space="preserve"> Agree/Disagree</w:t>
            </w:r>
          </w:p>
        </w:tc>
        <w:tc>
          <w:tcPr>
            <w:tcW w:w="6599" w:type="dxa"/>
          </w:tcPr>
          <w:p w14:paraId="0FC3225D" w14:textId="77777777" w:rsidR="000557CA" w:rsidRDefault="00F41AFA">
            <w:r>
              <w:t>Comment</w:t>
            </w:r>
          </w:p>
        </w:tc>
      </w:tr>
      <w:tr w:rsidR="000557CA" w14:paraId="51E9642D" w14:textId="77777777">
        <w:tc>
          <w:tcPr>
            <w:tcW w:w="1548" w:type="dxa"/>
          </w:tcPr>
          <w:p w14:paraId="36AD405B" w14:textId="77777777" w:rsidR="000557CA" w:rsidRDefault="00F41AFA">
            <w:ins w:id="168" w:author="Icaro" w:date="2021-07-02T17:35:00Z">
              <w:r>
                <w:t>Ericsson</w:t>
              </w:r>
            </w:ins>
          </w:p>
        </w:tc>
        <w:tc>
          <w:tcPr>
            <w:tcW w:w="1710" w:type="dxa"/>
          </w:tcPr>
          <w:p w14:paraId="2F8AC18B" w14:textId="77777777" w:rsidR="000557CA" w:rsidRDefault="00F41AFA">
            <w:ins w:id="169" w:author="Icaro" w:date="2021-07-02T17:35:00Z">
              <w:r>
                <w:t>Agree</w:t>
              </w:r>
            </w:ins>
          </w:p>
        </w:tc>
        <w:tc>
          <w:tcPr>
            <w:tcW w:w="6599" w:type="dxa"/>
          </w:tcPr>
          <w:p w14:paraId="792FCD35" w14:textId="77777777" w:rsidR="000557CA" w:rsidRDefault="00F41AFA">
            <w:pPr>
              <w:rPr>
                <w:ins w:id="170" w:author="Icaro" w:date="2021-07-02T17:49:00Z"/>
              </w:rPr>
            </w:pPr>
            <w:ins w:id="171" w:author="Icaro" w:date="2021-07-02T17:49:00Z">
              <w:r>
                <w:t xml:space="preserve">A new field needs to be introduced in </w:t>
              </w:r>
              <w:proofErr w:type="spellStart"/>
              <w:r>
                <w:rPr>
                  <w:i/>
                  <w:iCs/>
                </w:rPr>
                <w:t>CondReconfigToAddMod</w:t>
              </w:r>
              <w:proofErr w:type="spellEnd"/>
              <w:r>
                <w:t xml:space="preserve"> to indicate that the execution condition refers to the SCG </w:t>
              </w:r>
              <w:proofErr w:type="spellStart"/>
              <w:r>
                <w:t>MeasConfig</w:t>
              </w:r>
              <w:proofErr w:type="spellEnd"/>
              <w:r>
                <w:t>.</w:t>
              </w:r>
            </w:ins>
          </w:p>
          <w:p w14:paraId="39E050AE" w14:textId="77777777" w:rsidR="000557CA" w:rsidRDefault="00F41AFA">
            <w:pPr>
              <w:rPr>
                <w:ins w:id="172" w:author="Icaro" w:date="2021-07-02T17:49:00Z"/>
              </w:rPr>
            </w:pPr>
            <w:ins w:id="173" w:author="Icaro" w:date="2021-07-02T17:49:00Z">
              <w:r>
                <w:t>It could be something like that</w:t>
              </w:r>
            </w:ins>
            <w:ins w:id="174" w:author="Icaro" w:date="2021-07-02T17:50:00Z">
              <w:r>
                <w:t>, in case people prefer to hide this from the MN:</w:t>
              </w:r>
            </w:ins>
          </w:p>
          <w:p w14:paraId="6D8408BC" w14:textId="77777777" w:rsidR="000557CA" w:rsidRDefault="00F41AFA">
            <w:pPr>
              <w:pStyle w:val="aa"/>
              <w:shd w:val="clear" w:color="auto" w:fill="E6E6E6"/>
              <w:spacing w:before="0" w:beforeAutospacing="0" w:after="0" w:afterAutospacing="0"/>
              <w:jc w:val="both"/>
              <w:rPr>
                <w:ins w:id="175" w:author="Icaro" w:date="2021-07-02T17:49:00Z"/>
                <w:rFonts w:ascii="Segoe UI" w:hAnsi="Segoe UI" w:cs="Segoe UI"/>
                <w:color w:val="212529"/>
                <w:lang w:val="en-US"/>
              </w:rPr>
            </w:pPr>
            <w:ins w:id="176"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aa"/>
              <w:shd w:val="clear" w:color="auto" w:fill="E6E6E6"/>
              <w:spacing w:before="0" w:beforeAutospacing="0" w:after="0" w:afterAutospacing="0"/>
              <w:jc w:val="both"/>
              <w:rPr>
                <w:ins w:id="177" w:author="Icaro" w:date="2021-07-02T17:49:00Z"/>
                <w:rFonts w:ascii="Segoe UI" w:hAnsi="Segoe UI" w:cs="Segoe UI"/>
                <w:color w:val="212529"/>
                <w:lang w:val="en-US"/>
              </w:rPr>
            </w:pPr>
          </w:p>
          <w:p w14:paraId="04E45C2E" w14:textId="77777777" w:rsidR="000557CA" w:rsidRDefault="00F41AFA">
            <w:pPr>
              <w:pStyle w:val="aa"/>
              <w:shd w:val="clear" w:color="auto" w:fill="E6E6E6"/>
              <w:spacing w:before="0" w:beforeAutospacing="0" w:after="0" w:afterAutospacing="0"/>
              <w:jc w:val="both"/>
              <w:rPr>
                <w:ins w:id="178" w:author="Icaro" w:date="2021-07-02T17:49:00Z"/>
                <w:rFonts w:ascii="Segoe UI" w:hAnsi="Segoe UI" w:cs="Segoe UI"/>
                <w:color w:val="212529"/>
                <w:lang w:val="pt-BR"/>
              </w:rPr>
            </w:pPr>
            <w:ins w:id="179"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aa"/>
              <w:shd w:val="clear" w:color="auto" w:fill="E6E6E6"/>
              <w:spacing w:before="0" w:beforeAutospacing="0" w:after="0" w:afterAutospacing="0"/>
              <w:jc w:val="both"/>
              <w:rPr>
                <w:ins w:id="180" w:author="Icaro" w:date="2021-07-02T17:49:00Z"/>
                <w:rFonts w:ascii="Segoe UI" w:hAnsi="Segoe UI" w:cs="Segoe UI"/>
                <w:color w:val="212529"/>
                <w:lang w:val="pt-BR"/>
              </w:rPr>
            </w:pPr>
            <w:ins w:id="181"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aa"/>
              <w:shd w:val="clear" w:color="auto" w:fill="E6E6E6"/>
              <w:spacing w:before="0" w:beforeAutospacing="0" w:after="0" w:afterAutospacing="0"/>
              <w:jc w:val="both"/>
              <w:rPr>
                <w:ins w:id="182" w:author="Icaro" w:date="2021-07-02T17:49:00Z"/>
                <w:rFonts w:ascii="Segoe UI" w:hAnsi="Segoe UI" w:cs="Segoe UI"/>
                <w:color w:val="212529"/>
                <w:lang w:val="en-US"/>
              </w:rPr>
            </w:pPr>
            <w:ins w:id="183"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0D6895BF" w14:textId="77777777" w:rsidR="000557CA" w:rsidRDefault="000557CA">
            <w:pPr>
              <w:pStyle w:val="aa"/>
              <w:shd w:val="clear" w:color="auto" w:fill="E6E6E6"/>
              <w:spacing w:before="0" w:beforeAutospacing="0" w:after="0" w:afterAutospacing="0"/>
              <w:jc w:val="both"/>
              <w:rPr>
                <w:ins w:id="184" w:author="Icaro" w:date="2021-07-02T17:49:00Z"/>
                <w:rFonts w:ascii="Segoe UI" w:hAnsi="Segoe UI" w:cs="Segoe UI"/>
                <w:color w:val="212529"/>
                <w:lang w:val="en-US"/>
              </w:rPr>
            </w:pPr>
          </w:p>
          <w:p w14:paraId="0045658E" w14:textId="77777777" w:rsidR="000557CA" w:rsidRDefault="00F41AFA">
            <w:pPr>
              <w:pStyle w:val="aa"/>
              <w:shd w:val="clear" w:color="auto" w:fill="E6E6E6"/>
              <w:spacing w:before="0" w:beforeAutospacing="0" w:after="0" w:afterAutospacing="0"/>
              <w:jc w:val="both"/>
              <w:rPr>
                <w:ins w:id="185" w:author="Icaro" w:date="2021-07-02T17:49:00Z"/>
                <w:rFonts w:ascii="Segoe UI" w:hAnsi="Segoe UI" w:cs="Segoe UI"/>
                <w:color w:val="212529"/>
                <w:highlight w:val="yellow"/>
                <w:lang w:val="en-US"/>
              </w:rPr>
            </w:pPr>
            <w:ins w:id="186"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aa"/>
              <w:shd w:val="clear" w:color="auto" w:fill="E6E6E6"/>
              <w:spacing w:before="0" w:beforeAutospacing="0" w:after="0" w:afterAutospacing="0"/>
              <w:jc w:val="both"/>
              <w:rPr>
                <w:ins w:id="187" w:author="Icaro" w:date="2021-07-02T17:49:00Z"/>
                <w:rFonts w:ascii="Segoe UI" w:hAnsi="Segoe UI" w:cs="Segoe UI"/>
                <w:color w:val="212529"/>
                <w:highlight w:val="yellow"/>
                <w:lang w:val="en-US"/>
              </w:rPr>
            </w:pPr>
            <w:ins w:id="188"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aa"/>
              <w:shd w:val="clear" w:color="auto" w:fill="E6E6E6"/>
              <w:spacing w:before="0" w:beforeAutospacing="0" w:after="0" w:afterAutospacing="0"/>
              <w:jc w:val="both"/>
              <w:rPr>
                <w:ins w:id="189" w:author="Icaro" w:date="2021-07-02T17:49:00Z"/>
                <w:rFonts w:ascii="Segoe UI" w:hAnsi="Segoe UI" w:cs="Segoe UI"/>
                <w:color w:val="212529"/>
                <w:lang w:val="en-US"/>
              </w:rPr>
            </w:pPr>
            <w:ins w:id="190"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aa"/>
              <w:shd w:val="clear" w:color="auto" w:fill="E6E6E6"/>
              <w:spacing w:before="0" w:beforeAutospacing="0" w:after="0" w:afterAutospacing="0"/>
              <w:jc w:val="both"/>
              <w:rPr>
                <w:ins w:id="191" w:author="Icaro" w:date="2021-07-02T17:49:00Z"/>
                <w:rFonts w:ascii="Segoe UI" w:hAnsi="Segoe UI" w:cs="Segoe UI"/>
                <w:color w:val="212529"/>
                <w:lang w:val="en-US"/>
              </w:rPr>
            </w:pPr>
          </w:p>
          <w:p w14:paraId="7CEC8A55" w14:textId="77777777" w:rsidR="000557CA" w:rsidRDefault="00F41AFA">
            <w:pPr>
              <w:pStyle w:val="aa"/>
              <w:shd w:val="clear" w:color="auto" w:fill="E6E6E6"/>
              <w:spacing w:before="0" w:beforeAutospacing="0" w:after="0" w:afterAutospacing="0"/>
              <w:jc w:val="both"/>
              <w:rPr>
                <w:ins w:id="192" w:author="Icaro" w:date="2021-07-02T17:49:00Z"/>
                <w:rFonts w:ascii="Segoe UI" w:hAnsi="Segoe UI" w:cs="Segoe UI"/>
                <w:color w:val="212529"/>
                <w:lang w:val="en-US"/>
              </w:rPr>
            </w:pPr>
            <w:ins w:id="193"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1983DEC9" w14:textId="77777777" w:rsidR="000557CA" w:rsidRDefault="00F41AFA">
            <w:pPr>
              <w:pStyle w:val="aa"/>
              <w:shd w:val="clear" w:color="auto" w:fill="E6E6E6"/>
              <w:spacing w:before="0" w:beforeAutospacing="0" w:after="0" w:afterAutospacing="0"/>
              <w:jc w:val="both"/>
              <w:rPr>
                <w:ins w:id="194" w:author="Icaro" w:date="2021-07-02T17:49:00Z"/>
                <w:rFonts w:ascii="Segoe UI" w:hAnsi="Segoe UI" w:cs="Segoe UI"/>
                <w:color w:val="212529"/>
                <w:lang w:val="en-US"/>
              </w:rPr>
            </w:pPr>
            <w:ins w:id="195" w:author="Icaro" w:date="2021-07-02T17:49:00Z">
              <w:r>
                <w:rPr>
                  <w:rFonts w:ascii="Courier New" w:hAnsi="Courier New" w:cs="Courier New"/>
                  <w:color w:val="212529"/>
                  <w:sz w:val="16"/>
                  <w:szCs w:val="16"/>
                  <w:lang w:val="en-US"/>
                </w:rPr>
                <w:t>...</w:t>
              </w:r>
            </w:ins>
          </w:p>
          <w:p w14:paraId="73067AE4" w14:textId="77777777" w:rsidR="000557CA" w:rsidRDefault="00F41AFA">
            <w:pPr>
              <w:pStyle w:val="aa"/>
              <w:shd w:val="clear" w:color="auto" w:fill="E6E6E6"/>
              <w:spacing w:before="0" w:beforeAutospacing="0" w:after="0" w:afterAutospacing="0"/>
              <w:jc w:val="both"/>
              <w:rPr>
                <w:ins w:id="196" w:author="Icaro" w:date="2021-07-02T17:49:00Z"/>
                <w:rFonts w:ascii="Segoe UI" w:hAnsi="Segoe UI" w:cs="Segoe UI"/>
                <w:color w:val="212529"/>
                <w:lang w:val="en-US"/>
              </w:rPr>
            </w:pPr>
            <w:ins w:id="197" w:author="Icaro" w:date="2021-07-02T17:49:00Z">
              <w:r>
                <w:rPr>
                  <w:rFonts w:ascii="Courier New" w:hAnsi="Courier New" w:cs="Courier New"/>
                  <w:color w:val="212529"/>
                  <w:sz w:val="16"/>
                  <w:szCs w:val="16"/>
                  <w:lang w:val="en-US"/>
                </w:rPr>
                <w:t>}</w:t>
              </w:r>
            </w:ins>
          </w:p>
          <w:p w14:paraId="5AA56DAB" w14:textId="77777777" w:rsidR="000557CA" w:rsidRDefault="000557CA">
            <w:pPr>
              <w:pStyle w:val="aa"/>
              <w:shd w:val="clear" w:color="auto" w:fill="E6E6E6"/>
              <w:spacing w:before="0" w:beforeAutospacing="0" w:after="0" w:afterAutospacing="0"/>
              <w:jc w:val="both"/>
              <w:rPr>
                <w:ins w:id="198" w:author="Icaro" w:date="2021-07-02T17:49:00Z"/>
                <w:rFonts w:ascii="Segoe UI" w:hAnsi="Segoe UI" w:cs="Segoe UI"/>
                <w:color w:val="212529"/>
                <w:lang w:val="en-US"/>
              </w:rPr>
            </w:pPr>
          </w:p>
          <w:p w14:paraId="176D283E" w14:textId="77777777" w:rsidR="000557CA" w:rsidRDefault="00F41AFA">
            <w:pPr>
              <w:pStyle w:val="aa"/>
              <w:shd w:val="clear" w:color="auto" w:fill="E6E6E6"/>
              <w:spacing w:before="0" w:beforeAutospacing="0" w:after="0" w:afterAutospacing="0"/>
              <w:jc w:val="both"/>
              <w:rPr>
                <w:ins w:id="199" w:author="Icaro" w:date="2021-07-02T17:49:00Z"/>
                <w:rFonts w:ascii="Segoe UI" w:hAnsi="Segoe UI" w:cs="Segoe UI"/>
                <w:color w:val="212529"/>
                <w:lang w:val="en-US"/>
              </w:rPr>
            </w:pPr>
            <w:ins w:id="200" w:author="Icaro" w:date="2021-07-02T17:49:00Z">
              <w:r>
                <w:rPr>
                  <w:rFonts w:ascii="Courier New" w:hAnsi="Courier New" w:cs="Courier New"/>
                  <w:color w:val="FF0000"/>
                  <w:sz w:val="16"/>
                  <w:szCs w:val="16"/>
                  <w:u w:val="single"/>
                  <w:lang w:val="en-US"/>
                </w:rPr>
                <w:t xml:space="preserve">CondReconfigExecCond-r17 ::= SEQUENCE (SIZE (1..2)) OF </w:t>
              </w:r>
              <w:proofErr w:type="spellStart"/>
              <w:r>
                <w:rPr>
                  <w:rFonts w:ascii="Courier New" w:hAnsi="Courier New" w:cs="Courier New"/>
                  <w:color w:val="FF0000"/>
                  <w:sz w:val="16"/>
                  <w:szCs w:val="16"/>
                  <w:u w:val="single"/>
                  <w:lang w:val="en-US"/>
                </w:rPr>
                <w:t>MeasId</w:t>
              </w:r>
              <w:proofErr w:type="spellEnd"/>
            </w:ins>
          </w:p>
          <w:p w14:paraId="51AD944F" w14:textId="77777777" w:rsidR="000557CA" w:rsidRDefault="000557CA">
            <w:pPr>
              <w:pStyle w:val="aa"/>
              <w:shd w:val="clear" w:color="auto" w:fill="E6E6E6"/>
              <w:spacing w:before="0" w:beforeAutospacing="0" w:after="0" w:afterAutospacing="0"/>
              <w:jc w:val="both"/>
              <w:rPr>
                <w:ins w:id="201" w:author="Icaro" w:date="2021-07-02T17:49:00Z"/>
                <w:rFonts w:ascii="Segoe UI" w:hAnsi="Segoe UI" w:cs="Segoe UI"/>
                <w:color w:val="212529"/>
                <w:lang w:val="en-US"/>
              </w:rPr>
            </w:pPr>
          </w:p>
          <w:p w14:paraId="0B1F86F9" w14:textId="77777777" w:rsidR="000557CA" w:rsidRDefault="00F41AFA">
            <w:pPr>
              <w:pStyle w:val="aa"/>
              <w:shd w:val="clear" w:color="auto" w:fill="E6E6E6"/>
              <w:spacing w:before="0" w:beforeAutospacing="0" w:after="0" w:afterAutospacing="0"/>
              <w:jc w:val="both"/>
              <w:rPr>
                <w:ins w:id="202" w:author="Icaro" w:date="2021-07-02T17:49:00Z"/>
                <w:rFonts w:ascii="Segoe UI" w:hAnsi="Segoe UI" w:cs="Segoe UI"/>
                <w:color w:val="212529"/>
              </w:rPr>
            </w:pPr>
            <w:ins w:id="203"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aa"/>
              <w:shd w:val="clear" w:color="auto" w:fill="E6E6E6"/>
              <w:spacing w:before="0" w:beforeAutospacing="0" w:after="0" w:afterAutospacing="0"/>
              <w:jc w:val="both"/>
              <w:rPr>
                <w:ins w:id="204" w:author="Icaro" w:date="2021-07-02T17:49:00Z"/>
                <w:rFonts w:ascii="Segoe UI" w:hAnsi="Segoe UI" w:cs="Segoe UI"/>
                <w:color w:val="212529"/>
              </w:rPr>
            </w:pPr>
            <w:ins w:id="205"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tc>
          <w:tcPr>
            <w:tcW w:w="1548" w:type="dxa"/>
          </w:tcPr>
          <w:p w14:paraId="01B4EE24" w14:textId="77777777" w:rsidR="000557CA" w:rsidRDefault="00F41AFA">
            <w:r>
              <w:t>MediaTek</w:t>
            </w:r>
          </w:p>
        </w:tc>
        <w:tc>
          <w:tcPr>
            <w:tcW w:w="1710" w:type="dxa"/>
          </w:tcPr>
          <w:p w14:paraId="15207BC0" w14:textId="77777777" w:rsidR="000557CA" w:rsidRDefault="00F41AFA">
            <w:r>
              <w:t>Agree</w:t>
            </w:r>
          </w:p>
        </w:tc>
        <w:tc>
          <w:tcPr>
            <w:tcW w:w="6599"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tc>
          <w:tcPr>
            <w:tcW w:w="1548" w:type="dxa"/>
          </w:tcPr>
          <w:p w14:paraId="1DD8C9C7" w14:textId="77777777" w:rsidR="000557CA" w:rsidRDefault="00F41AFA">
            <w:r>
              <w:t>CATT</w:t>
            </w:r>
          </w:p>
        </w:tc>
        <w:tc>
          <w:tcPr>
            <w:tcW w:w="1710" w:type="dxa"/>
          </w:tcPr>
          <w:p w14:paraId="20C1A572" w14:textId="77777777" w:rsidR="000557CA" w:rsidRDefault="00F41AFA">
            <w:r>
              <w:t>Agree</w:t>
            </w:r>
          </w:p>
        </w:tc>
        <w:tc>
          <w:tcPr>
            <w:tcW w:w="6599"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SCG </w:t>
            </w:r>
            <w:proofErr w:type="spellStart"/>
            <w:r>
              <w:rPr>
                <w:rFonts w:eastAsia="PMingLiU"/>
                <w:lang w:eastAsia="zh-TW"/>
              </w:rPr>
              <w:t>measConfig</w:t>
            </w:r>
            <w:proofErr w:type="spellEnd"/>
            <w:r>
              <w:rPr>
                <w:rFonts w:eastAsia="PMingLiU"/>
                <w:lang w:eastAsia="zh-TW"/>
              </w:rPr>
              <w:t>.</w:t>
            </w:r>
          </w:p>
        </w:tc>
      </w:tr>
      <w:tr w:rsidR="000557CA" w14:paraId="5CADDC78" w14:textId="77777777">
        <w:tc>
          <w:tcPr>
            <w:tcW w:w="1548" w:type="dxa"/>
          </w:tcPr>
          <w:p w14:paraId="60DD61A2" w14:textId="77777777" w:rsidR="000557CA" w:rsidRDefault="00F41AFA">
            <w:pPr>
              <w:rPr>
                <w:lang w:val="en-US" w:eastAsia="zh-CN"/>
              </w:rPr>
            </w:pPr>
            <w:r>
              <w:rPr>
                <w:rFonts w:hint="eastAsia"/>
                <w:lang w:val="en-US" w:eastAsia="zh-CN"/>
              </w:rPr>
              <w:t>ZTE</w:t>
            </w:r>
          </w:p>
        </w:tc>
        <w:tc>
          <w:tcPr>
            <w:tcW w:w="1710" w:type="dxa"/>
          </w:tcPr>
          <w:p w14:paraId="27F75BE5" w14:textId="77777777" w:rsidR="000557CA" w:rsidRDefault="00F41AFA">
            <w:pPr>
              <w:rPr>
                <w:lang w:val="en-US" w:eastAsia="zh-CN"/>
              </w:rPr>
            </w:pPr>
            <w:r>
              <w:rPr>
                <w:rFonts w:hint="eastAsia"/>
                <w:lang w:val="en-US" w:eastAsia="zh-CN"/>
              </w:rPr>
              <w:t>Agree</w:t>
            </w:r>
          </w:p>
        </w:tc>
        <w:tc>
          <w:tcPr>
            <w:tcW w:w="6599"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set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(e.g. set by the MN or the SN) is referred to. And the new field can be defined as an octet string container considering the execution condition set by the source SN is transparent to the MN.</w:t>
            </w:r>
          </w:p>
        </w:tc>
      </w:tr>
      <w:tr w:rsidR="00735698" w14:paraId="6D8722DF" w14:textId="77777777">
        <w:tc>
          <w:tcPr>
            <w:tcW w:w="1548" w:type="dxa"/>
          </w:tcPr>
          <w:p w14:paraId="00986269" w14:textId="59BFC10C" w:rsidR="00735698" w:rsidRDefault="00735698">
            <w:pPr>
              <w:rPr>
                <w:lang w:val="en-US" w:eastAsia="zh-CN"/>
              </w:rPr>
            </w:pPr>
            <w:r>
              <w:rPr>
                <w:lang w:val="en-US" w:eastAsia="zh-CN"/>
              </w:rPr>
              <w:t>Nokia</w:t>
            </w:r>
          </w:p>
        </w:tc>
        <w:tc>
          <w:tcPr>
            <w:tcW w:w="1710" w:type="dxa"/>
          </w:tcPr>
          <w:p w14:paraId="71040306" w14:textId="4C4026BD" w:rsidR="00735698" w:rsidRDefault="00735698">
            <w:pPr>
              <w:rPr>
                <w:lang w:val="en-US" w:eastAsia="zh-CN"/>
              </w:rPr>
            </w:pPr>
            <w:r>
              <w:rPr>
                <w:lang w:val="en-US" w:eastAsia="zh-CN"/>
              </w:rPr>
              <w:t>Agree</w:t>
            </w:r>
          </w:p>
        </w:tc>
        <w:tc>
          <w:tcPr>
            <w:tcW w:w="6599"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tc>
          <w:tcPr>
            <w:tcW w:w="1548" w:type="dxa"/>
          </w:tcPr>
          <w:p w14:paraId="414B02AC" w14:textId="56F5FF84" w:rsidR="008971DC" w:rsidRDefault="008971DC">
            <w:pPr>
              <w:rPr>
                <w:lang w:val="en-US" w:eastAsia="zh-CN"/>
              </w:rPr>
            </w:pPr>
            <w:r>
              <w:rPr>
                <w:rFonts w:hint="eastAsia"/>
                <w:lang w:val="en-US" w:eastAsia="zh-CN"/>
              </w:rPr>
              <w:lastRenderedPageBreak/>
              <w:t>Sharp</w:t>
            </w:r>
          </w:p>
        </w:tc>
        <w:tc>
          <w:tcPr>
            <w:tcW w:w="1710"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599" w:type="dxa"/>
          </w:tcPr>
          <w:p w14:paraId="53DE8F3E" w14:textId="77777777" w:rsidR="008971DC" w:rsidRPr="00735698" w:rsidRDefault="008971DC">
            <w:pPr>
              <w:rPr>
                <w:lang w:val="en-US" w:eastAsia="zh-CN"/>
              </w:rPr>
            </w:pP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r>
      <w:proofErr w:type="spellStart"/>
      <w:r>
        <w:rPr>
          <w:lang w:eastAsia="zh-CN"/>
        </w:rPr>
        <w:t>Uu</w:t>
      </w:r>
      <w:proofErr w:type="spellEnd"/>
      <w:r>
        <w:rPr>
          <w:lang w:eastAsia="zh-CN"/>
        </w:rPr>
        <w:t xml:space="preserve">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Maintain Rel-15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lastRenderedPageBreak/>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CPAC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FR1 and FR2,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A3/A5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proofErr w:type="gramStart"/>
      <w:r>
        <w:rPr>
          <w:rFonts w:ascii="Arial" w:eastAsia="MS Mincho" w:hAnsi="Arial"/>
          <w:b/>
          <w:szCs w:val="24"/>
          <w:lang w:eastAsia="en-GB"/>
        </w:rPr>
        <w:t>17  Multiple</w:t>
      </w:r>
      <w:proofErr w:type="gramEnd"/>
      <w:r>
        <w:rPr>
          <w:rFonts w:ascii="Arial" w:eastAsia="MS Mincho" w:hAnsi="Arial"/>
          <w:b/>
          <w:szCs w:val="24"/>
          <w:lang w:eastAsia="en-GB"/>
        </w:rPr>
        <w:t xml:space="preserv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18</w:t>
      </w:r>
      <w:r>
        <w:rPr>
          <w:rFonts w:ascii="Arial" w:eastAsia="MS Mincho" w:hAnsi="Arial"/>
          <w:b/>
          <w:szCs w:val="24"/>
          <w:lang w:eastAsia="en-GB"/>
        </w:rPr>
        <w:tab/>
        <w:t xml:space="preserve">As part of the CPAC configuration to be sent to the UE, the RRC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lastRenderedPageBreak/>
        <w:t>-</w:t>
      </w:r>
      <w:r>
        <w:rPr>
          <w:rFonts w:ascii="Arial" w:eastAsia="MS Mincho" w:hAnsi="Arial"/>
          <w:b/>
          <w:bCs/>
          <w:szCs w:val="24"/>
          <w:lang w:eastAsia="en-GB"/>
        </w:rPr>
        <w:tab/>
        <w:t xml:space="preserve">RAN2 findings on the limitation of providing addition/modification of multiple CPC candidate cells in inter-node RAN3 message (i.e.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宋体" w:hAnsi="宋体"/>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 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SCG RRC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i.e.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CPAC,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宋体" w:hAnsi="宋体"/>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6" w:name="OLE_LINK3"/>
      <w:bookmarkStart w:id="207" w:name="OLE_LINK2"/>
      <w:r>
        <w:rPr>
          <w:rFonts w:ascii="Arial" w:eastAsia="MS Mincho" w:hAnsi="Arial"/>
          <w:b/>
          <w:szCs w:val="24"/>
          <w:lang w:eastAsia="en-GB"/>
        </w:rPr>
        <w:t xml:space="preserve">FFS whether MN needs to comprehend the execution condition set by the source SN. </w:t>
      </w:r>
      <w:bookmarkEnd w:id="206"/>
      <w:bookmarkEnd w:id="207"/>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CPAC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宋体" w:hAnsi="宋体"/>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宋体" w:hAnsi="宋体"/>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RRC message for CPAC, a list of CG-Config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0"/>
        <w:spacing w:line="360" w:lineRule="auto"/>
        <w:ind w:left="360"/>
      </w:pPr>
    </w:p>
    <w:p w14:paraId="403384EA" w14:textId="77777777" w:rsidR="000557CA" w:rsidRDefault="000557CA">
      <w:pPr>
        <w:pStyle w:val="af0"/>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4" w:author="Nokia" w:date="2021-07-27T17:07:00Z" w:initials="Nokia">
    <w:p w14:paraId="7959B30B" w14:textId="6EF59D38" w:rsidR="00931F17" w:rsidRDefault="00931F17">
      <w:pPr>
        <w:pStyle w:val="a5"/>
      </w:pPr>
      <w:r>
        <w:rPr>
          <w:rStyle w:val="af"/>
        </w:rPr>
        <w:annotationRef/>
      </w:r>
      <w:r>
        <w:t>These are not agreements, but working assumptions. Let’s be precise.</w:t>
      </w:r>
    </w:p>
  </w:comment>
  <w:comment w:id="95" w:author="Icaro" w:date="2021-07-21T11:44:00Z" w:initials="">
    <w:p w14:paraId="235A3159" w14:textId="77777777" w:rsidR="00931F17" w:rsidRDefault="00931F17">
      <w:pPr>
        <w:pStyle w:val="a5"/>
        <w:rPr>
          <w:rStyle w:val="af"/>
        </w:rPr>
      </w:pPr>
      <w:r>
        <w:rPr>
          <w:rStyle w:val="af"/>
        </w:rPr>
        <w:t xml:space="preserve">Have we explicitly agreed the stage-2 signalling option with various complications alternatives/options that will create lot of RAN3 work to make it interoperable? </w:t>
      </w:r>
      <w:r>
        <w:rPr>
          <w:rStyle w:val="af"/>
          <w:rFonts w:ascii="Segoe UI Emoji" w:eastAsia="Segoe UI Emoji" w:hAnsi="Segoe UI Emoji" w:cs="Segoe UI Emoji"/>
        </w:rPr>
        <w:t>😊</w:t>
      </w:r>
      <w:r>
        <w:rPr>
          <w:rStyle w:val="af"/>
        </w:rPr>
        <w:t xml:space="preserve"> </w:t>
      </w:r>
    </w:p>
    <w:p w14:paraId="5F46263F" w14:textId="77777777" w:rsidR="00931F17" w:rsidRDefault="00931F17">
      <w:pPr>
        <w:pStyle w:val="a5"/>
      </w:pPr>
      <w:r>
        <w:rPr>
          <w:rStyle w:val="af"/>
        </w:rPr>
        <w:t>[CATT] the agreement is that “S-SN can perform this update after the CPC configuration”. FFS is on “FFS whether to support updating during the CPC configuration (i.e. solution 2). FFS whether nested procedure is supported”.</w:t>
      </w:r>
    </w:p>
  </w:comment>
  <w:comment w:id="96" w:author="Icaro" w:date="2021-07-02T17:42:00Z" w:initials="">
    <w:p w14:paraId="79A849BC" w14:textId="77777777" w:rsidR="00931F17" w:rsidRDefault="00931F17">
      <w:pPr>
        <w:pStyle w:val="a5"/>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59B30B" w15:done="0"/>
  <w15:commentEx w15:paraId="5F46263F" w15:done="0"/>
  <w15:commentEx w15:paraId="79A84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FF25F" w14:textId="77777777" w:rsidR="00EF7E62" w:rsidRDefault="00EF7E62" w:rsidP="00344372">
      <w:pPr>
        <w:spacing w:after="0" w:line="240" w:lineRule="auto"/>
      </w:pPr>
      <w:r>
        <w:separator/>
      </w:r>
    </w:p>
  </w:endnote>
  <w:endnote w:type="continuationSeparator" w:id="0">
    <w:p w14:paraId="24CD8551" w14:textId="77777777" w:rsidR="00EF7E62" w:rsidRDefault="00EF7E62"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8E6DC" w14:textId="77777777" w:rsidR="00EF7E62" w:rsidRDefault="00EF7E62" w:rsidP="00344372">
      <w:pPr>
        <w:spacing w:after="0" w:line="240" w:lineRule="auto"/>
      </w:pPr>
      <w:r>
        <w:separator/>
      </w:r>
    </w:p>
  </w:footnote>
  <w:footnote w:type="continuationSeparator" w:id="0">
    <w:p w14:paraId="17A961F3" w14:textId="77777777" w:rsidR="00EF7E62" w:rsidRDefault="00EF7E62" w:rsidP="00344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aro">
    <w15:presenceInfo w15:providerId="None" w15:userId="Icaro"/>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1C67"/>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C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jc w:val="both"/>
    </w:pPr>
    <w:rPr>
      <w:rFonts w:eastAsia="宋体"/>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b">
    <w:name w:val="annotation subject"/>
    <w:basedOn w:val="a5"/>
    <w:next w:val="a5"/>
    <w:link w:val="Char4"/>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0">
    <w:name w:val="List Paragraph"/>
    <w:basedOn w:val="a"/>
    <w:link w:val="Char5"/>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4">
    <w:name w:val="批注主题 Char"/>
    <w:basedOn w:val="Char0"/>
    <w:link w:val="ab"/>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eastAsia="en-US"/>
    </w:rPr>
  </w:style>
  <w:style w:type="paragraph" w:customStyle="1" w:styleId="Revision1">
    <w:name w:val="Revision1"/>
    <w:hidden/>
    <w:uiPriority w:val="99"/>
    <w:semiHidden/>
    <w:qFormat/>
    <w:pPr>
      <w:spacing w:after="0" w:line="240" w:lineRule="auto"/>
    </w:pPr>
    <w:rPr>
      <w:rFonts w:eastAsia="宋体"/>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1">
    <w:name w:val="正文文本 Char"/>
    <w:basedOn w:val="a0"/>
    <w:link w:val="a6"/>
    <w:qFormat/>
    <w:rPr>
      <w:rFonts w:eastAsia="MS Mincho"/>
      <w:szCs w:val="24"/>
    </w:rPr>
  </w:style>
  <w:style w:type="paragraph" w:customStyle="1" w:styleId="Proposal">
    <w:name w:val="Proposal"/>
    <w:basedOn w:val="a6"/>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宋体"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Char5">
    <w:name w:val="列出段落 Char"/>
    <w:link w:val="af0"/>
    <w:uiPriority w:val="34"/>
    <w:qFormat/>
    <w:rPr>
      <w:rFonts w:eastAsia="宋体"/>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jc w:val="both"/>
    </w:pPr>
    <w:rPr>
      <w:rFonts w:eastAsia="宋体"/>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jc w:val="both"/>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b">
    <w:name w:val="annotation subject"/>
    <w:basedOn w:val="a5"/>
    <w:next w:val="a5"/>
    <w:link w:val="Char4"/>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0">
    <w:name w:val="List Paragraph"/>
    <w:basedOn w:val="a"/>
    <w:link w:val="Char5"/>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4">
    <w:name w:val="批注主题 Char"/>
    <w:basedOn w:val="Char0"/>
    <w:link w:val="ab"/>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eastAsia="en-US"/>
    </w:rPr>
  </w:style>
  <w:style w:type="paragraph" w:customStyle="1" w:styleId="Revision1">
    <w:name w:val="Revision1"/>
    <w:hidden/>
    <w:uiPriority w:val="99"/>
    <w:semiHidden/>
    <w:qFormat/>
    <w:pPr>
      <w:spacing w:after="0" w:line="240" w:lineRule="auto"/>
    </w:pPr>
    <w:rPr>
      <w:rFonts w:eastAsia="宋体"/>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1">
    <w:name w:val="正文文本 Char"/>
    <w:basedOn w:val="a0"/>
    <w:link w:val="a6"/>
    <w:qFormat/>
    <w:rPr>
      <w:rFonts w:eastAsia="MS Mincho"/>
      <w:szCs w:val="24"/>
    </w:rPr>
  </w:style>
  <w:style w:type="paragraph" w:customStyle="1" w:styleId="Proposal">
    <w:name w:val="Proposal"/>
    <w:basedOn w:val="a6"/>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宋体"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Char5">
    <w:name w:val="列出段落 Char"/>
    <w:link w:val="af0"/>
    <w:uiPriority w:val="34"/>
    <w:qFormat/>
    <w:rPr>
      <w:rFonts w:eastAsia="宋体"/>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14-e/Docs/R2-2105990.zip" TargetMode="External"/><Relationship Id="rId10" Type="http://schemas.microsoft.com/office/2007/relationships/stylesWithEffects" Target="stylesWithEffect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8A35255-C137-4476-AA2F-B628E92D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7985</Words>
  <Characters>45515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常宁娟(Chang Ningjuan)</cp:lastModifiedBy>
  <cp:revision>20</cp:revision>
  <dcterms:created xsi:type="dcterms:W3CDTF">2021-07-27T14:30:00Z</dcterms:created>
  <dcterms:modified xsi:type="dcterms:W3CDTF">2021-07-29T06:22:00Z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