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A810D" w14:textId="77777777" w:rsidR="000557CA" w:rsidRDefault="00F41AFA">
      <w:pPr>
        <w:pStyle w:val="Header"/>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w:t>
      </w:r>
      <w:proofErr w:type="gramStart"/>
      <w:r>
        <w:rPr>
          <w:rFonts w:ascii="Arial" w:hAnsi="Arial" w:cs="Arial"/>
          <w:b/>
          <w:bCs/>
          <w:sz w:val="24"/>
        </w:rPr>
        <w:t>233][</w:t>
      </w:r>
      <w:proofErr w:type="spellStart"/>
      <w:proofErr w:type="gramEnd"/>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w:t>
      </w:r>
      <w:proofErr w:type="gramStart"/>
      <w:r>
        <w:t>233][</w:t>
      </w:r>
      <w:proofErr w:type="gramEnd"/>
      <w:r>
        <w:t xml:space="preserve">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(e.g. based on </w:t>
      </w:r>
      <w:hyperlink r:id="rId14" w:history="1">
        <w:r>
          <w:rPr>
            <w:rStyle w:val="Hyperlink"/>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16"/>
        <w:gridCol w:w="2416"/>
        <w:gridCol w:w="5399"/>
      </w:tblGrid>
      <w:tr w:rsidR="000557CA" w14:paraId="3D9191F7" w14:textId="77777777">
        <w:tc>
          <w:tcPr>
            <w:tcW w:w="1875" w:type="dxa"/>
          </w:tcPr>
          <w:p w14:paraId="62C0FDA0" w14:textId="77777777" w:rsidR="000557CA" w:rsidRDefault="00F41AFA">
            <w:r>
              <w:t>Company</w:t>
            </w:r>
          </w:p>
        </w:tc>
        <w:tc>
          <w:tcPr>
            <w:tcW w:w="2131"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625" w:type="dxa"/>
          </w:tcPr>
          <w:p w14:paraId="39A60FC2" w14:textId="77777777" w:rsidR="000557CA" w:rsidRDefault="00F41AFA">
            <w:r>
              <w:t>Comment</w:t>
            </w:r>
          </w:p>
          <w:p w14:paraId="32B75055" w14:textId="77777777" w:rsidR="000557CA" w:rsidRDefault="000557CA"/>
        </w:tc>
      </w:tr>
      <w:tr w:rsidR="000557CA" w14:paraId="454869B4" w14:textId="77777777">
        <w:tc>
          <w:tcPr>
            <w:tcW w:w="1875" w:type="dxa"/>
          </w:tcPr>
          <w:p w14:paraId="14997658" w14:textId="77777777" w:rsidR="000557CA" w:rsidRDefault="00F41AFA">
            <w:ins w:id="0" w:author="Icaro" w:date="2021-07-02T17:00:00Z">
              <w:r>
                <w:t>Ericsson</w:t>
              </w:r>
            </w:ins>
          </w:p>
        </w:tc>
        <w:tc>
          <w:tcPr>
            <w:tcW w:w="2131" w:type="dxa"/>
          </w:tcPr>
          <w:p w14:paraId="5E5DB7A1" w14:textId="77777777" w:rsidR="000557CA" w:rsidRDefault="00F41AFA">
            <w:ins w:id="1" w:author="Icaro" w:date="2021-07-02T17:00:00Z">
              <w:r>
                <w:t xml:space="preserve">Yes. </w:t>
              </w:r>
            </w:ins>
          </w:p>
        </w:tc>
        <w:tc>
          <w:tcPr>
            <w:tcW w:w="5625"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tc>
          <w:tcPr>
            <w:tcW w:w="1875" w:type="dxa"/>
          </w:tcPr>
          <w:p w14:paraId="060C0845" w14:textId="77777777" w:rsidR="000557CA" w:rsidRDefault="00F41AFA">
            <w:r>
              <w:t>MediaTek</w:t>
            </w:r>
          </w:p>
        </w:tc>
        <w:tc>
          <w:tcPr>
            <w:tcW w:w="2131" w:type="dxa"/>
          </w:tcPr>
          <w:p w14:paraId="16A5E56F" w14:textId="77777777" w:rsidR="000557CA" w:rsidRDefault="00F41AFA">
            <w:r>
              <w:t>Agree</w:t>
            </w:r>
          </w:p>
        </w:tc>
        <w:tc>
          <w:tcPr>
            <w:tcW w:w="5625" w:type="dxa"/>
          </w:tcPr>
          <w:p w14:paraId="755F86CC" w14:textId="77777777" w:rsidR="000557CA" w:rsidRDefault="000557CA">
            <w:pPr>
              <w:rPr>
                <w:lang w:val="en-US"/>
              </w:rPr>
            </w:pPr>
          </w:p>
        </w:tc>
      </w:tr>
      <w:tr w:rsidR="000557CA" w14:paraId="4EFF573C" w14:textId="77777777">
        <w:tc>
          <w:tcPr>
            <w:tcW w:w="1875" w:type="dxa"/>
          </w:tcPr>
          <w:p w14:paraId="184DBCFC" w14:textId="77777777" w:rsidR="000557CA" w:rsidRDefault="00F41AFA">
            <w:r>
              <w:t>CATT</w:t>
            </w:r>
          </w:p>
        </w:tc>
        <w:tc>
          <w:tcPr>
            <w:tcW w:w="2131" w:type="dxa"/>
          </w:tcPr>
          <w:p w14:paraId="7957C56B" w14:textId="77777777" w:rsidR="000557CA" w:rsidRDefault="00F41AFA">
            <w:r>
              <w:t>Agree</w:t>
            </w:r>
          </w:p>
        </w:tc>
        <w:tc>
          <w:tcPr>
            <w:tcW w:w="5625"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tc>
          <w:tcPr>
            <w:tcW w:w="1875" w:type="dxa"/>
          </w:tcPr>
          <w:p w14:paraId="34C280F3" w14:textId="77777777" w:rsidR="000557CA" w:rsidRDefault="00F41AFA">
            <w:pPr>
              <w:rPr>
                <w:lang w:val="en-US" w:eastAsia="zh-CN"/>
              </w:rPr>
            </w:pPr>
            <w:r>
              <w:rPr>
                <w:rFonts w:hint="eastAsia"/>
                <w:lang w:val="en-US" w:eastAsia="zh-CN"/>
              </w:rPr>
              <w:t>ZTE</w:t>
            </w:r>
          </w:p>
        </w:tc>
        <w:tc>
          <w:tcPr>
            <w:tcW w:w="2131" w:type="dxa"/>
          </w:tcPr>
          <w:p w14:paraId="24D9B030" w14:textId="77777777" w:rsidR="000557CA" w:rsidRDefault="00F41AFA">
            <w:pPr>
              <w:rPr>
                <w:lang w:val="en-US" w:eastAsia="zh-CN"/>
              </w:rPr>
            </w:pPr>
            <w:r>
              <w:rPr>
                <w:rFonts w:hint="eastAsia"/>
                <w:lang w:val="en-US" w:eastAsia="zh-CN"/>
              </w:rPr>
              <w:t>Agree</w:t>
            </w:r>
          </w:p>
        </w:tc>
        <w:tc>
          <w:tcPr>
            <w:tcW w:w="5625" w:type="dxa"/>
          </w:tcPr>
          <w:p w14:paraId="4E48E6F8" w14:textId="77777777" w:rsidR="000557CA" w:rsidRDefault="000557CA">
            <w:pPr>
              <w:rPr>
                <w:lang w:val="en-US"/>
              </w:rPr>
            </w:pPr>
          </w:p>
        </w:tc>
      </w:tr>
      <w:tr w:rsidR="00FC152D" w14:paraId="7EA5FBDC" w14:textId="77777777">
        <w:tc>
          <w:tcPr>
            <w:tcW w:w="1875" w:type="dxa"/>
          </w:tcPr>
          <w:p w14:paraId="0BBFAAFC" w14:textId="5469C5C1" w:rsidR="00FC152D" w:rsidRDefault="00FC152D">
            <w:pPr>
              <w:rPr>
                <w:rFonts w:hint="eastAsia"/>
                <w:lang w:val="en-US" w:eastAsia="zh-CN"/>
              </w:rPr>
            </w:pPr>
            <w:r>
              <w:rPr>
                <w:lang w:val="en-US" w:eastAsia="zh-CN"/>
              </w:rPr>
              <w:t>Nokia</w:t>
            </w:r>
          </w:p>
        </w:tc>
        <w:tc>
          <w:tcPr>
            <w:tcW w:w="2131" w:type="dxa"/>
          </w:tcPr>
          <w:p w14:paraId="530F4E14" w14:textId="64B77DB8" w:rsidR="00FC152D" w:rsidRDefault="00FC152D">
            <w:pPr>
              <w:rPr>
                <w:rFonts w:hint="eastAsia"/>
                <w:lang w:val="en-US" w:eastAsia="zh-CN"/>
              </w:rPr>
            </w:pPr>
            <w:r>
              <w:rPr>
                <w:lang w:val="en-US" w:eastAsia="zh-CN"/>
              </w:rPr>
              <w:t>Agree</w:t>
            </w:r>
          </w:p>
        </w:tc>
        <w:tc>
          <w:tcPr>
            <w:tcW w:w="5625"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(i.e. what is the maximum limit, how to distinguish these configurations, etc.).</w:t>
            </w: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MCG and SCG reconfiguration </w:t>
      </w:r>
      <w:proofErr w:type="gramStart"/>
      <w:r>
        <w:rPr>
          <w:rFonts w:ascii="Times New Roman" w:eastAsiaTheme="minorEastAsia" w:hAnsi="Times New Roman"/>
          <w:b/>
          <w:bCs/>
          <w:iCs/>
          <w:kern w:val="2"/>
          <w:sz w:val="21"/>
          <w:szCs w:val="21"/>
          <w:u w:val="single"/>
          <w:lang w:val="en-US" w:eastAsia="zh-CN"/>
        </w:rPr>
        <w:t>within  CPA</w:t>
      </w:r>
      <w:proofErr w:type="gramEnd"/>
      <w:r>
        <w:rPr>
          <w:rFonts w:ascii="Times New Roman" w:eastAsiaTheme="minorEastAsia" w:hAnsi="Times New Roman"/>
          <w:b/>
          <w:bCs/>
          <w:iCs/>
          <w:kern w:val="2"/>
          <w:sz w:val="21"/>
          <w:szCs w:val="21"/>
          <w:u w:val="single"/>
          <w:lang w:val="en-US" w:eastAsia="zh-CN"/>
        </w:rPr>
        <w:t>/CPC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w:t>
      </w:r>
      <w:proofErr w:type="gramStart"/>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w:t>
      </w:r>
      <w:proofErr w:type="gramEnd"/>
      <w:r>
        <w:rPr>
          <w:rFonts w:ascii="Times New Roman" w:eastAsiaTheme="minorEastAsia" w:hAnsi="Times New Roman" w:hint="eastAsia"/>
          <w:bCs/>
          <w:iCs/>
          <w:kern w:val="2"/>
          <w:sz w:val="21"/>
          <w:szCs w:val="21"/>
          <w:lang w:val="en-US" w:eastAsia="zh-CN"/>
        </w:rPr>
        <w:t xml:space="preserv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/nr-</w:t>
      </w:r>
      <w:proofErr w:type="spellStart"/>
      <w:r>
        <w:rPr>
          <w:rFonts w:ascii="Times New Roman" w:eastAsiaTheme="minorEastAsia" w:hAnsi="Times New Roman" w:hint="eastAsia"/>
          <w:bCs/>
          <w:i/>
          <w:kern w:val="2"/>
          <w:sz w:val="21"/>
          <w:szCs w:val="21"/>
          <w:lang w:val="en-US" w:eastAsia="zh-CN"/>
        </w:rPr>
        <w:t>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I.e. the RRC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w:t>
      </w:r>
      <w:r>
        <w:rPr>
          <w:rFonts w:ascii="Times New Roman" w:eastAsiaTheme="minorEastAsia" w:hAnsi="Times New Roman" w:hint="eastAsia"/>
          <w:b/>
          <w:iCs/>
          <w:kern w:val="2"/>
          <w:sz w:val="21"/>
          <w:szCs w:val="21"/>
          <w:lang w:val="en-US" w:eastAsia="zh-CN"/>
        </w:rPr>
        <w:lastRenderedPageBreak/>
        <w:t xml:space="preserve">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/nr-</w:t>
      </w:r>
      <w:proofErr w:type="spellStart"/>
      <w:r>
        <w:rPr>
          <w:rFonts w:ascii="Times New Roman" w:eastAsiaTheme="minorEastAsia" w:hAnsi="Times New Roman" w:hint="eastAsia"/>
          <w:b/>
          <w:i/>
          <w:kern w:val="2"/>
          <w:sz w:val="21"/>
          <w:szCs w:val="21"/>
          <w:lang w:val="en-US" w:eastAsia="zh-CN"/>
        </w:rPr>
        <w:t>SecondaryCellGroupConfig</w:t>
      </w:r>
      <w:proofErr w:type="spellEnd"/>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6"/>
        <w:gridCol w:w="4160"/>
        <w:gridCol w:w="4205"/>
      </w:tblGrid>
      <w:tr w:rsidR="000557CA" w14:paraId="7EDDE155" w14:textId="77777777">
        <w:tc>
          <w:tcPr>
            <w:tcW w:w="1406" w:type="dxa"/>
          </w:tcPr>
          <w:p w14:paraId="2129F130" w14:textId="77777777" w:rsidR="000557CA" w:rsidRDefault="00F41AFA">
            <w:r>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065" w:type="dxa"/>
          </w:tcPr>
          <w:p w14:paraId="358D0AA3" w14:textId="77777777" w:rsidR="000557CA" w:rsidRDefault="00F41AFA">
            <w:r>
              <w:t>Comment</w:t>
            </w:r>
          </w:p>
        </w:tc>
      </w:tr>
      <w:tr w:rsidR="000557CA" w14:paraId="59D07135" w14:textId="77777777">
        <w:tc>
          <w:tcPr>
            <w:tcW w:w="140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06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tc>
          <w:tcPr>
            <w:tcW w:w="1406" w:type="dxa"/>
          </w:tcPr>
          <w:p w14:paraId="2C93D878" w14:textId="77777777" w:rsidR="000557CA" w:rsidRDefault="00F41AFA">
            <w:r>
              <w:t>MediaTek</w:t>
            </w:r>
          </w:p>
        </w:tc>
        <w:tc>
          <w:tcPr>
            <w:tcW w:w="4160" w:type="dxa"/>
          </w:tcPr>
          <w:p w14:paraId="3EE441BF" w14:textId="77777777" w:rsidR="000557CA" w:rsidRDefault="00F41AFA">
            <w:r>
              <w:t>Agree</w:t>
            </w:r>
          </w:p>
        </w:tc>
        <w:tc>
          <w:tcPr>
            <w:tcW w:w="4065" w:type="dxa"/>
          </w:tcPr>
          <w:p w14:paraId="55BB012B" w14:textId="77777777" w:rsidR="000557CA" w:rsidRDefault="000557CA"/>
        </w:tc>
      </w:tr>
      <w:tr w:rsidR="000557CA" w14:paraId="0081284B" w14:textId="77777777">
        <w:tc>
          <w:tcPr>
            <w:tcW w:w="1406" w:type="dxa"/>
          </w:tcPr>
          <w:p w14:paraId="711D9722" w14:textId="77777777" w:rsidR="000557CA" w:rsidRDefault="00F41AFA">
            <w:r>
              <w:t>CATT</w:t>
            </w:r>
          </w:p>
        </w:tc>
        <w:tc>
          <w:tcPr>
            <w:tcW w:w="4160" w:type="dxa"/>
          </w:tcPr>
          <w:p w14:paraId="173BF1C3" w14:textId="77777777" w:rsidR="000557CA" w:rsidRDefault="00F41AFA">
            <w:r>
              <w:t>Agree</w:t>
            </w:r>
          </w:p>
        </w:tc>
        <w:tc>
          <w:tcPr>
            <w:tcW w:w="4065"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tc>
          <w:tcPr>
            <w:tcW w:w="140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06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w:t>
            </w:r>
            <w:r>
              <w:rPr>
                <w:rFonts w:hint="eastAsia"/>
                <w:lang w:val="en-US" w:eastAsia="zh-CN"/>
              </w:rPr>
              <w:lastRenderedPageBreak/>
              <w:t>container)</w:t>
            </w:r>
            <w:r>
              <w:rPr>
                <w:rFonts w:hint="eastAsia"/>
              </w:rPr>
              <w:t>, to ensure the simultaneous activation of reconfiguration from both the MN side and the 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tc>
          <w:tcPr>
            <w:tcW w:w="1406" w:type="dxa"/>
          </w:tcPr>
          <w:p w14:paraId="29A5E0EC" w14:textId="30A7F79C" w:rsidR="004251D0" w:rsidRDefault="004251D0">
            <w:pPr>
              <w:rPr>
                <w:rFonts w:hint="eastAsia"/>
                <w:lang w:val="en-US" w:eastAsia="zh-CN"/>
              </w:rPr>
            </w:pPr>
            <w:r>
              <w:rPr>
                <w:lang w:val="en-US" w:eastAsia="zh-CN"/>
              </w:rPr>
              <w:lastRenderedPageBreak/>
              <w:t>Nokia</w:t>
            </w:r>
          </w:p>
        </w:tc>
        <w:tc>
          <w:tcPr>
            <w:tcW w:w="4160" w:type="dxa"/>
          </w:tcPr>
          <w:p w14:paraId="5BB27B2D" w14:textId="2EDAC868" w:rsidR="004251D0" w:rsidRDefault="004251D0">
            <w:pPr>
              <w:rPr>
                <w:rFonts w:hint="eastAsia"/>
                <w:lang w:val="en-US" w:eastAsia="zh-CN"/>
              </w:rPr>
            </w:pPr>
            <w:r>
              <w:rPr>
                <w:lang w:val="en-US" w:eastAsia="zh-CN"/>
              </w:rPr>
              <w:t>Agree</w:t>
            </w:r>
          </w:p>
        </w:tc>
        <w:tc>
          <w:tcPr>
            <w:tcW w:w="4065" w:type="dxa"/>
          </w:tcPr>
          <w:p w14:paraId="692C4516" w14:textId="777E948D" w:rsidR="004251D0" w:rsidRDefault="004251D0">
            <w:pPr>
              <w:jc w:val="left"/>
              <w:rPr>
                <w:rFonts w:hint="eastAsia"/>
              </w:rPr>
            </w:pPr>
            <w:r>
              <w:t>We support the FFS suggested by Ericsson.</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w:t>
      </w:r>
      <w:proofErr w:type="gramStart"/>
      <w:r>
        <w:rPr>
          <w:rFonts w:ascii="Times New Roman" w:hAnsi="Times New Roman"/>
          <w:sz w:val="21"/>
          <w:szCs w:val="21"/>
          <w:lang w:val="en-US"/>
        </w:rPr>
        <w:t>1..</w:t>
      </w:r>
      <w:proofErr w:type="gramEnd"/>
      <w:r>
        <w:rPr>
          <w:rFonts w:ascii="Times New Roman" w:hAnsi="Times New Roman"/>
          <w:sz w:val="21"/>
          <w:szCs w:val="21"/>
          <w:lang w:val="en-US"/>
        </w:rPr>
        <w:t xml:space="preserve">2))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w:t>
      </w:r>
      <w:proofErr w:type="spellStart"/>
      <w:r>
        <w:rPr>
          <w:rFonts w:ascii="Courier New" w:eastAsia="Times New Roman" w:hAnsi="Courier New"/>
          <w:sz w:val="16"/>
          <w:lang w:val="pt-BR" w:eastAsia="en-GB"/>
        </w:rPr>
        <w:t>CondReconfigId-r16</w:t>
      </w:r>
      <w:proofErr w:type="spellEnd"/>
      <w:r>
        <w:rPr>
          <w:rFonts w:ascii="Courier New" w:eastAsia="Times New Roman" w:hAnsi="Courier New"/>
          <w:sz w:val="16"/>
          <w:lang w:val="pt-BR" w:eastAsia="en-GB"/>
        </w:rPr>
        <w:t>,</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w:t>
      </w:r>
      <w:proofErr w:type="gramStart"/>
      <w:r>
        <w:rPr>
          <w:rFonts w:ascii="Courier New" w:eastAsia="Times New Roman" w:hAnsi="Courier New"/>
          <w:sz w:val="16"/>
          <w:lang w:eastAsia="ja-JP"/>
        </w:rPr>
        <w:t>16 ::=</w:t>
      </w:r>
      <w:proofErr w:type="gramEnd"/>
      <w:r>
        <w:rPr>
          <w:rFonts w:ascii="Courier New" w:eastAsia="Times New Roman" w:hAnsi="Courier New"/>
          <w:sz w:val="16"/>
          <w:lang w:eastAsia="ja-JP"/>
        </w:rPr>
        <w:t xml:space="preserve">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w:t>
      </w:r>
      <w:proofErr w:type="gramStart"/>
      <w:r>
        <w:rPr>
          <w:rFonts w:ascii="Courier New" w:eastAsia="Times New Roman" w:hAnsi="Courier New"/>
          <w:sz w:val="16"/>
          <w:lang w:eastAsia="ja-JP"/>
        </w:rPr>
        <w:t>16 ::=</w:t>
      </w:r>
      <w:proofErr w:type="gramEnd"/>
      <w:r>
        <w:rPr>
          <w:rFonts w:ascii="Courier New" w:eastAsia="Times New Roman" w:hAnsi="Courier New"/>
          <w:sz w:val="16"/>
          <w:lang w:eastAsia="ja-JP"/>
        </w:rPr>
        <w:t xml:space="preserve">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w:t>
      </w:r>
      <w:proofErr w:type="gramStart"/>
      <w:r>
        <w:rPr>
          <w:rFonts w:ascii="Courier New" w:eastAsia="Times New Roman" w:hAnsi="Courier New"/>
          <w:sz w:val="16"/>
          <w:highlight w:val="yellow"/>
          <w:lang w:eastAsia="ja-JP"/>
        </w:rPr>
        <w:t>1..</w:t>
      </w:r>
      <w:proofErr w:type="gramEnd"/>
      <w:r>
        <w:rPr>
          <w:rFonts w:ascii="Courier New" w:eastAsia="Times New Roman" w:hAnsi="Courier New"/>
          <w:sz w:val="16"/>
          <w:highlight w:val="yellow"/>
          <w:lang w:eastAsia="ja-JP"/>
        </w:rPr>
        <w:t xml:space="preserve">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  --</w:t>
      </w:r>
      <w:proofErr w:type="gramEnd"/>
      <w:r>
        <w:rPr>
          <w:rFonts w:ascii="Courier New" w:eastAsia="Times New Roman" w:hAnsi="Courier New"/>
          <w:sz w:val="16"/>
          <w:highlight w:val="yellow"/>
          <w:lang w:eastAsia="ja-JP"/>
        </w:rPr>
        <w:t xml:space="preserve">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OPTIONAL,--</w:t>
      </w:r>
      <w:proofErr w:type="gramEnd"/>
      <w:r>
        <w:rPr>
          <w:rFonts w:ascii="Courier New" w:eastAsia="Times New Roman" w:hAnsi="Courier New"/>
          <w:sz w:val="16"/>
          <w:lang w:eastAsia="ja-JP"/>
        </w:rPr>
        <w:t xml:space="preserve">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(NG)EN-DC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TableGrid"/>
        <w:tblW w:w="0" w:type="auto"/>
        <w:tblLayout w:type="fixed"/>
        <w:tblLook w:val="04A0" w:firstRow="1" w:lastRow="0" w:firstColumn="1" w:lastColumn="0" w:noHBand="0" w:noVBand="1"/>
      </w:tblPr>
      <w:tblGrid>
        <w:gridCol w:w="1734"/>
        <w:gridCol w:w="2627"/>
        <w:gridCol w:w="5496"/>
      </w:tblGrid>
      <w:tr w:rsidR="000557CA" w14:paraId="0873948B" w14:textId="77777777">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496" w:type="dxa"/>
          </w:tcPr>
          <w:p w14:paraId="36E19DE8" w14:textId="77777777" w:rsidR="000557CA" w:rsidRDefault="00F41AFA">
            <w:r>
              <w:t>Comment</w:t>
            </w:r>
          </w:p>
        </w:tc>
      </w:tr>
      <w:tr w:rsidR="000557CA" w14:paraId="374CCB3B" w14:textId="77777777">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t>
              </w:r>
              <w:r>
                <w:rPr>
                  <w:color w:val="212529"/>
                  <w:sz w:val="20"/>
                  <w:szCs w:val="20"/>
                  <w:highlight w:val="yellow"/>
                  <w:lang w:val="en-US"/>
                </w:rPr>
                <w:lastRenderedPageBreak/>
                <w:t xml:space="preserve">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 xml:space="preserve">A5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[CATT] this issue is addressed in Q7 and Q8</w:t>
            </w:r>
          </w:p>
        </w:tc>
      </w:tr>
      <w:tr w:rsidR="000557CA" w14:paraId="15A3F474" w14:textId="77777777">
        <w:tc>
          <w:tcPr>
            <w:tcW w:w="1734" w:type="dxa"/>
          </w:tcPr>
          <w:p w14:paraId="181D6D21" w14:textId="77777777" w:rsidR="000557CA" w:rsidRDefault="00F41AFA">
            <w:r>
              <w:lastRenderedPageBreak/>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tc>
          <w:tcPr>
            <w:tcW w:w="1734" w:type="dxa"/>
          </w:tcPr>
          <w:p w14:paraId="67BDDB5B" w14:textId="4ABC3689" w:rsidR="00F41AFA" w:rsidRDefault="00F41AFA">
            <w:pPr>
              <w:rPr>
                <w:rFonts w:hint="eastAsia"/>
                <w:lang w:val="en-US" w:eastAsia="zh-CN"/>
              </w:rPr>
            </w:pPr>
            <w:r>
              <w:rPr>
                <w:lang w:val="en-US" w:eastAsia="zh-CN"/>
              </w:rPr>
              <w:t>Nokia</w:t>
            </w:r>
          </w:p>
        </w:tc>
        <w:tc>
          <w:tcPr>
            <w:tcW w:w="2627" w:type="dxa"/>
          </w:tcPr>
          <w:p w14:paraId="799524B2" w14:textId="3475E827" w:rsidR="00F41AFA" w:rsidRDefault="00F41AFA">
            <w:pPr>
              <w:rPr>
                <w:rFonts w:hint="eastAsia"/>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(e.g.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tc>
          <w:tcPr>
            <w:tcW w:w="1875" w:type="dxa"/>
          </w:tcPr>
          <w:p w14:paraId="331F2008" w14:textId="77777777" w:rsidR="000557CA" w:rsidRDefault="00F41AFA">
            <w:r>
              <w:t>Company</w:t>
            </w:r>
          </w:p>
        </w:tc>
        <w:tc>
          <w:tcPr>
            <w:tcW w:w="2131" w:type="dxa"/>
          </w:tcPr>
          <w:p w14:paraId="4C1CABEC" w14:textId="77777777" w:rsidR="000557CA" w:rsidRDefault="00F41AFA">
            <w:pPr>
              <w:jc w:val="left"/>
            </w:pPr>
            <w:r>
              <w:t xml:space="preserve">Upon execution of CPAC, the UE includes the selected target </w:t>
            </w:r>
            <w:proofErr w:type="spellStart"/>
            <w:r>
              <w:t>PSCell</w:t>
            </w:r>
            <w:proofErr w:type="spellEnd"/>
            <w:r>
              <w:t xml:space="preserve"> information (e.g.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xml:space="preserve">) into the RRC Reconfiguration </w:t>
            </w:r>
            <w:r>
              <w:lastRenderedPageBreak/>
              <w:t>Complete message to the MN. (Agree/Disagree)</w:t>
            </w:r>
          </w:p>
        </w:tc>
        <w:tc>
          <w:tcPr>
            <w:tcW w:w="5625" w:type="dxa"/>
          </w:tcPr>
          <w:p w14:paraId="02FC4E7C" w14:textId="77777777" w:rsidR="000557CA" w:rsidRDefault="00F41AFA">
            <w:r>
              <w:lastRenderedPageBreak/>
              <w:t>Comment</w:t>
            </w:r>
          </w:p>
        </w:tc>
      </w:tr>
      <w:tr w:rsidR="000557CA" w14:paraId="4EC5B181" w14:textId="77777777">
        <w:tc>
          <w:tcPr>
            <w:tcW w:w="1875" w:type="dxa"/>
          </w:tcPr>
          <w:p w14:paraId="6AD7611A" w14:textId="77777777" w:rsidR="000557CA" w:rsidRDefault="00F41AFA">
            <w:ins w:id="39" w:author="Icaro" w:date="2021-07-02T17:12:00Z">
              <w:r>
                <w:t>Ericsson</w:t>
              </w:r>
            </w:ins>
          </w:p>
        </w:tc>
        <w:tc>
          <w:tcPr>
            <w:tcW w:w="2131" w:type="dxa"/>
          </w:tcPr>
          <w:p w14:paraId="63B50593" w14:textId="77777777" w:rsidR="000557CA" w:rsidRDefault="00F41AFA">
            <w:ins w:id="40" w:author="Icaro" w:date="2021-07-02T17:12:00Z">
              <w:r>
                <w:t>Agree</w:t>
              </w:r>
            </w:ins>
          </w:p>
        </w:tc>
        <w:tc>
          <w:tcPr>
            <w:tcW w:w="5625"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tc>
          <w:tcPr>
            <w:tcW w:w="1875" w:type="dxa"/>
          </w:tcPr>
          <w:p w14:paraId="11377410" w14:textId="77777777" w:rsidR="000557CA" w:rsidRDefault="00F41AFA">
            <w:r>
              <w:t>MediaTek</w:t>
            </w:r>
          </w:p>
        </w:tc>
        <w:tc>
          <w:tcPr>
            <w:tcW w:w="2131" w:type="dxa"/>
          </w:tcPr>
          <w:p w14:paraId="176C4742" w14:textId="77777777" w:rsidR="000557CA" w:rsidRDefault="00F41AFA">
            <w:r>
              <w:t>Agree</w:t>
            </w:r>
          </w:p>
        </w:tc>
        <w:tc>
          <w:tcPr>
            <w:tcW w:w="5625" w:type="dxa"/>
          </w:tcPr>
          <w:p w14:paraId="2FF6605B" w14:textId="77777777" w:rsidR="000557CA" w:rsidRDefault="000557CA"/>
        </w:tc>
      </w:tr>
      <w:tr w:rsidR="000557CA" w14:paraId="286AF917" w14:textId="77777777">
        <w:tc>
          <w:tcPr>
            <w:tcW w:w="1875" w:type="dxa"/>
          </w:tcPr>
          <w:p w14:paraId="0DCFE904" w14:textId="77777777" w:rsidR="000557CA" w:rsidRDefault="00F41AFA">
            <w:r>
              <w:t>CATT</w:t>
            </w:r>
          </w:p>
        </w:tc>
        <w:tc>
          <w:tcPr>
            <w:tcW w:w="2131" w:type="dxa"/>
          </w:tcPr>
          <w:p w14:paraId="7C2B022F" w14:textId="77777777" w:rsidR="000557CA" w:rsidRDefault="00F41AFA">
            <w:r>
              <w:t>Agree</w:t>
            </w:r>
          </w:p>
        </w:tc>
        <w:tc>
          <w:tcPr>
            <w:tcW w:w="5625"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However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tc>
          <w:tcPr>
            <w:tcW w:w="1875" w:type="dxa"/>
          </w:tcPr>
          <w:p w14:paraId="2AE2C11F" w14:textId="77777777" w:rsidR="000557CA" w:rsidRDefault="00F41AFA">
            <w:pPr>
              <w:rPr>
                <w:lang w:val="en-US" w:eastAsia="zh-CN"/>
              </w:rPr>
            </w:pPr>
            <w:r>
              <w:rPr>
                <w:rFonts w:hint="eastAsia"/>
                <w:lang w:val="en-US" w:eastAsia="zh-CN"/>
              </w:rPr>
              <w:t>ZTE</w:t>
            </w:r>
          </w:p>
        </w:tc>
        <w:tc>
          <w:tcPr>
            <w:tcW w:w="2131" w:type="dxa"/>
          </w:tcPr>
          <w:p w14:paraId="58178CF7" w14:textId="77777777" w:rsidR="000557CA" w:rsidRDefault="00F41AFA">
            <w:pPr>
              <w:rPr>
                <w:lang w:val="en-US" w:eastAsia="zh-CN"/>
              </w:rPr>
            </w:pPr>
            <w:r>
              <w:rPr>
                <w:rFonts w:hint="eastAsia"/>
                <w:lang w:val="en-US" w:eastAsia="zh-CN"/>
              </w:rPr>
              <w:t>Agree</w:t>
            </w:r>
          </w:p>
        </w:tc>
        <w:tc>
          <w:tcPr>
            <w:tcW w:w="5625" w:type="dxa"/>
          </w:tcPr>
          <w:p w14:paraId="1A87BD3E" w14:textId="77777777" w:rsidR="000557CA" w:rsidRDefault="00F41AFA">
            <w:r>
              <w:rPr>
                <w:rFonts w:hint="eastAsia"/>
                <w:lang w:val="en-US" w:eastAsia="zh-CN"/>
              </w:rPr>
              <w:t xml:space="preserve">Different from the R16 intra-SN CPC, multiple candidate SNs can be configured for the R17 CPAC. </w:t>
            </w:r>
            <w:proofErr w:type="gramStart"/>
            <w:r>
              <w:rPr>
                <w:rFonts w:hint="eastAsia"/>
                <w:lang w:val="en-US" w:eastAsia="zh-CN"/>
              </w:rPr>
              <w:t>So</w:t>
            </w:r>
            <w:proofErr w:type="gramEnd"/>
            <w:r>
              <w:rPr>
                <w:rFonts w:hint="eastAsia"/>
                <w:lang w:val="en-US" w:eastAsia="zh-CN"/>
              </w:rPr>
              <w:t xml:space="preserve"> the MN needs to know which candidate SN should the received SN RRC complete message be transferred to.</w:t>
            </w:r>
          </w:p>
        </w:tc>
      </w:tr>
      <w:tr w:rsidR="008F0117" w14:paraId="67C7AACC" w14:textId="77777777">
        <w:tc>
          <w:tcPr>
            <w:tcW w:w="1875" w:type="dxa"/>
          </w:tcPr>
          <w:p w14:paraId="0E4E800F" w14:textId="0AF18A15" w:rsidR="008F0117" w:rsidRDefault="008F0117">
            <w:pPr>
              <w:rPr>
                <w:rFonts w:hint="eastAsia"/>
                <w:lang w:val="en-US" w:eastAsia="zh-CN"/>
              </w:rPr>
            </w:pPr>
            <w:r>
              <w:rPr>
                <w:lang w:val="en-US" w:eastAsia="zh-CN"/>
              </w:rPr>
              <w:t>Nokia</w:t>
            </w:r>
          </w:p>
        </w:tc>
        <w:tc>
          <w:tcPr>
            <w:tcW w:w="2131" w:type="dxa"/>
          </w:tcPr>
          <w:p w14:paraId="74937D69" w14:textId="3FB086B2" w:rsidR="008F0117" w:rsidRDefault="008F0117">
            <w:pPr>
              <w:rPr>
                <w:rFonts w:hint="eastAsia"/>
                <w:lang w:val="en-US" w:eastAsia="zh-CN"/>
              </w:rPr>
            </w:pPr>
            <w:r>
              <w:rPr>
                <w:lang w:val="en-US" w:eastAsia="zh-CN"/>
              </w:rPr>
              <w:t>It depends</w:t>
            </w:r>
          </w:p>
        </w:tc>
        <w:tc>
          <w:tcPr>
            <w:tcW w:w="5625"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rFonts w:hint="eastAsia"/>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tc>
          <w:tcPr>
            <w:tcW w:w="1439" w:type="dxa"/>
          </w:tcPr>
          <w:p w14:paraId="7D83A556" w14:textId="77777777" w:rsidR="000557CA" w:rsidRDefault="00F41AFA">
            <w:r>
              <w:lastRenderedPageBreak/>
              <w:t>Company</w:t>
            </w:r>
          </w:p>
        </w:tc>
        <w:tc>
          <w:tcPr>
            <w:tcW w:w="4015" w:type="dxa"/>
          </w:tcPr>
          <w:p w14:paraId="3E6AC443" w14:textId="77777777" w:rsidR="000557CA" w:rsidRDefault="00F41AFA">
            <w:pPr>
              <w:rPr>
                <w:lang w:eastAsia="zh-CN"/>
              </w:rPr>
            </w:pPr>
            <w:r>
              <w:rPr>
                <w:lang w:eastAsia="zh-CN"/>
              </w:rPr>
              <w:t>O</w:t>
            </w:r>
            <w:r>
              <w:rPr>
                <w:rFonts w:hint="eastAsia"/>
                <w:lang w:eastAsia="zh-CN"/>
              </w:rPr>
              <w:t>ption</w:t>
            </w:r>
          </w:p>
        </w:tc>
        <w:tc>
          <w:tcPr>
            <w:tcW w:w="4403" w:type="dxa"/>
          </w:tcPr>
          <w:p w14:paraId="20F80719" w14:textId="77777777" w:rsidR="000557CA" w:rsidRDefault="00F41AFA">
            <w:r>
              <w:t>Comment</w:t>
            </w:r>
          </w:p>
        </w:tc>
      </w:tr>
      <w:tr w:rsidR="000557CA" w14:paraId="36FC88FF" w14:textId="77777777">
        <w:tc>
          <w:tcPr>
            <w:tcW w:w="1439" w:type="dxa"/>
          </w:tcPr>
          <w:p w14:paraId="1C152FEC" w14:textId="77777777" w:rsidR="000557CA" w:rsidRDefault="00F41AFA">
            <w:ins w:id="46" w:author="Icaro" w:date="2021-07-02T17:13:00Z">
              <w:r>
                <w:t>Ericsson</w:t>
              </w:r>
            </w:ins>
          </w:p>
        </w:tc>
        <w:tc>
          <w:tcPr>
            <w:tcW w:w="4015" w:type="dxa"/>
          </w:tcPr>
          <w:p w14:paraId="73DC3644" w14:textId="77777777" w:rsidR="000557CA" w:rsidRDefault="00F41AFA">
            <w:ins w:id="47" w:author="Icaro" w:date="2021-07-02T17:13:00Z">
              <w:r>
                <w:t>Option 2</w:t>
              </w:r>
            </w:ins>
          </w:p>
        </w:tc>
        <w:tc>
          <w:tcPr>
            <w:tcW w:w="4403"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tc>
          <w:tcPr>
            <w:tcW w:w="1439" w:type="dxa"/>
          </w:tcPr>
          <w:p w14:paraId="11208165" w14:textId="77777777" w:rsidR="000557CA" w:rsidRDefault="00F41AFA">
            <w:r>
              <w:t>MediaTek</w:t>
            </w:r>
          </w:p>
        </w:tc>
        <w:tc>
          <w:tcPr>
            <w:tcW w:w="4015" w:type="dxa"/>
          </w:tcPr>
          <w:p w14:paraId="2710C29B" w14:textId="77777777" w:rsidR="000557CA" w:rsidRDefault="00F41AFA">
            <w:r>
              <w:t xml:space="preserve">Option 2 </w:t>
            </w:r>
          </w:p>
        </w:tc>
        <w:tc>
          <w:tcPr>
            <w:tcW w:w="4403" w:type="dxa"/>
          </w:tcPr>
          <w:p w14:paraId="49066FA7" w14:textId="77777777" w:rsidR="000557CA" w:rsidRDefault="000557CA"/>
        </w:tc>
      </w:tr>
      <w:tr w:rsidR="000557CA" w14:paraId="7213F722" w14:textId="77777777">
        <w:tc>
          <w:tcPr>
            <w:tcW w:w="1439" w:type="dxa"/>
          </w:tcPr>
          <w:p w14:paraId="7D53DD35" w14:textId="77777777" w:rsidR="000557CA" w:rsidRDefault="00F41AFA">
            <w:r>
              <w:t>CATT</w:t>
            </w:r>
          </w:p>
        </w:tc>
        <w:tc>
          <w:tcPr>
            <w:tcW w:w="4015" w:type="dxa"/>
          </w:tcPr>
          <w:p w14:paraId="155A2FD2" w14:textId="77777777" w:rsidR="000557CA" w:rsidRDefault="00F41AFA">
            <w:r>
              <w:t>Option 2</w:t>
            </w:r>
          </w:p>
        </w:tc>
        <w:tc>
          <w:tcPr>
            <w:tcW w:w="4403" w:type="dxa"/>
          </w:tcPr>
          <w:p w14:paraId="3FE93E9E" w14:textId="77777777" w:rsidR="000557CA" w:rsidRDefault="00F41AFA">
            <w:r>
              <w:t>Compared with option 1, option 2 has less signalling overhead.</w:t>
            </w:r>
          </w:p>
        </w:tc>
      </w:tr>
      <w:tr w:rsidR="000557CA" w14:paraId="1D14FB8A" w14:textId="77777777">
        <w:tc>
          <w:tcPr>
            <w:tcW w:w="1439" w:type="dxa"/>
          </w:tcPr>
          <w:p w14:paraId="02FCB4FD" w14:textId="77777777" w:rsidR="000557CA" w:rsidRDefault="00F41AFA">
            <w:pPr>
              <w:rPr>
                <w:lang w:val="en-US" w:eastAsia="zh-CN"/>
              </w:rPr>
            </w:pPr>
            <w:r>
              <w:rPr>
                <w:rFonts w:hint="eastAsia"/>
                <w:lang w:val="en-US" w:eastAsia="zh-CN"/>
              </w:rPr>
              <w:t>ZTE</w:t>
            </w:r>
          </w:p>
        </w:tc>
        <w:tc>
          <w:tcPr>
            <w:tcW w:w="4015" w:type="dxa"/>
          </w:tcPr>
          <w:p w14:paraId="33B7F519" w14:textId="77777777" w:rsidR="000557CA" w:rsidRDefault="00F41AFA">
            <w:pPr>
              <w:rPr>
                <w:lang w:val="en-US" w:eastAsia="zh-CN"/>
              </w:rPr>
            </w:pPr>
            <w:r>
              <w:rPr>
                <w:rFonts w:hint="eastAsia"/>
                <w:lang w:val="en-US" w:eastAsia="zh-CN"/>
              </w:rPr>
              <w:t>Option 2</w:t>
            </w:r>
          </w:p>
        </w:tc>
        <w:tc>
          <w:tcPr>
            <w:tcW w:w="4403" w:type="dxa"/>
          </w:tcPr>
          <w:p w14:paraId="334299D9" w14:textId="77777777" w:rsidR="000557CA" w:rsidRDefault="000557CA"/>
        </w:tc>
      </w:tr>
      <w:tr w:rsidR="008F0117" w14:paraId="075A9257" w14:textId="77777777">
        <w:tc>
          <w:tcPr>
            <w:tcW w:w="1439" w:type="dxa"/>
          </w:tcPr>
          <w:p w14:paraId="061ED55A" w14:textId="6E6E1C7B" w:rsidR="008F0117" w:rsidRDefault="008F0117">
            <w:pPr>
              <w:rPr>
                <w:rFonts w:hint="eastAsia"/>
                <w:lang w:val="en-US" w:eastAsia="zh-CN"/>
              </w:rPr>
            </w:pPr>
            <w:r>
              <w:rPr>
                <w:lang w:val="en-US" w:eastAsia="zh-CN"/>
              </w:rPr>
              <w:t>Nokia</w:t>
            </w:r>
          </w:p>
        </w:tc>
        <w:tc>
          <w:tcPr>
            <w:tcW w:w="4015" w:type="dxa"/>
          </w:tcPr>
          <w:p w14:paraId="67EBA04E" w14:textId="753F8455" w:rsidR="008F0117" w:rsidRDefault="008F0117">
            <w:pPr>
              <w:rPr>
                <w:rFonts w:hint="eastAsia"/>
                <w:lang w:val="en-US" w:eastAsia="zh-CN"/>
              </w:rPr>
            </w:pPr>
            <w:r>
              <w:rPr>
                <w:lang w:val="en-US" w:eastAsia="zh-CN"/>
              </w:rPr>
              <w:t>Option 2</w:t>
            </w:r>
          </w:p>
        </w:tc>
        <w:tc>
          <w:tcPr>
            <w:tcW w:w="4403"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proofErr w:type="gram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maxReportCells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1..</w:t>
      </w:r>
      <w:proofErr w:type="gramEnd"/>
      <w:r>
        <w:rPr>
          <w:rFonts w:ascii="Courier New" w:eastAsia="Times New Roman" w:hAnsi="Courier New"/>
          <w:sz w:val="16"/>
          <w:lang w:eastAsia="ja-JP"/>
        </w:rPr>
        <w:t>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0..</w:t>
      </w:r>
      <w:proofErr w:type="gramEnd"/>
      <w:r>
        <w:rPr>
          <w:rFonts w:ascii="Courier New" w:eastAsia="Times New Roman" w:hAnsi="Courier New"/>
          <w:sz w:val="16"/>
          <w:lang w:eastAsia="ja-JP"/>
        </w:rPr>
        <w:t>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proofErr w:type="gram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 xml:space="preserve">[[condTriggerConfig-r17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w:t>
      </w:r>
      <w:proofErr w:type="gramEnd"/>
      <w:r>
        <w:rPr>
          <w:rFonts w:ascii="Courier New" w:eastAsia="Times New Roman" w:hAnsi="Courier New"/>
          <w:sz w:val="16"/>
          <w:highlight w:val="yellow"/>
          <w:lang w:eastAsia="ja-JP"/>
        </w:rPr>
        <w:t xml:space="preserve">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w:t>
      </w:r>
      <w:proofErr w:type="gramStart"/>
      <w:r>
        <w:rPr>
          <w:rFonts w:ascii="Courier New" w:eastAsia="Times New Roman" w:hAnsi="Courier New"/>
          <w:sz w:val="16"/>
          <w:highlight w:val="yellow"/>
          <w:lang w:eastAsia="en-GB"/>
        </w:rPr>
        <w:t>17</w:t>
      </w:r>
      <w:r>
        <w:rPr>
          <w:rFonts w:ascii="Courier New" w:eastAsia="Times New Roman" w:hAnsi="Courier New"/>
          <w:sz w:val="16"/>
          <w:highlight w:val="yellow"/>
          <w:lang w:eastAsia="zh-CN"/>
        </w:rPr>
        <w:t xml:space="preserve"> ::=</w:t>
      </w:r>
      <w:proofErr w:type="gramEnd"/>
      <w:r>
        <w:rPr>
          <w:rFonts w:ascii="Courier New" w:eastAsia="Times New Roman" w:hAnsi="Courier New"/>
          <w:sz w:val="16"/>
          <w:highlight w:val="yellow"/>
          <w:lang w:eastAsia="zh-CN"/>
        </w:rPr>
        <w:t xml:space="preserve">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 xml:space="preserve">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lastRenderedPageBreak/>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rFonts w:hint="eastAsia"/>
                <w:lang w:val="en-US" w:eastAsia="zh-CN"/>
              </w:rPr>
            </w:pPr>
            <w:r>
              <w:rPr>
                <w:lang w:val="en-US" w:eastAsia="zh-CN"/>
              </w:rPr>
              <w:t>Nokia</w:t>
            </w:r>
          </w:p>
        </w:tc>
        <w:tc>
          <w:tcPr>
            <w:tcW w:w="2202" w:type="dxa"/>
          </w:tcPr>
          <w:p w14:paraId="58606A61" w14:textId="139F9069" w:rsidR="008D5D8C" w:rsidRDefault="008D5D8C">
            <w:pPr>
              <w:rPr>
                <w:rFonts w:hint="eastAsia"/>
                <w:lang w:val="en-US" w:eastAsia="zh-CN"/>
              </w:rPr>
            </w:pPr>
            <w:r>
              <w:rPr>
                <w:lang w:val="en-US" w:eastAsia="zh-CN"/>
              </w:rPr>
              <w:t>OK</w:t>
            </w:r>
          </w:p>
        </w:tc>
        <w:tc>
          <w:tcPr>
            <w:tcW w:w="5554" w:type="dxa"/>
          </w:tcPr>
          <w:p w14:paraId="05DDF9B0" w14:textId="77777777" w:rsidR="008D5D8C" w:rsidRDefault="008D5D8C"/>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CondTriggerConfig-r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rFonts w:hint="eastAsia"/>
                <w:lang w:val="en-US" w:eastAsia="zh-CN"/>
              </w:rPr>
            </w:pPr>
            <w:r>
              <w:rPr>
                <w:lang w:val="en-US" w:eastAsia="zh-CN"/>
              </w:rPr>
              <w:lastRenderedPageBreak/>
              <w:t>Nokia</w:t>
            </w:r>
          </w:p>
        </w:tc>
        <w:tc>
          <w:tcPr>
            <w:tcW w:w="2131" w:type="dxa"/>
          </w:tcPr>
          <w:p w14:paraId="15E6D0BB" w14:textId="120DCD09" w:rsidR="008B469F" w:rsidRDefault="008B469F">
            <w:pPr>
              <w:rPr>
                <w:rFonts w:hint="eastAsia"/>
                <w:lang w:val="en-US" w:eastAsia="zh-CN"/>
              </w:rPr>
            </w:pPr>
            <w:r>
              <w:rPr>
                <w:lang w:val="en-US" w:eastAsia="zh-CN"/>
              </w:rPr>
              <w:t>Agree</w:t>
            </w:r>
          </w:p>
        </w:tc>
        <w:tc>
          <w:tcPr>
            <w:tcW w:w="5625" w:type="dxa"/>
          </w:tcPr>
          <w:p w14:paraId="52E26309" w14:textId="77777777" w:rsidR="008B469F" w:rsidRDefault="008B469F"/>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A3/A5 for a </w:t>
              </w:r>
              <w:proofErr w:type="spellStart"/>
              <w:r>
                <w:t>PSCell</w:t>
              </w:r>
              <w:proofErr w:type="spellEnd"/>
              <w:r>
                <w:t>.</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lastRenderedPageBreak/>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rFonts w:hint="eastAsia"/>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rFonts w:hint="eastAsia"/>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e.g.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w:t>
              </w:r>
              <w:proofErr w:type="spellStart"/>
              <w:r>
                <w:t>PSCell</w:t>
              </w:r>
              <w:proofErr w:type="spellEnd"/>
              <w:r>
                <w:t xml:space="preserve">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rFonts w:hint="eastAsia"/>
                <w:lang w:val="en-US" w:eastAsia="zh-CN"/>
              </w:rPr>
            </w:pPr>
            <w:r>
              <w:rPr>
                <w:lang w:val="en-US" w:eastAsia="zh-CN"/>
              </w:rPr>
              <w:t xml:space="preserve">Nokia </w:t>
            </w:r>
          </w:p>
        </w:tc>
        <w:tc>
          <w:tcPr>
            <w:tcW w:w="7593" w:type="dxa"/>
          </w:tcPr>
          <w:p w14:paraId="1B52298B" w14:textId="79DA83A6" w:rsidR="00827B91" w:rsidRDefault="00827B91">
            <w:pPr>
              <w:rPr>
                <w:rFonts w:hint="eastAsia"/>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as this execution condition will be sent outside of the container with conditional reconfiguration. The UE shall always refer to the cell of the CG where CPAC config is included.</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CommentReference"/>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lastRenderedPageBreak/>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 xml:space="preserve">S-SN can </w:t>
      </w:r>
      <w:proofErr w:type="gramStart"/>
      <w:r>
        <w:rPr>
          <w:rFonts w:ascii="Times New Roman" w:hAnsi="Times New Roman"/>
          <w:b w:val="0"/>
        </w:rPr>
        <w:t>provide also</w:t>
      </w:r>
      <w:proofErr w:type="gramEnd"/>
      <w:r>
        <w:rPr>
          <w:rFonts w:ascii="Times New Roman" w:hAnsi="Times New Roman"/>
          <w:b w:val="0"/>
        </w:rPr>
        <w:t xml:space="preserve">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CommentReference"/>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5"/>
      <w:r>
        <w:rPr>
          <w:rStyle w:val="CommentReference"/>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proofErr w:type="gramStart"/>
      <w:r>
        <w:rPr>
          <w:rFonts w:hint="eastAsia"/>
          <w:bCs/>
          <w:iCs/>
          <w:sz w:val="21"/>
          <w:szCs w:val="21"/>
          <w:lang w:val="en-US" w:eastAsia="zh-CN"/>
        </w:rPr>
        <w:t>PSCells</w:t>
      </w:r>
      <w:proofErr w:type="spellEnd"/>
      <w:r>
        <w:rPr>
          <w:rFonts w:hint="eastAsia"/>
          <w:bCs/>
          <w:iCs/>
          <w:sz w:val="21"/>
          <w:szCs w:val="21"/>
          <w:lang w:val="en-US" w:eastAsia="zh-CN"/>
        </w:rPr>
        <w:t>;</w:t>
      </w:r>
      <w:proofErr w:type="gramEnd"/>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7777777"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proofErr w:type="gramStart"/>
      <w:r>
        <w:rPr>
          <w:bCs/>
          <w:iCs/>
          <w:sz w:val="21"/>
          <w:szCs w:val="21"/>
          <w:lang w:val="en-US" w:eastAsia="zh-CN"/>
        </w:rPr>
        <w:t>Therefore</w:t>
      </w:r>
      <w:proofErr w:type="gramEnd"/>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lastRenderedPageBreak/>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6"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7" w:author="Icaro" w:date="2021-07-02T17:20:00Z">
              <w:r>
                <w:t>Ericsson</w:t>
              </w:r>
            </w:ins>
          </w:p>
        </w:tc>
        <w:tc>
          <w:tcPr>
            <w:tcW w:w="1688" w:type="dxa"/>
          </w:tcPr>
          <w:p w14:paraId="25648FFC" w14:textId="77777777" w:rsidR="000557CA" w:rsidRDefault="00F41AFA">
            <w:pPr>
              <w:rPr>
                <w:ins w:id="98" w:author="Icaro" w:date="2021-07-02T18:00:00Z"/>
              </w:rPr>
            </w:pPr>
            <w:ins w:id="99" w:author="Icaro" w:date="2021-07-02T17:20:00Z">
              <w:r>
                <w:t xml:space="preserve">Option </w:t>
              </w:r>
            </w:ins>
            <w:ins w:id="100" w:author="Icaro" w:date="2021-07-02T17:22:00Z">
              <w:r>
                <w:t>2</w:t>
              </w:r>
            </w:ins>
            <w:ins w:id="101" w:author="Icaro" w:date="2021-07-02T18:01:00Z">
              <w:r>
                <w:t xml:space="preserve"> is preferred</w:t>
              </w:r>
            </w:ins>
          </w:p>
          <w:p w14:paraId="1DF47B1C" w14:textId="77777777" w:rsidR="000557CA" w:rsidRDefault="00F41AFA">
            <w:pPr>
              <w:rPr>
                <w:ins w:id="102" w:author="Icaro" w:date="2021-07-02T17:26:00Z"/>
              </w:rPr>
            </w:pPr>
            <w:ins w:id="103" w:author="Icaro" w:date="2021-07-02T18:00:00Z">
              <w:r>
                <w:t>Option 1 is acceptable</w:t>
              </w:r>
            </w:ins>
          </w:p>
          <w:p w14:paraId="47239C5D" w14:textId="77777777" w:rsidR="000557CA" w:rsidRDefault="00F41AFA">
            <w:ins w:id="104" w:author="Icaro" w:date="2021-07-02T17:26:00Z">
              <w:r>
                <w:t>Option 3 contradicts the current text in 5.5</w:t>
              </w:r>
            </w:ins>
            <w:ins w:id="105" w:author="Icaro" w:date="2021-07-02T18:01:00Z">
              <w:r>
                <w:t>, not an acceptable option for us.</w:t>
              </w:r>
            </w:ins>
            <w:ins w:id="106" w:author="Icaro" w:date="2021-07-02T18:00:00Z">
              <w:r>
                <w:t xml:space="preserve"> </w:t>
              </w:r>
            </w:ins>
          </w:p>
        </w:tc>
        <w:tc>
          <w:tcPr>
            <w:tcW w:w="6415" w:type="dxa"/>
          </w:tcPr>
          <w:p w14:paraId="3C3288A8" w14:textId="77777777" w:rsidR="000557CA" w:rsidRDefault="00F41AFA">
            <w:pPr>
              <w:rPr>
                <w:ins w:id="107" w:author="Icaro" w:date="2021-07-02T17:22:00Z"/>
              </w:rPr>
            </w:pPr>
            <w:ins w:id="108" w:author="Icaro" w:date="2021-07-02T17:24:00Z">
              <w:r>
                <w:t>We would like to highlight</w:t>
              </w:r>
            </w:ins>
            <w:ins w:id="109" w:author="Icaro" w:date="2021-07-02T17:25:00Z">
              <w:r>
                <w:t xml:space="preserve"> that the question </w:t>
              </w:r>
            </w:ins>
            <w:ins w:id="110" w:author="Icaro" w:date="2021-07-02T17:21:00Z">
              <w:r>
                <w:t>assumes that the complicated stage-2 signalling with various options (that will create some ex</w:t>
              </w:r>
            </w:ins>
            <w:ins w:id="111" w:author="Icaro" w:date="2021-07-02T17:22:00Z">
              <w:r>
                <w:t>tra work in RAN3</w:t>
              </w:r>
            </w:ins>
            <w:ins w:id="112" w:author="Icaro" w:date="2021-07-02T17:21:00Z">
              <w:r>
                <w:t>) has been agreed, which is not clear to us.</w:t>
              </w:r>
            </w:ins>
            <w:ins w:id="113" w:author="Icaro" w:date="2021-07-02T17:25:00Z">
              <w:r>
                <w:t xml:space="preserve"> The simplest is still a procedure with always two steps.</w:t>
              </w:r>
            </w:ins>
          </w:p>
          <w:p w14:paraId="79B16BF2" w14:textId="77777777" w:rsidR="000557CA" w:rsidRDefault="00F41AFA">
            <w:pPr>
              <w:rPr>
                <w:ins w:id="114" w:author="Icaro" w:date="2021-07-02T17:22:00Z"/>
              </w:rPr>
            </w:pPr>
            <w:ins w:id="115" w:author="Icaro" w:date="2021-07-02T17:25:00Z">
              <w:r>
                <w:t xml:space="preserve">We </w:t>
              </w:r>
            </w:ins>
            <w:ins w:id="116" w:author="Icaro" w:date="2021-07-02T17:22:00Z">
              <w:r>
                <w:t xml:space="preserve">are responding </w:t>
              </w:r>
            </w:ins>
            <w:ins w:id="117" w:author="Icaro" w:date="2021-07-02T17:25:00Z">
              <w:r>
                <w:t xml:space="preserve">anyways </w:t>
              </w:r>
            </w:ins>
            <w:ins w:id="118" w:author="Icaro" w:date="2021-07-02T17:22:00Z">
              <w:r>
                <w:t xml:space="preserve">under </w:t>
              </w:r>
            </w:ins>
            <w:ins w:id="119" w:author="Icaro" w:date="2021-07-02T17:25:00Z">
              <w:r>
                <w:t xml:space="preserve">the </w:t>
              </w:r>
            </w:ins>
            <w:ins w:id="120" w:author="Icaro" w:date="2021-07-02T17:22:00Z">
              <w:r>
                <w:t>assumption</w:t>
              </w:r>
            </w:ins>
            <w:ins w:id="121" w:author="Icaro" w:date="2021-07-02T17:25:00Z">
              <w:r>
                <w:t xml:space="preserve"> that the complicated solution with various options had been agreed</w:t>
              </w:r>
            </w:ins>
            <w:ins w:id="122" w:author="Icaro" w:date="2021-07-02T17:45:00Z">
              <w:r>
                <w:t xml:space="preserve"> (good luck RAN3 to finish this in time)</w:t>
              </w:r>
            </w:ins>
            <w:ins w:id="123" w:author="Icaro" w:date="2021-07-02T17:25:00Z">
              <w:r>
                <w:t>, which c</w:t>
              </w:r>
            </w:ins>
            <w:ins w:id="124" w:author="Icaro" w:date="2021-07-02T17:26:00Z">
              <w:r>
                <w:t>reates this additional issue.</w:t>
              </w:r>
            </w:ins>
          </w:p>
          <w:p w14:paraId="268717BB" w14:textId="77777777" w:rsidR="000557CA" w:rsidRDefault="00F41AFA">
            <w:pPr>
              <w:rPr>
                <w:ins w:id="125" w:author="Icaro" w:date="2021-07-02T17:22:00Z"/>
              </w:rPr>
            </w:pPr>
            <w:ins w:id="126" w:author="Icaro" w:date="2021-07-02T17:22:00Z">
              <w:r>
                <w:t xml:space="preserve">Option 1 is not </w:t>
              </w:r>
            </w:ins>
            <w:ins w:id="127" w:author="Icaro" w:date="2021-07-02T18:01:00Z">
              <w:r>
                <w:t>the best</w:t>
              </w:r>
            </w:ins>
            <w:ins w:id="128" w:author="Icaro" w:date="2021-07-02T17:22:00Z">
              <w:r>
                <w:t>, as we try to avoid UE autonomous actions for something where a signalling would be possible.</w:t>
              </w:r>
            </w:ins>
            <w:ins w:id="129" w:author="Icaro" w:date="2021-07-02T17:27:00Z">
              <w:r>
                <w:t xml:space="preserve"> And, these </w:t>
              </w:r>
              <w:proofErr w:type="spellStart"/>
              <w:r>
                <w:t>measId</w:t>
              </w:r>
              <w:proofErr w:type="spellEnd"/>
              <w:r>
                <w:t xml:space="preserve">(s) are anyways deleted later upon successful execution or suspend/release. </w:t>
              </w:r>
            </w:ins>
          </w:p>
          <w:p w14:paraId="27A61B4E" w14:textId="77777777" w:rsidR="000557CA" w:rsidRDefault="00F41AFA">
            <w:ins w:id="130" w:author="Icaro" w:date="2021-07-02T17:22:00Z">
              <w:r>
                <w:t xml:space="preserve">Option 3 </w:t>
              </w:r>
            </w:ins>
            <w:ins w:id="131" w:author="Icaro" w:date="2021-07-02T17:46:00Z">
              <w:r>
                <w:t>lead</w:t>
              </w:r>
            </w:ins>
            <w:ins w:id="132" w:author="Icaro" w:date="2021-07-02T17:54:00Z">
              <w:r>
                <w:t>s</w:t>
              </w:r>
            </w:ins>
            <w:ins w:id="133" w:author="Icaro" w:date="2021-07-02T17:46:00Z">
              <w:r>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t>,</w:t>
              </w:r>
            </w:ins>
            <w:ins w:id="137" w:author="Icaro" w:date="2021-07-02T17:23:00Z">
              <w:r>
                <w:t xml:space="preserve"> </w:t>
              </w:r>
            </w:ins>
            <w:ins w:id="138" w:author="Icaro" w:date="2021-07-02T17:45:00Z">
              <w:r>
                <w:t xml:space="preserve">the </w:t>
              </w:r>
            </w:ins>
            <w:ins w:id="139"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w:t>
              </w:r>
            </w:ins>
            <w:ins w:id="140" w:author="Icaro" w:date="2021-07-02T17:24:00Z">
              <w:r>
                <w:t xml:space="preserve"> contradict what the specs </w:t>
              </w:r>
            </w:ins>
            <w:ins w:id="141" w:author="Icaro" w:date="2021-07-02T17:46:00Z">
              <w:r>
                <w:t xml:space="preserve">says </w:t>
              </w:r>
            </w:ins>
            <w:ins w:id="142"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3"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3"/>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4" w:name="_Toc68014821"/>
                  <w:r>
                    <w:rPr>
                      <w:rFonts w:ascii="Arial" w:eastAsia="Times New Roman" w:hAnsi="Arial"/>
                      <w:sz w:val="24"/>
                      <w:lang w:eastAsia="ja-JP"/>
                    </w:rPr>
                    <w:t>5.5.3.1</w:t>
                  </w:r>
                  <w:r>
                    <w:rPr>
                      <w:rFonts w:ascii="Arial" w:eastAsia="Times New Roman" w:hAnsi="Arial"/>
                      <w:sz w:val="24"/>
                      <w:lang w:eastAsia="ja-JP"/>
                    </w:rPr>
                    <w:tab/>
                    <w:t>General</w:t>
                  </w:r>
                  <w:bookmarkEnd w:id="144"/>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5"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6" w:author="CATT" w:date="2021-07-21T11:50:00Z"/>
                      <w:color w:val="000000"/>
                      <w:lang w:val="en-US" w:eastAsia="zh-CN"/>
                    </w:rPr>
                  </w:pPr>
                  <w:ins w:id="147"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lastRenderedPageBreak/>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w:t>
            </w:r>
            <w:proofErr w:type="gramStart"/>
            <w:r>
              <w:rPr>
                <w:rFonts w:hint="eastAsia"/>
                <w:lang w:val="en-US" w:eastAsia="zh-CN"/>
              </w:rPr>
              <w:t>So</w:t>
            </w:r>
            <w:proofErr w:type="gramEnd"/>
            <w:r>
              <w:rPr>
                <w:rFonts w:hint="eastAsia"/>
                <w:lang w:val="en-US" w:eastAsia="zh-CN"/>
              </w:rPr>
              <w:t xml:space="preserve">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rFonts w:hint="eastAsia"/>
                <w:lang w:val="en-US" w:eastAsia="zh-CN"/>
              </w:rPr>
            </w:pPr>
            <w:r>
              <w:rPr>
                <w:lang w:val="en-US" w:eastAsia="zh-CN"/>
              </w:rPr>
              <w:t>Nokia</w:t>
            </w:r>
          </w:p>
        </w:tc>
        <w:tc>
          <w:tcPr>
            <w:tcW w:w="1688" w:type="dxa"/>
          </w:tcPr>
          <w:p w14:paraId="15443459" w14:textId="0DD99AC2" w:rsidR="00E614B4" w:rsidRDefault="00E614B4">
            <w:pPr>
              <w:rPr>
                <w:rFonts w:hint="eastAsia"/>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rFonts w:hint="eastAsia"/>
                <w:lang w:val="en-US" w:eastAsia="zh-CN"/>
              </w:rPr>
            </w:pPr>
            <w:r w:rsidRPr="00E614B4">
              <w:rPr>
                <w:lang w:val="en-US" w:eastAsia="zh-CN"/>
              </w:rPr>
              <w:t xml:space="preserve">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w:t>
            </w:r>
            <w:proofErr w:type="gramStart"/>
            <w:r w:rsidRPr="00E614B4">
              <w:rPr>
                <w:lang w:val="en-US" w:eastAsia="zh-CN"/>
              </w:rPr>
              <w:t>So</w:t>
            </w:r>
            <w:proofErr w:type="gramEnd"/>
            <w:r w:rsidRPr="00E614B4">
              <w:rPr>
                <w:lang w:val="en-US" w:eastAsia="zh-CN"/>
              </w:rPr>
              <w:t xml:space="preserve">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w:t>
      </w:r>
      <w:proofErr w:type="gramStart"/>
      <w:r>
        <w:rPr>
          <w:b/>
          <w:iCs/>
          <w:sz w:val="21"/>
          <w:szCs w:val="21"/>
          <w:lang w:val="en-US" w:eastAsia="zh-CN"/>
        </w:rPr>
        <w:t>deletes</w:t>
      </w:r>
      <w:proofErr w:type="gramEnd"/>
      <w:r>
        <w:rPr>
          <w:b/>
          <w:iCs/>
          <w:sz w:val="21"/>
          <w:szCs w:val="21"/>
          <w:lang w:val="en-US" w:eastAsia="zh-CN"/>
        </w:rPr>
        <w:t xml:space="preserve">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TableGrid"/>
        <w:tblW w:w="0" w:type="auto"/>
        <w:tblLook w:val="04A0" w:firstRow="1" w:lastRow="0" w:firstColumn="1" w:lastColumn="0" w:noHBand="0" w:noVBand="1"/>
      </w:tblPr>
      <w:tblGrid>
        <w:gridCol w:w="1529"/>
        <w:gridCol w:w="1706"/>
        <w:gridCol w:w="6396"/>
      </w:tblGrid>
      <w:tr w:rsidR="000557CA" w14:paraId="78CE9C68" w14:textId="77777777">
        <w:tc>
          <w:tcPr>
            <w:tcW w:w="1548" w:type="dxa"/>
          </w:tcPr>
          <w:p w14:paraId="44679226" w14:textId="77777777" w:rsidR="000557CA" w:rsidRDefault="00F41AFA">
            <w:r>
              <w:lastRenderedPageBreak/>
              <w:t>Company</w:t>
            </w:r>
          </w:p>
        </w:tc>
        <w:tc>
          <w:tcPr>
            <w:tcW w:w="1710" w:type="dxa"/>
          </w:tcPr>
          <w:p w14:paraId="545E99C4" w14:textId="77777777" w:rsidR="000557CA" w:rsidRDefault="00F41AFA">
            <w:r>
              <w:t xml:space="preserve">The UE should </w:t>
            </w:r>
            <w:proofErr w:type="gramStart"/>
            <w:r>
              <w:t>deletes</w:t>
            </w:r>
            <w:proofErr w:type="gramEnd"/>
            <w:r>
              <w:t xml:space="preserve"> CPC related </w:t>
            </w:r>
            <w:proofErr w:type="spellStart"/>
            <w:r>
              <w:t>measConfig</w:t>
            </w:r>
            <w:proofErr w:type="spellEnd"/>
            <w:r>
              <w:t xml:space="preserve"> upon successful CPC execution (Agree/Disagree)</w:t>
            </w:r>
          </w:p>
        </w:tc>
        <w:tc>
          <w:tcPr>
            <w:tcW w:w="6599" w:type="dxa"/>
          </w:tcPr>
          <w:p w14:paraId="4C3DC580" w14:textId="77777777" w:rsidR="000557CA" w:rsidRDefault="00F41AFA">
            <w:r>
              <w:t>Comment</w:t>
            </w:r>
          </w:p>
        </w:tc>
      </w:tr>
      <w:tr w:rsidR="000557CA" w14:paraId="5D1A67E5" w14:textId="77777777">
        <w:tc>
          <w:tcPr>
            <w:tcW w:w="1548" w:type="dxa"/>
          </w:tcPr>
          <w:p w14:paraId="29534AFA" w14:textId="77777777" w:rsidR="000557CA" w:rsidRDefault="00F41AFA">
            <w:ins w:id="148" w:author="Icaro" w:date="2021-07-02T17:31:00Z">
              <w:r>
                <w:t>Ericsson</w:t>
              </w:r>
            </w:ins>
          </w:p>
        </w:tc>
        <w:tc>
          <w:tcPr>
            <w:tcW w:w="1710" w:type="dxa"/>
          </w:tcPr>
          <w:p w14:paraId="7B7022C5" w14:textId="77777777" w:rsidR="000557CA" w:rsidRDefault="00F41AFA">
            <w:ins w:id="149" w:author="Icaro" w:date="2021-07-02T17:31:00Z">
              <w:r>
                <w:t>Agree</w:t>
              </w:r>
            </w:ins>
          </w:p>
        </w:tc>
        <w:tc>
          <w:tcPr>
            <w:tcW w:w="6599" w:type="dxa"/>
          </w:tcPr>
          <w:p w14:paraId="17F2EA7C" w14:textId="77777777" w:rsidR="000557CA" w:rsidRDefault="00F41AFA">
            <w:ins w:id="150" w:author="Icaro" w:date="2021-07-02T17:47:00Z">
              <w:r>
                <w:t xml:space="preserve">As </w:t>
              </w:r>
            </w:ins>
            <w:ins w:id="151" w:author="Icaro" w:date="2021-07-02T17:32:00Z">
              <w:r>
                <w:t>discussed earlier</w:t>
              </w:r>
            </w:ins>
            <w:ins w:id="152" w:author="Icaro" w:date="2021-07-02T17:47:00Z">
              <w:r>
                <w:t xml:space="preserve">, this </w:t>
              </w:r>
            </w:ins>
            <w:ins w:id="153" w:author="Icaro" w:date="2021-07-02T17:32:00Z">
              <w:r>
                <w:t>assumes we have agreed on the complicated solution with various options. If that is the case, we need to have something like that as in CHO.</w:t>
              </w:r>
            </w:ins>
          </w:p>
        </w:tc>
      </w:tr>
      <w:tr w:rsidR="000557CA" w14:paraId="00D0D8BF" w14:textId="77777777">
        <w:tc>
          <w:tcPr>
            <w:tcW w:w="1548" w:type="dxa"/>
          </w:tcPr>
          <w:p w14:paraId="591095A8" w14:textId="77777777" w:rsidR="000557CA" w:rsidRDefault="00F41AFA">
            <w:r>
              <w:t>MediaTek</w:t>
            </w:r>
          </w:p>
        </w:tc>
        <w:tc>
          <w:tcPr>
            <w:tcW w:w="1710" w:type="dxa"/>
          </w:tcPr>
          <w:p w14:paraId="6C4A2339" w14:textId="77777777" w:rsidR="000557CA" w:rsidRDefault="00F41AFA">
            <w:r>
              <w:t>Agree</w:t>
            </w:r>
          </w:p>
        </w:tc>
        <w:tc>
          <w:tcPr>
            <w:tcW w:w="6599" w:type="dxa"/>
          </w:tcPr>
          <w:p w14:paraId="73362FB3" w14:textId="77777777" w:rsidR="000557CA" w:rsidRDefault="00F41AFA">
            <w:r>
              <w:t>It seems simpler to just follow the CHO design.</w:t>
            </w:r>
          </w:p>
        </w:tc>
      </w:tr>
      <w:tr w:rsidR="000557CA" w14:paraId="204EAFDD" w14:textId="77777777">
        <w:tc>
          <w:tcPr>
            <w:tcW w:w="1548" w:type="dxa"/>
          </w:tcPr>
          <w:p w14:paraId="6717CE75" w14:textId="77777777" w:rsidR="000557CA" w:rsidRDefault="00F41AFA">
            <w:r>
              <w:t>CATT</w:t>
            </w:r>
          </w:p>
        </w:tc>
        <w:tc>
          <w:tcPr>
            <w:tcW w:w="1710" w:type="dxa"/>
          </w:tcPr>
          <w:p w14:paraId="17584BC1" w14:textId="77777777" w:rsidR="000557CA" w:rsidRDefault="00F41AFA">
            <w:r>
              <w:t>Agree</w:t>
            </w:r>
          </w:p>
        </w:tc>
        <w:tc>
          <w:tcPr>
            <w:tcW w:w="6599"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tc>
          <w:tcPr>
            <w:tcW w:w="1548" w:type="dxa"/>
          </w:tcPr>
          <w:p w14:paraId="05BD831C" w14:textId="77777777" w:rsidR="000557CA" w:rsidRDefault="00F41AFA">
            <w:pPr>
              <w:rPr>
                <w:lang w:val="en-US" w:eastAsia="zh-CN"/>
              </w:rPr>
            </w:pPr>
            <w:r>
              <w:rPr>
                <w:rFonts w:hint="eastAsia"/>
                <w:lang w:val="en-US" w:eastAsia="zh-CN"/>
              </w:rPr>
              <w:t>ZTE</w:t>
            </w:r>
          </w:p>
        </w:tc>
        <w:tc>
          <w:tcPr>
            <w:tcW w:w="1710" w:type="dxa"/>
          </w:tcPr>
          <w:p w14:paraId="525B8A22" w14:textId="77777777" w:rsidR="000557CA" w:rsidRDefault="00F41AFA">
            <w:pPr>
              <w:rPr>
                <w:lang w:val="en-US" w:eastAsia="zh-CN"/>
              </w:rPr>
            </w:pPr>
            <w:r>
              <w:rPr>
                <w:rFonts w:hint="eastAsia"/>
                <w:lang w:val="en-US" w:eastAsia="zh-CN"/>
              </w:rPr>
              <w:t>Agree</w:t>
            </w:r>
          </w:p>
        </w:tc>
        <w:tc>
          <w:tcPr>
            <w:tcW w:w="6599"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tc>
          <w:tcPr>
            <w:tcW w:w="1548" w:type="dxa"/>
          </w:tcPr>
          <w:p w14:paraId="0336A6E9" w14:textId="2A2C94F8" w:rsidR="00C91C67" w:rsidRDefault="00C91C67">
            <w:pPr>
              <w:rPr>
                <w:rFonts w:hint="eastAsia"/>
                <w:lang w:val="en-US" w:eastAsia="zh-CN"/>
              </w:rPr>
            </w:pPr>
            <w:r>
              <w:rPr>
                <w:lang w:val="en-US" w:eastAsia="zh-CN"/>
              </w:rPr>
              <w:t>Nokia</w:t>
            </w:r>
          </w:p>
        </w:tc>
        <w:tc>
          <w:tcPr>
            <w:tcW w:w="1710" w:type="dxa"/>
          </w:tcPr>
          <w:p w14:paraId="62ADF316" w14:textId="656ADF9F" w:rsidR="00C91C67" w:rsidRDefault="00C91C67">
            <w:pPr>
              <w:rPr>
                <w:rFonts w:hint="eastAsia"/>
                <w:lang w:val="en-US" w:eastAsia="zh-CN"/>
              </w:rPr>
            </w:pPr>
            <w:r>
              <w:rPr>
                <w:lang w:val="en-US" w:eastAsia="zh-CN"/>
              </w:rPr>
              <w:t>Depends</w:t>
            </w:r>
          </w:p>
        </w:tc>
        <w:tc>
          <w:tcPr>
            <w:tcW w:w="6599" w:type="dxa"/>
          </w:tcPr>
          <w:p w14:paraId="465386E9" w14:textId="55A750F9" w:rsidR="00C91C67" w:rsidRDefault="00C91C67">
            <w:pPr>
              <w:rPr>
                <w:rFonts w:hint="eastAsia"/>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8"/>
        <w:gridCol w:w="1706"/>
        <w:gridCol w:w="6397"/>
      </w:tblGrid>
      <w:tr w:rsidR="000557CA" w14:paraId="766A31C3" w14:textId="77777777">
        <w:tc>
          <w:tcPr>
            <w:tcW w:w="1548" w:type="dxa"/>
          </w:tcPr>
          <w:p w14:paraId="734FA768" w14:textId="77777777" w:rsidR="000557CA" w:rsidRDefault="00F41AFA">
            <w:r>
              <w:t>Company</w:t>
            </w:r>
          </w:p>
        </w:tc>
        <w:tc>
          <w:tcPr>
            <w:tcW w:w="1710" w:type="dxa"/>
          </w:tcPr>
          <w:p w14:paraId="51D62376" w14:textId="77777777" w:rsidR="000557CA" w:rsidRDefault="00F41AFA">
            <w:r>
              <w:t>The MN does not need to comprehend the execution condition set by the source SN (Agree/Disagree)</w:t>
            </w:r>
          </w:p>
        </w:tc>
        <w:tc>
          <w:tcPr>
            <w:tcW w:w="6599" w:type="dxa"/>
          </w:tcPr>
          <w:p w14:paraId="1F1B53CA" w14:textId="77777777" w:rsidR="000557CA" w:rsidRDefault="00F41AFA">
            <w:r>
              <w:t>Comment</w:t>
            </w:r>
          </w:p>
        </w:tc>
      </w:tr>
      <w:tr w:rsidR="000557CA" w14:paraId="0B4DCA86" w14:textId="77777777">
        <w:tc>
          <w:tcPr>
            <w:tcW w:w="1548" w:type="dxa"/>
          </w:tcPr>
          <w:p w14:paraId="63040DAF" w14:textId="77777777" w:rsidR="000557CA" w:rsidRDefault="00F41AFA">
            <w:ins w:id="154" w:author="Icaro" w:date="2021-07-02T17:31:00Z">
              <w:r>
                <w:lastRenderedPageBreak/>
                <w:t>Ericsson</w:t>
              </w:r>
            </w:ins>
          </w:p>
        </w:tc>
        <w:tc>
          <w:tcPr>
            <w:tcW w:w="1710" w:type="dxa"/>
          </w:tcPr>
          <w:p w14:paraId="2D8DD88E" w14:textId="77777777" w:rsidR="000557CA" w:rsidRDefault="00F41AFA">
            <w:ins w:id="155" w:author="Icaro" w:date="2021-07-02T17:33:00Z">
              <w:r>
                <w:t>It does not matter</w:t>
              </w:r>
            </w:ins>
            <w:ins w:id="156" w:author="Icaro" w:date="2021-07-02T18:02:00Z">
              <w:r>
                <w:t>?</w:t>
              </w:r>
            </w:ins>
          </w:p>
        </w:tc>
        <w:tc>
          <w:tcPr>
            <w:tcW w:w="6599" w:type="dxa"/>
          </w:tcPr>
          <w:p w14:paraId="35B97B3B" w14:textId="77777777" w:rsidR="000557CA" w:rsidRDefault="00F41AFA">
            <w:pPr>
              <w:rPr>
                <w:ins w:id="157" w:author="Icaro" w:date="2021-07-02T17:34:00Z"/>
              </w:rPr>
            </w:pPr>
            <w:ins w:id="158" w:author="Icaro" w:date="2021-07-02T17:33:00Z">
              <w:r>
                <w:t xml:space="preserve">What </w:t>
              </w:r>
            </w:ins>
            <w:ins w:id="159" w:author="Icaro" w:date="2021-07-02T17:34:00Z">
              <w:r>
                <w:t xml:space="preserve">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0" w:author="Icaro" w:date="2021-07-02T17:34:00Z">
              <w:r>
                <w:t xml:space="preserve">Hiding or not hiding </w:t>
              </w:r>
            </w:ins>
            <w:ins w:id="161" w:author="Icaro" w:date="2021-07-02T17:50:00Z">
              <w:r>
                <w:t xml:space="preserve">seems </w:t>
              </w:r>
            </w:ins>
            <w:ins w:id="162" w:author="Icaro" w:date="2021-07-02T17:34:00Z">
              <w:r>
                <w:t>irrelevant in our view</w:t>
              </w:r>
            </w:ins>
            <w:ins w:id="163" w:author="Icaro" w:date="2021-07-02T17:50:00Z">
              <w:r>
                <w:t>, maybe proponents could explain the point of hiding it.</w:t>
              </w:r>
            </w:ins>
          </w:p>
        </w:tc>
      </w:tr>
      <w:tr w:rsidR="000557CA" w14:paraId="079215A6" w14:textId="77777777">
        <w:tc>
          <w:tcPr>
            <w:tcW w:w="1548" w:type="dxa"/>
          </w:tcPr>
          <w:p w14:paraId="425F2104" w14:textId="77777777" w:rsidR="000557CA" w:rsidRDefault="00F41AFA">
            <w:r>
              <w:t>MediaTek</w:t>
            </w:r>
          </w:p>
        </w:tc>
        <w:tc>
          <w:tcPr>
            <w:tcW w:w="1710" w:type="dxa"/>
          </w:tcPr>
          <w:p w14:paraId="568261FB" w14:textId="77777777" w:rsidR="000557CA" w:rsidRDefault="00F41AFA">
            <w:r>
              <w:t>No strong view</w:t>
            </w:r>
          </w:p>
        </w:tc>
        <w:tc>
          <w:tcPr>
            <w:tcW w:w="65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tc>
          <w:tcPr>
            <w:tcW w:w="1548" w:type="dxa"/>
          </w:tcPr>
          <w:p w14:paraId="0A552E57" w14:textId="77777777" w:rsidR="000557CA" w:rsidRDefault="00F41AFA">
            <w:r>
              <w:t>CATT</w:t>
            </w:r>
          </w:p>
        </w:tc>
        <w:tc>
          <w:tcPr>
            <w:tcW w:w="1710" w:type="dxa"/>
          </w:tcPr>
          <w:p w14:paraId="00DF7974" w14:textId="77777777" w:rsidR="000557CA" w:rsidRDefault="00F41AFA">
            <w:r>
              <w:t>Agree</w:t>
            </w:r>
          </w:p>
        </w:tc>
        <w:tc>
          <w:tcPr>
            <w:tcW w:w="6599" w:type="dxa"/>
          </w:tcPr>
          <w:p w14:paraId="18431350" w14:textId="77777777" w:rsidR="000557CA" w:rsidRDefault="00F41AFA">
            <w:r>
              <w:t>The MN does not need to comprehend the execution condition set by the source SN.</w:t>
            </w:r>
          </w:p>
        </w:tc>
      </w:tr>
      <w:tr w:rsidR="000557CA" w14:paraId="24586E7F" w14:textId="77777777">
        <w:tc>
          <w:tcPr>
            <w:tcW w:w="1548" w:type="dxa"/>
          </w:tcPr>
          <w:p w14:paraId="5B188FBF" w14:textId="77777777" w:rsidR="000557CA" w:rsidRDefault="00F41AFA">
            <w:pPr>
              <w:rPr>
                <w:lang w:val="en-US" w:eastAsia="zh-CN"/>
              </w:rPr>
            </w:pPr>
            <w:r>
              <w:rPr>
                <w:rFonts w:hint="eastAsia"/>
                <w:lang w:val="en-US" w:eastAsia="zh-CN"/>
              </w:rPr>
              <w:t>ZTE</w:t>
            </w:r>
          </w:p>
        </w:tc>
        <w:tc>
          <w:tcPr>
            <w:tcW w:w="1710" w:type="dxa"/>
          </w:tcPr>
          <w:p w14:paraId="584F7464" w14:textId="77777777" w:rsidR="000557CA" w:rsidRDefault="00F41AFA">
            <w:pPr>
              <w:rPr>
                <w:lang w:val="en-US" w:eastAsia="zh-CN"/>
              </w:rPr>
            </w:pPr>
            <w:r>
              <w:rPr>
                <w:rFonts w:hint="eastAsia"/>
                <w:lang w:val="en-US" w:eastAsia="zh-CN"/>
              </w:rPr>
              <w:t>Agree</w:t>
            </w:r>
          </w:p>
        </w:tc>
        <w:tc>
          <w:tcPr>
            <w:tcW w:w="65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tc>
          <w:tcPr>
            <w:tcW w:w="1548" w:type="dxa"/>
          </w:tcPr>
          <w:p w14:paraId="470F1210" w14:textId="49676568" w:rsidR="00735698" w:rsidRDefault="00735698">
            <w:pPr>
              <w:rPr>
                <w:rFonts w:hint="eastAsia"/>
                <w:lang w:val="en-US" w:eastAsia="zh-CN"/>
              </w:rPr>
            </w:pPr>
            <w:r>
              <w:rPr>
                <w:lang w:val="en-US" w:eastAsia="zh-CN"/>
              </w:rPr>
              <w:t>Nokia</w:t>
            </w:r>
          </w:p>
        </w:tc>
        <w:tc>
          <w:tcPr>
            <w:tcW w:w="1710" w:type="dxa"/>
          </w:tcPr>
          <w:p w14:paraId="2834BCB1" w14:textId="676C2A20" w:rsidR="00735698" w:rsidRDefault="00735698">
            <w:pPr>
              <w:rPr>
                <w:rFonts w:hint="eastAsia"/>
                <w:lang w:val="en-US" w:eastAsia="zh-CN"/>
              </w:rPr>
            </w:pPr>
            <w:r>
              <w:rPr>
                <w:lang w:val="en-US" w:eastAsia="zh-CN"/>
              </w:rPr>
              <w:t>Agree</w:t>
            </w:r>
          </w:p>
        </w:tc>
        <w:tc>
          <w:tcPr>
            <w:tcW w:w="6599" w:type="dxa"/>
          </w:tcPr>
          <w:p w14:paraId="0A3793B7" w14:textId="7469B8EE" w:rsidR="00735698" w:rsidRDefault="00735698">
            <w:pPr>
              <w:rPr>
                <w:rFonts w:hint="eastAsia"/>
                <w:lang w:val="en-US" w:eastAsia="zh-CN"/>
              </w:rPr>
            </w:pPr>
            <w:r w:rsidRPr="00735698">
              <w:rPr>
                <w:lang w:val="en-US" w:eastAsia="zh-CN"/>
              </w:rPr>
              <w:t xml:space="preserve">We think Ericsson is right, what matters most is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xml:space="preserve">, a new field for the execution condition(s) set by the SN (e.g.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4" w:name="_Hlk71218247"/>
      <w:bookmarkStart w:id="165" w:name="_Toc71566828"/>
      <w:bookmarkStart w:id="166"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4"/>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 xml:space="preserve">to indicate that the execution condition refers to the SCG </w:t>
      </w:r>
      <w:proofErr w:type="spellStart"/>
      <w:r>
        <w:rPr>
          <w:rFonts w:ascii="Times New Roman" w:hAnsi="Times New Roman"/>
          <w:b/>
        </w:rPr>
        <w:t>MeasConfig</w:t>
      </w:r>
      <w:proofErr w:type="spellEnd"/>
      <w:r>
        <w:rPr>
          <w:rFonts w:ascii="Times New Roman" w:hAnsi="Times New Roman"/>
          <w:b/>
        </w:rPr>
        <w:t xml:space="preserve"> .</w:t>
      </w:r>
      <w:bookmarkEnd w:id="165"/>
    </w:p>
    <w:bookmarkEnd w:id="166"/>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2"/>
        <w:gridCol w:w="1689"/>
        <w:gridCol w:w="6440"/>
      </w:tblGrid>
      <w:tr w:rsidR="000557CA" w14:paraId="4C09FFF5" w14:textId="77777777">
        <w:tc>
          <w:tcPr>
            <w:tcW w:w="1548" w:type="dxa"/>
          </w:tcPr>
          <w:p w14:paraId="187182D4" w14:textId="77777777" w:rsidR="000557CA" w:rsidRDefault="00F41AFA">
            <w:r>
              <w:t>Company</w:t>
            </w:r>
          </w:p>
        </w:tc>
        <w:tc>
          <w:tcPr>
            <w:tcW w:w="1710" w:type="dxa"/>
          </w:tcPr>
          <w:p w14:paraId="55B4AFA5" w14:textId="77777777" w:rsidR="000557CA" w:rsidRDefault="00F41AFA">
            <w:r>
              <w:t xml:space="preserve"> Agree/Disagree</w:t>
            </w:r>
          </w:p>
        </w:tc>
        <w:tc>
          <w:tcPr>
            <w:tcW w:w="6599" w:type="dxa"/>
          </w:tcPr>
          <w:p w14:paraId="0FC3225D" w14:textId="77777777" w:rsidR="000557CA" w:rsidRDefault="00F41AFA">
            <w:r>
              <w:t>Comment</w:t>
            </w:r>
          </w:p>
        </w:tc>
      </w:tr>
      <w:tr w:rsidR="000557CA" w14:paraId="51E9642D" w14:textId="77777777">
        <w:tc>
          <w:tcPr>
            <w:tcW w:w="1548" w:type="dxa"/>
          </w:tcPr>
          <w:p w14:paraId="36AD405B" w14:textId="77777777" w:rsidR="000557CA" w:rsidRDefault="00F41AFA">
            <w:ins w:id="167" w:author="Icaro" w:date="2021-07-02T17:35:00Z">
              <w:r>
                <w:t>Ericsson</w:t>
              </w:r>
            </w:ins>
          </w:p>
        </w:tc>
        <w:tc>
          <w:tcPr>
            <w:tcW w:w="1710" w:type="dxa"/>
          </w:tcPr>
          <w:p w14:paraId="2F8AC18B" w14:textId="77777777" w:rsidR="000557CA" w:rsidRDefault="00F41AFA">
            <w:ins w:id="168" w:author="Icaro" w:date="2021-07-02T17:35:00Z">
              <w:r>
                <w:t>Agree</w:t>
              </w:r>
            </w:ins>
          </w:p>
        </w:tc>
        <w:tc>
          <w:tcPr>
            <w:tcW w:w="6599" w:type="dxa"/>
          </w:tcPr>
          <w:p w14:paraId="792FCD35" w14:textId="77777777" w:rsidR="000557CA" w:rsidRDefault="00F41AFA">
            <w:pPr>
              <w:rPr>
                <w:ins w:id="169" w:author="Icaro" w:date="2021-07-02T17:49:00Z"/>
              </w:rPr>
            </w:pPr>
            <w:ins w:id="170" w:author="Icaro" w:date="2021-07-02T17:49:00Z">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ins>
          </w:p>
          <w:p w14:paraId="39E050AE" w14:textId="77777777" w:rsidR="000557CA" w:rsidRDefault="00F41AFA">
            <w:pPr>
              <w:rPr>
                <w:ins w:id="171" w:author="Icaro" w:date="2021-07-02T17:49:00Z"/>
              </w:rPr>
            </w:pPr>
            <w:ins w:id="172" w:author="Icaro" w:date="2021-07-02T17:49:00Z">
              <w:r>
                <w:t>It could be something like that</w:t>
              </w:r>
            </w:ins>
            <w:ins w:id="173" w:author="Icaro" w:date="2021-07-02T17:50:00Z">
              <w:r>
                <w:t>, in case people prefer to hide this from the MN:</w:t>
              </w:r>
            </w:ins>
          </w:p>
          <w:p w14:paraId="6D8408BC" w14:textId="77777777" w:rsidR="000557CA" w:rsidRDefault="00F41AFA">
            <w:pPr>
              <w:pStyle w:val="NormalWeb"/>
              <w:shd w:val="clear" w:color="auto" w:fill="E6E6E6"/>
              <w:spacing w:before="0" w:beforeAutospacing="0" w:after="0" w:afterAutospacing="0"/>
              <w:jc w:val="both"/>
              <w:rPr>
                <w:ins w:id="174" w:author="Icaro" w:date="2021-07-02T17:49:00Z"/>
                <w:rFonts w:ascii="Segoe UI" w:hAnsi="Segoe UI" w:cs="Segoe UI"/>
                <w:color w:val="212529"/>
                <w:lang w:val="en-US"/>
              </w:rPr>
            </w:pPr>
            <w:ins w:id="175" w:author="Icaro" w:date="2021-07-02T17:49:00Z">
              <w:r>
                <w:rPr>
                  <w:rFonts w:ascii="Courier New" w:hAnsi="Courier New" w:cs="Courier New"/>
                  <w:color w:val="212529"/>
                  <w:sz w:val="16"/>
                  <w:szCs w:val="16"/>
                  <w:lang w:val="en-US"/>
                </w:rPr>
                <w:t>CondReconfigToAddModList-r</w:t>
              </w:r>
              <w:proofErr w:type="gramStart"/>
              <w:r>
                <w:rPr>
                  <w:rFonts w:ascii="Courier New" w:hAnsi="Courier New" w:cs="Courier New"/>
                  <w:color w:val="212529"/>
                  <w:sz w:val="16"/>
                  <w:szCs w:val="16"/>
                  <w:lang w:val="en-US"/>
                </w:rPr>
                <w:t>16 ::=</w:t>
              </w:r>
              <w:proofErr w:type="gramEnd"/>
              <w:r>
                <w:rPr>
                  <w:rFonts w:ascii="Courier New" w:hAnsi="Courier New" w:cs="Courier New"/>
                  <w:color w:val="212529"/>
                  <w:sz w:val="16"/>
                  <w:szCs w:val="16"/>
                  <w:lang w:val="en-US"/>
                </w:rPr>
                <w:t>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ins w:id="177" w:author="Icaro" w:date="2021-07-02T17:49:00Z"/>
                <w:rFonts w:ascii="Segoe UI" w:hAnsi="Segoe UI" w:cs="Segoe UI"/>
                <w:color w:val="212529"/>
                <w:lang w:val="pt-BR"/>
              </w:rPr>
            </w:pPr>
            <w:ins w:id="178"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Norm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 xml:space="preserve">condReconfigId-r16 </w:t>
              </w:r>
              <w:proofErr w:type="spellStart"/>
              <w:r>
                <w:rPr>
                  <w:rFonts w:ascii="Courier New" w:hAnsi="Courier New" w:cs="Courier New"/>
                  <w:color w:val="212529"/>
                  <w:sz w:val="16"/>
                  <w:szCs w:val="16"/>
                  <w:lang w:val="pt-BR"/>
                </w:rPr>
                <w:t>CondReconfigId-r16</w:t>
              </w:r>
              <w:proofErr w:type="spellEnd"/>
              <w:r>
                <w:rPr>
                  <w:rFonts w:ascii="Courier New" w:hAnsi="Courier New" w:cs="Courier New"/>
                  <w:color w:val="212529"/>
                  <w:sz w:val="16"/>
                  <w:szCs w:val="16"/>
                  <w:lang w:val="pt-BR"/>
                </w:rPr>
                <w:t>,</w:t>
              </w:r>
            </w:ins>
          </w:p>
          <w:p w14:paraId="6A991286" w14:textId="77777777" w:rsidR="000557CA" w:rsidRDefault="00F41AFA">
            <w:pPr>
              <w:pStyle w:val="NormalWeb"/>
              <w:shd w:val="clear" w:color="auto" w:fill="E6E6E6"/>
              <w:spacing w:before="0" w:beforeAutospacing="0" w:after="0" w:afterAutospacing="0"/>
              <w:jc w:val="both"/>
              <w:rPr>
                <w:ins w:id="181" w:author="Icaro" w:date="2021-07-02T17:49:00Z"/>
                <w:rFonts w:ascii="Segoe UI" w:hAnsi="Segoe UI" w:cs="Segoe UI"/>
                <w:color w:val="212529"/>
                <w:lang w:val="en-US"/>
              </w:rPr>
            </w:pPr>
            <w:ins w:id="182"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w:t>
              </w:r>
              <w:proofErr w:type="gramStart"/>
              <w:r>
                <w:rPr>
                  <w:rFonts w:ascii="Courier New" w:hAnsi="Courier New" w:cs="Courier New"/>
                  <w:color w:val="212529"/>
                  <w:sz w:val="16"/>
                  <w:szCs w:val="16"/>
                  <w:lang w:val="en-US"/>
                </w:rPr>
                <w:t>1..</w:t>
              </w:r>
              <w:proofErr w:type="gramEnd"/>
              <w:r>
                <w:rPr>
                  <w:rFonts w:ascii="Courier New" w:hAnsi="Courier New" w:cs="Courier New"/>
                  <w:color w:val="212529"/>
                  <w:sz w:val="16"/>
                  <w:szCs w:val="16"/>
                  <w:lang w:val="en-US"/>
                </w:rPr>
                <w:t>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ins w:id="184" w:author="Icaro" w:date="2021-07-02T17:49:00Z"/>
                <w:rFonts w:ascii="Segoe UI" w:hAnsi="Segoe UI" w:cs="Segoe UI"/>
                <w:color w:val="212529"/>
                <w:highlight w:val="yellow"/>
                <w:lang w:val="en-US"/>
              </w:rPr>
            </w:pPr>
            <w:ins w:id="185"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Norm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NormalWeb"/>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212529"/>
                  <w:sz w:val="16"/>
                  <w:szCs w:val="16"/>
                  <w:lang w:val="en-US"/>
                </w:rPr>
                <w:lastRenderedPageBreak/>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w:t>
              </w:r>
            </w:ins>
          </w:p>
          <w:p w14:paraId="73067AE4" w14:textId="77777777" w:rsidR="000557CA" w:rsidRDefault="00F41AFA">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5AA56DAB" w14:textId="77777777" w:rsidR="000557CA" w:rsidRDefault="000557CA">
            <w:pPr>
              <w:pStyle w:val="NormalWeb"/>
              <w:shd w:val="clear" w:color="auto" w:fill="E6E6E6"/>
              <w:spacing w:before="0" w:beforeAutospacing="0" w:after="0" w:afterAutospacing="0"/>
              <w:jc w:val="both"/>
              <w:rPr>
                <w:ins w:id="197" w:author="Icaro" w:date="2021-07-02T17:49:00Z"/>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FF0000"/>
                  <w:sz w:val="16"/>
                  <w:szCs w:val="16"/>
                  <w:u w:val="single"/>
                  <w:lang w:val="en-US"/>
                </w:rPr>
                <w:t>CondReconfigExecCond-r</w:t>
              </w:r>
              <w:proofErr w:type="gramStart"/>
              <w:r>
                <w:rPr>
                  <w:rFonts w:ascii="Courier New" w:hAnsi="Courier New" w:cs="Courier New"/>
                  <w:color w:val="FF0000"/>
                  <w:sz w:val="16"/>
                  <w:szCs w:val="16"/>
                  <w:u w:val="single"/>
                  <w:lang w:val="en-US"/>
                </w:rPr>
                <w:t>17 ::=</w:t>
              </w:r>
              <w:proofErr w:type="gramEnd"/>
              <w:r>
                <w:rPr>
                  <w:rFonts w:ascii="Courier New" w:hAnsi="Courier New" w:cs="Courier New"/>
                  <w:color w:val="FF0000"/>
                  <w:sz w:val="16"/>
                  <w:szCs w:val="16"/>
                  <w:u w:val="single"/>
                  <w:lang w:val="en-US"/>
                </w:rPr>
                <w:t xml:space="preserve">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ins w:id="201" w:author="Icaro" w:date="2021-07-02T17:49:00Z"/>
                <w:rFonts w:ascii="Segoe UI" w:hAnsi="Segoe UI" w:cs="Segoe UI"/>
                <w:color w:val="212529"/>
              </w:rPr>
            </w:pPr>
            <w:ins w:id="202"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Norm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tc>
          <w:tcPr>
            <w:tcW w:w="1548" w:type="dxa"/>
          </w:tcPr>
          <w:p w14:paraId="01B4EE24" w14:textId="77777777" w:rsidR="000557CA" w:rsidRDefault="00F41AFA">
            <w:r>
              <w:lastRenderedPageBreak/>
              <w:t>MediaTek</w:t>
            </w:r>
          </w:p>
        </w:tc>
        <w:tc>
          <w:tcPr>
            <w:tcW w:w="1710" w:type="dxa"/>
          </w:tcPr>
          <w:p w14:paraId="15207BC0" w14:textId="77777777" w:rsidR="000557CA" w:rsidRDefault="00F41AFA">
            <w:r>
              <w:t>Agree</w:t>
            </w:r>
          </w:p>
        </w:tc>
        <w:tc>
          <w:tcPr>
            <w:tcW w:w="6599"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tc>
          <w:tcPr>
            <w:tcW w:w="1548" w:type="dxa"/>
          </w:tcPr>
          <w:p w14:paraId="1DD8C9C7" w14:textId="77777777" w:rsidR="000557CA" w:rsidRDefault="00F41AFA">
            <w:r>
              <w:t>CATT</w:t>
            </w:r>
          </w:p>
        </w:tc>
        <w:tc>
          <w:tcPr>
            <w:tcW w:w="1710" w:type="dxa"/>
          </w:tcPr>
          <w:p w14:paraId="20C1A572" w14:textId="77777777" w:rsidR="000557CA" w:rsidRDefault="00F41AFA">
            <w:r>
              <w:t>Agree</w:t>
            </w:r>
          </w:p>
        </w:tc>
        <w:tc>
          <w:tcPr>
            <w:tcW w:w="6599"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tc>
          <w:tcPr>
            <w:tcW w:w="1548" w:type="dxa"/>
          </w:tcPr>
          <w:p w14:paraId="60DD61A2" w14:textId="77777777" w:rsidR="000557CA" w:rsidRDefault="00F41AFA">
            <w:pPr>
              <w:rPr>
                <w:lang w:val="en-US" w:eastAsia="zh-CN"/>
              </w:rPr>
            </w:pPr>
            <w:r>
              <w:rPr>
                <w:rFonts w:hint="eastAsia"/>
                <w:lang w:val="en-US" w:eastAsia="zh-CN"/>
              </w:rPr>
              <w:t>ZTE</w:t>
            </w:r>
          </w:p>
        </w:tc>
        <w:tc>
          <w:tcPr>
            <w:tcW w:w="1710" w:type="dxa"/>
          </w:tcPr>
          <w:p w14:paraId="27F75BE5" w14:textId="77777777" w:rsidR="000557CA" w:rsidRDefault="00F41AFA">
            <w:pPr>
              <w:rPr>
                <w:lang w:val="en-US" w:eastAsia="zh-CN"/>
              </w:rPr>
            </w:pPr>
            <w:r>
              <w:rPr>
                <w:rFonts w:hint="eastAsia"/>
                <w:lang w:val="en-US" w:eastAsia="zh-CN"/>
              </w:rPr>
              <w:t>Agree</w:t>
            </w:r>
          </w:p>
        </w:tc>
        <w:tc>
          <w:tcPr>
            <w:tcW w:w="6599"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(e.g. set by the MN or the SN) is referred to. And the new field can be defined as an octet string container considering the execution condition set by the source SN is transparent to the MN.</w:t>
            </w:r>
          </w:p>
        </w:tc>
      </w:tr>
      <w:tr w:rsidR="00735698" w14:paraId="6D8722DF" w14:textId="77777777">
        <w:tc>
          <w:tcPr>
            <w:tcW w:w="1548" w:type="dxa"/>
          </w:tcPr>
          <w:p w14:paraId="00986269" w14:textId="59BFC10C" w:rsidR="00735698" w:rsidRDefault="00735698">
            <w:pPr>
              <w:rPr>
                <w:rFonts w:hint="eastAsia"/>
                <w:lang w:val="en-US" w:eastAsia="zh-CN"/>
              </w:rPr>
            </w:pPr>
            <w:r>
              <w:rPr>
                <w:lang w:val="en-US" w:eastAsia="zh-CN"/>
              </w:rPr>
              <w:t>Nokia</w:t>
            </w:r>
          </w:p>
        </w:tc>
        <w:tc>
          <w:tcPr>
            <w:tcW w:w="1710" w:type="dxa"/>
          </w:tcPr>
          <w:p w14:paraId="71040306" w14:textId="4C4026BD" w:rsidR="00735698" w:rsidRDefault="00735698">
            <w:pPr>
              <w:rPr>
                <w:rFonts w:hint="eastAsia"/>
                <w:lang w:val="en-US" w:eastAsia="zh-CN"/>
              </w:rPr>
            </w:pPr>
            <w:r>
              <w:rPr>
                <w:lang w:val="en-US" w:eastAsia="zh-CN"/>
              </w:rPr>
              <w:t>Agree</w:t>
            </w:r>
          </w:p>
        </w:tc>
        <w:tc>
          <w:tcPr>
            <w:tcW w:w="6599" w:type="dxa"/>
          </w:tcPr>
          <w:p w14:paraId="41F4F5D1" w14:textId="6EDC0B9D" w:rsidR="00735698" w:rsidRDefault="00735698">
            <w:pPr>
              <w:rPr>
                <w:rFonts w:hint="eastAsia"/>
                <w:lang w:val="en-US" w:eastAsia="zh-CN"/>
              </w:rPr>
            </w:pPr>
            <w:r w:rsidRPr="00735698">
              <w:rPr>
                <w:lang w:val="en-US" w:eastAsia="zh-CN"/>
              </w:rPr>
              <w:t>We think it would be OK to insert such fields to differentiate between the measurement ID for MCG configuration and SCG configuration.</w:t>
            </w: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Heading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13</w:t>
      </w:r>
      <w:r>
        <w:rPr>
          <w:rFonts w:ascii="Arial" w:eastAsia="MS Mincho" w:hAnsi="Arial"/>
          <w:b/>
          <w:szCs w:val="24"/>
          <w:lang w:eastAsia="en-GB"/>
        </w:rPr>
        <w:tab/>
        <w:t xml:space="preserve">Cell level quality is used as baseline for CPAC execution </w:t>
      </w:r>
      <w:proofErr w:type="gramStart"/>
      <w:r>
        <w:rPr>
          <w:rFonts w:ascii="Arial" w:eastAsia="MS Mincho" w:hAnsi="Arial"/>
          <w:b/>
          <w:szCs w:val="24"/>
          <w:lang w:eastAsia="en-GB"/>
        </w:rPr>
        <w:t>condition;</w:t>
      </w:r>
      <w:proofErr w:type="gramEnd"/>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Pr>
          <w:rFonts w:ascii="Arial" w:eastAsia="MS Mincho" w:hAnsi="Arial"/>
          <w:b/>
          <w:szCs w:val="24"/>
          <w:lang w:eastAsia="en-GB"/>
        </w:rPr>
        <w:t>17  Multiple</w:t>
      </w:r>
      <w:proofErr w:type="gramEnd"/>
      <w:r>
        <w:rPr>
          <w:rFonts w:ascii="Arial" w:eastAsia="MS Mincho" w:hAnsi="Arial"/>
          <w:b/>
          <w:szCs w:val="24"/>
          <w:lang w:eastAsia="en-GB"/>
        </w:rPr>
        <w:t xml:space="preserv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w:t>
      </w:r>
      <w:r>
        <w:rPr>
          <w:rFonts w:ascii="Arial" w:eastAsia="MS Mincho" w:hAnsi="Arial"/>
          <w:b/>
          <w:szCs w:val="24"/>
          <w:lang w:eastAsia="en-GB"/>
        </w:rPr>
        <w:lastRenderedPageBreak/>
        <w:t xml:space="preserve">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i.e.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5" w:name="OLE_LINK3"/>
      <w:bookmarkStart w:id="206" w:name="OLE_LINK2"/>
      <w:r>
        <w:rPr>
          <w:rFonts w:ascii="Arial" w:eastAsia="MS Mincho" w:hAnsi="Arial"/>
          <w:b/>
          <w:szCs w:val="24"/>
          <w:lang w:eastAsia="en-GB"/>
        </w:rPr>
        <w:t xml:space="preserve">FFS whether MN needs to comprehend the execution condition set by the source SN. </w:t>
      </w:r>
      <w:bookmarkEnd w:id="205"/>
      <w:bookmarkEnd w:id="206"/>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S-SN can </w:t>
      </w:r>
      <w:proofErr w:type="gramStart"/>
      <w:r>
        <w:rPr>
          <w:rFonts w:ascii="Arial" w:eastAsia="MS Mincho" w:hAnsi="Arial"/>
          <w:b/>
          <w:szCs w:val="24"/>
          <w:lang w:eastAsia="en-GB"/>
        </w:rPr>
        <w:t>provide also</w:t>
      </w:r>
      <w:proofErr w:type="gramEnd"/>
      <w:r>
        <w:rPr>
          <w:rFonts w:ascii="Arial" w:eastAsia="MS Mincho" w:hAnsi="Arial"/>
          <w:b/>
          <w:szCs w:val="24"/>
          <w:lang w:eastAsia="en-GB"/>
        </w:rPr>
        <w:t xml:space="preserve">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Nokia" w:date="2021-07-27T17:07:00Z" w:initials="Nokia">
    <w:p w14:paraId="7959B30B" w14:textId="6EF59D38" w:rsidR="002327E9" w:rsidRDefault="002327E9">
      <w:pPr>
        <w:pStyle w:val="CommentText"/>
      </w:pPr>
      <w:r>
        <w:rPr>
          <w:rStyle w:val="CommentReference"/>
        </w:rPr>
        <w:annotationRef/>
      </w:r>
      <w:r>
        <w:t>These are not agreements, but working assumption</w:t>
      </w:r>
      <w:r w:rsidR="00E614B4">
        <w:t>s</w:t>
      </w:r>
      <w:r>
        <w:t>. Let’s be precise.</w:t>
      </w:r>
    </w:p>
  </w:comment>
  <w:comment w:id="94" w:author="Icaro" w:date="2021-07-21T11:44:00Z" w:initials="">
    <w:p w14:paraId="235A3159" w14:textId="77777777" w:rsidR="00F41AFA" w:rsidRDefault="00F41AFA">
      <w:pPr>
        <w:pStyle w:val="CommentText"/>
        <w:rPr>
          <w:rStyle w:val="CommentReference"/>
        </w:rPr>
      </w:pPr>
      <w:r>
        <w:rPr>
          <w:rStyle w:val="CommentReference"/>
        </w:rPr>
        <w:t xml:space="preserve">Have we explicitly agreed the stage-2 signalling option with various complications alternatives/options that will create lot of RAN3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F41AFA" w:rsidRDefault="00F41AFA">
      <w:pPr>
        <w:pStyle w:val="CommentText"/>
      </w:pPr>
      <w:r>
        <w:rPr>
          <w:rStyle w:val="CommentReference"/>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F41AFA" w:rsidRDefault="00F41AFA">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59B30B" w15:done="0"/>
  <w15:commentEx w15:paraId="5F46263F" w15:done="0"/>
  <w15:commentEx w15:paraId="79A84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9FC3" w14:textId="77777777" w:rsidR="0029714B" w:rsidRDefault="0029714B" w:rsidP="00344372">
      <w:pPr>
        <w:spacing w:after="0" w:line="240" w:lineRule="auto"/>
      </w:pPr>
      <w:r>
        <w:separator/>
      </w:r>
    </w:p>
  </w:endnote>
  <w:endnote w:type="continuationSeparator" w:id="0">
    <w:p w14:paraId="308CC226" w14:textId="77777777" w:rsidR="0029714B" w:rsidRDefault="0029714B"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12714" w14:textId="77777777" w:rsidR="0029714B" w:rsidRDefault="0029714B" w:rsidP="00344372">
      <w:pPr>
        <w:spacing w:after="0" w:line="240" w:lineRule="auto"/>
      </w:pPr>
      <w:r>
        <w:separator/>
      </w:r>
    </w:p>
  </w:footnote>
  <w:footnote w:type="continuationSeparator" w:id="0">
    <w:p w14:paraId="599856A7" w14:textId="77777777" w:rsidR="0029714B" w:rsidRDefault="0029714B"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aro">
    <w15:presenceInfo w15:providerId="None" w15:userId="Icaro"/>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F00B09"/>
    <w:rsid w:val="00F025A2"/>
    <w:rsid w:val="00F036E9"/>
    <w:rsid w:val="00F05456"/>
    <w:rsid w:val="00F05CB3"/>
    <w:rsid w:val="00F06281"/>
    <w:rsid w:val="00F07388"/>
    <w:rsid w:val="00F079E8"/>
    <w:rsid w:val="00F10AB7"/>
    <w:rsid w:val="00F11426"/>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C11B2"/>
  <w15:docId w15:val="{A5BCD709-4D34-4DD8-A824-D275B80E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DFE6D72-0206-48A1-8DF7-374E1E03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7837</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8</cp:revision>
  <dcterms:created xsi:type="dcterms:W3CDTF">2021-07-27T14:30:00Z</dcterms:created>
  <dcterms:modified xsi:type="dcterms:W3CDTF">2021-07-27T15:35:00Z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