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proofErr w:type="spellStart"/>
      <w:r w:rsidR="00311702" w:rsidRPr="00141F54">
        <w:rPr>
          <w:sz w:val="22"/>
          <w:szCs w:val="22"/>
        </w:rPr>
        <w:t>x.x.x.x</w:t>
      </w:r>
      <w:proofErr w:type="spellEnd"/>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Post114-e</w:t>
      </w:r>
      <w:proofErr w:type="gramStart"/>
      <w:r w:rsidR="00E671BE" w:rsidRPr="00141F54">
        <w:rPr>
          <w:sz w:val="22"/>
          <w:szCs w:val="22"/>
        </w:rPr>
        <w:t>][</w:t>
      </w:r>
      <w:proofErr w:type="gramEnd"/>
      <w:r w:rsidR="00E671BE" w:rsidRPr="00141F54">
        <w:rPr>
          <w:sz w:val="22"/>
          <w:szCs w:val="22"/>
        </w:rPr>
        <w:t xml:space="preserv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4149BB1F" w:rsidR="001555E8"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7A799A">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7A799A">
        <w:tc>
          <w:tcPr>
            <w:tcW w:w="1838" w:type="dxa"/>
          </w:tcPr>
          <w:p w14:paraId="3A5030B8" w14:textId="114D4D62" w:rsidR="001555E8" w:rsidRPr="00832FCE" w:rsidRDefault="009E0A6E" w:rsidP="007A799A">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7A799A">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7A799A">
        <w:tc>
          <w:tcPr>
            <w:tcW w:w="1838" w:type="dxa"/>
          </w:tcPr>
          <w:p w14:paraId="78F14B16" w14:textId="5C20704C" w:rsidR="001555E8" w:rsidRPr="00F37EDA" w:rsidRDefault="00F37EDA"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BDA8712" w14:textId="39962D39" w:rsidR="001555E8" w:rsidRPr="00F37EDA" w:rsidRDefault="00F37EDA" w:rsidP="007A799A">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asato Kitazoe (mkitazoe@qti.qualcomm.com)</w:t>
            </w:r>
          </w:p>
        </w:tc>
      </w:tr>
      <w:tr w:rsidR="007E20B5" w:rsidRPr="00832FCE" w14:paraId="4E72CB4C" w14:textId="77777777" w:rsidTr="007A799A">
        <w:tc>
          <w:tcPr>
            <w:tcW w:w="1838" w:type="dxa"/>
          </w:tcPr>
          <w:p w14:paraId="705D0124" w14:textId="07E7F66A"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3B01C86D" w14:textId="68E4F747" w:rsidR="007E20B5" w:rsidRPr="00832FCE" w:rsidRDefault="007E20B5" w:rsidP="007E20B5">
            <w:pPr>
              <w:rPr>
                <w:rFonts w:ascii="Arial" w:hAnsi="Arial" w:cs="Arial"/>
                <w:sz w:val="20"/>
                <w:szCs w:val="20"/>
              </w:rPr>
            </w:pPr>
            <w:r>
              <w:rPr>
                <w:rFonts w:ascii="Arial" w:hAnsi="Arial" w:cs="Arial"/>
                <w:sz w:val="20"/>
                <w:szCs w:val="20"/>
              </w:rPr>
              <w:t>Felix Tsai (chun-fan.tsai@mediatek.com)</w:t>
            </w:r>
          </w:p>
        </w:tc>
      </w:tr>
      <w:tr w:rsidR="007E20B5" w:rsidRPr="00832FCE" w14:paraId="51C02FF0" w14:textId="77777777" w:rsidTr="007A799A">
        <w:tc>
          <w:tcPr>
            <w:tcW w:w="1838" w:type="dxa"/>
          </w:tcPr>
          <w:p w14:paraId="24EE0A50" w14:textId="77777777" w:rsidR="007E20B5" w:rsidRPr="00832FCE" w:rsidRDefault="007E20B5" w:rsidP="007E20B5">
            <w:pPr>
              <w:rPr>
                <w:rFonts w:ascii="Arial" w:hAnsi="Arial" w:cs="Arial"/>
                <w:sz w:val="20"/>
                <w:szCs w:val="20"/>
              </w:rPr>
            </w:pPr>
          </w:p>
        </w:tc>
        <w:tc>
          <w:tcPr>
            <w:tcW w:w="7791" w:type="dxa"/>
          </w:tcPr>
          <w:p w14:paraId="5B0E6186" w14:textId="77777777" w:rsidR="007E20B5" w:rsidRPr="00832FCE" w:rsidRDefault="007E20B5" w:rsidP="007E20B5">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750499"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750499"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lastRenderedPageBreak/>
        <w:t>-</w:t>
      </w:r>
      <w:r>
        <w:tab/>
        <w:t xml:space="preserve">Ericsson wonder for the HO scenario this would apply, and for this case SI is </w:t>
      </w:r>
      <w:proofErr w:type="spellStart"/>
      <w:r>
        <w:t>assued</w:t>
      </w:r>
      <w:proofErr w:type="spellEnd"/>
      <w:r>
        <w:t xml:space="preserve">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signalling common we need </w:t>
      </w:r>
      <w:proofErr w:type="spellStart"/>
      <w:r>
        <w:t>Need</w:t>
      </w:r>
      <w:proofErr w:type="spellEnd"/>
      <w:r>
        <w:t xml:space="preserve"> R. Has there been issues. QC think that for </w:t>
      </w:r>
      <w:proofErr w:type="spellStart"/>
      <w:r>
        <w:t>servingcellconfigcommonSIB</w:t>
      </w:r>
      <w:proofErr w:type="spellEnd"/>
      <w:r>
        <w:t xml:space="preserve"> this may be the case but not for </w:t>
      </w:r>
      <w:proofErr w:type="spellStart"/>
      <w:r>
        <w:t>servingcellconfigcommon</w:t>
      </w:r>
      <w:proofErr w:type="spellEnd"/>
      <w:r>
        <w:t xml:space="preserve">. </w:t>
      </w:r>
    </w:p>
    <w:p w14:paraId="7CB80C4C" w14:textId="77777777" w:rsidR="00182C5B" w:rsidRDefault="00182C5B" w:rsidP="00182C5B">
      <w:pPr>
        <w:pStyle w:val="Doc-text2"/>
      </w:pPr>
      <w:r>
        <w:t>-</w:t>
      </w:r>
      <w:r>
        <w:tab/>
        <w:t xml:space="preserve">Huawei think that delta signalling for </w:t>
      </w:r>
      <w:proofErr w:type="spellStart"/>
      <w:r>
        <w:t>servingcellconfigcommon</w:t>
      </w:r>
      <w:proofErr w:type="spellEnd"/>
      <w:r>
        <w:t xml:space="preserve"> is not assumed as the configuration is soon overridden by </w:t>
      </w:r>
      <w:proofErr w:type="spellStart"/>
      <w:r>
        <w:t>servingcellconfigcommonSIB</w:t>
      </w:r>
      <w:proofErr w:type="spellEnd"/>
      <w:r>
        <w:t xml:space="preserve">. QC think that there is a time when </w:t>
      </w:r>
      <w:proofErr w:type="spellStart"/>
      <w:r>
        <w:t>servingcellconfigcommon</w:t>
      </w:r>
      <w:proofErr w:type="spellEnd"/>
      <w:r>
        <w:t xml:space="preserve"> is </w:t>
      </w:r>
      <w:proofErr w:type="spellStart"/>
      <w:r>
        <w:t>appled</w:t>
      </w:r>
      <w:proofErr w:type="spellEnd"/>
      <w:r>
        <w:t xml:space="preserve">.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750499"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750499"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w:t>
      </w:r>
      <w:proofErr w:type="spellStart"/>
      <w:r>
        <w:t>neded</w:t>
      </w:r>
      <w:proofErr w:type="spellEnd"/>
      <w:r>
        <w:t xml:space="preserve">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 xml:space="preserve">Intel think that if companies want to </w:t>
      </w:r>
      <w:proofErr w:type="spellStart"/>
      <w:r>
        <w:t>anayse</w:t>
      </w:r>
      <w:proofErr w:type="spellEnd"/>
      <w:r>
        <w:t xml:space="preserv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750499"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 xml:space="preserve">It is not clear if common configuration included in dedicated signaling should contain all the relevant parameters </w:t>
      </w:r>
      <w:proofErr w:type="spellStart"/>
      <w:r w:rsidRPr="00FA420A">
        <w:rPr>
          <w:b/>
          <w:bCs/>
        </w:rPr>
        <w:t>signaled</w:t>
      </w:r>
      <w:proofErr w:type="spellEnd"/>
      <w:r w:rsidRPr="00FA420A">
        <w:rPr>
          <w:b/>
          <w:bCs/>
        </w:rPr>
        <w:t xml:space="preserve">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 xml:space="preserve">RAN2 to confirm that any extensions included in the initial BWP configuration included in </w:t>
      </w:r>
      <w:proofErr w:type="spellStart"/>
      <w:r w:rsidRPr="00FA420A">
        <w:rPr>
          <w:b/>
          <w:bCs/>
        </w:rPr>
        <w:t>ServingCellConfigCommon</w:t>
      </w:r>
      <w:proofErr w:type="spellEnd"/>
      <w:r w:rsidRPr="00FA420A">
        <w:rPr>
          <w:b/>
          <w:bCs/>
        </w:rPr>
        <w:t xml:space="preserve"> should match MIB and SIB1 (implying that a UE should successfully decode the initial BWP configuration included in </w:t>
      </w:r>
      <w:proofErr w:type="spellStart"/>
      <w:r w:rsidRPr="00FA420A">
        <w:rPr>
          <w:b/>
          <w:bCs/>
        </w:rPr>
        <w:t>ServingCellConfigCommon</w:t>
      </w:r>
      <w:proofErr w:type="spellEnd"/>
      <w:r w:rsidRPr="00FA420A">
        <w:rPr>
          <w:b/>
          <w:bCs/>
        </w:rPr>
        <w:t>).</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 xml:space="preserve">RAN2 to discuss whether extensions to the common IEs included in the dedicated BWP configuration in </w:t>
      </w:r>
      <w:proofErr w:type="spellStart"/>
      <w:r w:rsidRPr="00FA420A">
        <w:rPr>
          <w:b/>
          <w:bCs/>
        </w:rPr>
        <w:t>ServingCellConfig</w:t>
      </w:r>
      <w:proofErr w:type="spellEnd"/>
      <w:r w:rsidRPr="00FA420A">
        <w:rPr>
          <w:b/>
          <w:bCs/>
        </w:rPr>
        <w:t xml:space="preserve">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 xml:space="preserve">If RAN2 concludes the network adapts extensions to the common IEs included in the dedicated BWP configuration in </w:t>
      </w:r>
      <w:proofErr w:type="spellStart"/>
      <w:r w:rsidRPr="00FA420A">
        <w:rPr>
          <w:b/>
          <w:bCs/>
        </w:rPr>
        <w:t>ServingCellConfig</w:t>
      </w:r>
      <w:proofErr w:type="spellEnd"/>
      <w:r w:rsidRPr="00FA420A">
        <w:rPr>
          <w:b/>
          <w:bCs/>
        </w:rPr>
        <w:t xml:space="preserve"> according to the UE capabilities, then discuss what to do with common IEs currently lacking UE capabilities.</w:t>
      </w:r>
    </w:p>
    <w:p w14:paraId="756D905A" w14:textId="6784DCAB" w:rsidR="00C33936" w:rsidRDefault="00750499"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 xml:space="preserve">According to TS38.331, the UE does not distinguish between dedicated configuration and common configuration in checking if the UE is able to comply with the configuration included in the </w:t>
      </w:r>
      <w:proofErr w:type="spellStart"/>
      <w:r w:rsidRPr="00C33936">
        <w:rPr>
          <w:b/>
          <w:bCs/>
        </w:rPr>
        <w:t>RRCReconfiguration</w:t>
      </w:r>
      <w:proofErr w:type="spellEnd"/>
      <w:r w:rsidRPr="00C33936">
        <w:rPr>
          <w:b/>
          <w:bCs/>
        </w:rPr>
        <w:t xml:space="preserve">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750499"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proofErr w:type="spellStart"/>
      <w:r w:rsidRPr="0055107A">
        <w:rPr>
          <w:b/>
          <w:bCs/>
        </w:rPr>
        <w:t>ServingCellConfigCommon</w:t>
      </w:r>
      <w:proofErr w:type="spellEnd"/>
      <w:r w:rsidRPr="0055107A">
        <w:rPr>
          <w:b/>
          <w:bCs/>
        </w:rPr>
        <w:t>, except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rateMatchPatternToAddModList</w:t>
      </w:r>
      <w:proofErr w:type="spellEnd"/>
      <w:r w:rsidRPr="0055107A">
        <w:rPr>
          <w:b/>
          <w:bCs/>
        </w:rPr>
        <w: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w:t>
      </w:r>
      <w:r w:rsidRPr="0055107A">
        <w:rPr>
          <w:rFonts w:hint="eastAsia"/>
          <w:b/>
          <w:bCs/>
        </w:rPr>
        <w:t>t</w:t>
      </w:r>
      <w:proofErr w:type="spellEnd"/>
      <w:r w:rsidRPr="0055107A">
        <w:rPr>
          <w:rFonts w:hint="eastAsia"/>
          <w:b/>
          <w:bCs/>
        </w:rPr>
        <w:t xml:space="preserve">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b/>
          <w:bCs/>
        </w:rPr>
        <w:t>/</w:t>
      </w:r>
      <w:proofErr w:type="spellStart"/>
      <w:r w:rsidRPr="0055107A">
        <w:rPr>
          <w:b/>
          <w:bCs/>
        </w:rPr>
        <w:t>rateMatchPatternToAddModList</w:t>
      </w:r>
      <w:proofErr w:type="spellEnd"/>
      <w:r>
        <w:rPr>
          <w:b/>
          <w:bCs/>
        </w:rPr>
        <w:t xml:space="preserve"> configuration in the </w:t>
      </w:r>
      <w:proofErr w:type="spellStart"/>
      <w:r w:rsidRPr="0055107A">
        <w:rPr>
          <w:b/>
          <w:bCs/>
        </w:rPr>
        <w:t>ServingCellConfigCommon</w:t>
      </w:r>
      <w:proofErr w:type="spellEnd"/>
      <w:r>
        <w:rPr>
          <w:b/>
          <w:bCs/>
        </w:rPr>
        <w:t>, no need to match the UE capability (i.e.</w:t>
      </w:r>
      <w:r>
        <w:rPr>
          <w:rFonts w:hint="eastAsia"/>
          <w:b/>
          <w:bCs/>
        </w:rPr>
        <w:t xml:space="preserve"> </w:t>
      </w:r>
      <w:proofErr w:type="spellStart"/>
      <w:r w:rsidRPr="0055107A">
        <w:rPr>
          <w:b/>
          <w:bCs/>
        </w:rPr>
        <w:t>rateMatchingLTE</w:t>
      </w:r>
      <w:proofErr w:type="spellEnd"/>
      <w:r w:rsidRPr="0055107A">
        <w:rPr>
          <w:b/>
          <w:bCs/>
        </w:rPr>
        <w:t>-CRS /</w:t>
      </w:r>
      <w:proofErr w:type="spellStart"/>
      <w:r w:rsidRPr="0055107A">
        <w:rPr>
          <w:b/>
          <w:bCs/>
        </w:rPr>
        <w:t>rateMatchingResrcSetSemi</w:t>
      </w:r>
      <w:proofErr w:type="spellEnd"/>
      <w:r w:rsidRPr="0055107A">
        <w:rPr>
          <w:b/>
          <w:bCs/>
        </w:rPr>
        <w:t>-Static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w:t>
      </w:r>
      <w:proofErr w:type="spellStart"/>
      <w:r>
        <w:rPr>
          <w:b/>
          <w:bCs/>
        </w:rPr>
        <w:t>e.g.</w:t>
      </w:r>
      <w:r w:rsidRPr="0055107A">
        <w:rPr>
          <w:b/>
          <w:bCs/>
        </w:rPr>
        <w:t>controlResourceSetZero</w:t>
      </w:r>
      <w:proofErr w:type="spellEnd"/>
      <w:r>
        <w:rPr>
          <w:b/>
          <w:bCs/>
        </w:rPr>
        <w:t>   and </w:t>
      </w:r>
      <w:proofErr w:type="spellStart"/>
      <w:r w:rsidRPr="0055107A">
        <w:rPr>
          <w:b/>
          <w:bCs/>
        </w:rPr>
        <w:t>searchSpaceZero</w:t>
      </w:r>
      <w:proofErr w:type="spellEnd"/>
      <w:proofErr w:type="gramStart"/>
      <w:r>
        <w:rPr>
          <w:b/>
          <w:bCs/>
        </w:rPr>
        <w:t>  in</w:t>
      </w:r>
      <w:proofErr w:type="gramEnd"/>
      <w:r>
        <w:rPr>
          <w:b/>
          <w:bCs/>
        </w:rPr>
        <w:t xml:space="preserve"> the </w:t>
      </w:r>
      <w:proofErr w:type="spellStart"/>
      <w:r w:rsidRPr="0055107A">
        <w:rPr>
          <w:b/>
          <w:bCs/>
        </w:rPr>
        <w:t>downlinkConfigCommon</w:t>
      </w:r>
      <w:proofErr w:type="spellEnd"/>
      <w:r>
        <w:rPr>
          <w:b/>
          <w:bCs/>
        </w:rPr>
        <w:t>,  which can be  configured in </w:t>
      </w:r>
      <w:proofErr w:type="spellStart"/>
      <w:r w:rsidRPr="0055107A">
        <w:rPr>
          <w:b/>
          <w:bCs/>
        </w:rPr>
        <w:t>ServingCellConfigCommon</w:t>
      </w:r>
      <w:proofErr w:type="spellEnd"/>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 xml:space="preserve">Contents of </w:t>
      </w:r>
      <w:proofErr w:type="spellStart"/>
      <w:r>
        <w:t>RRCReconfiguration</w:t>
      </w:r>
      <w:proofErr w:type="spellEnd"/>
      <w:r>
        <w:t xml:space="preserve"> – This is about which fields to include in </w:t>
      </w:r>
      <w:proofErr w:type="spellStart"/>
      <w:r>
        <w:t>RRCReconfiguration</w:t>
      </w:r>
      <w:proofErr w:type="spellEnd"/>
      <w:r>
        <w:t xml:space="preserve">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lastRenderedPageBreak/>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37BAC24A" w14:textId="741E2729"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7E20B5" w:rsidRPr="00832FCE" w14:paraId="38A0EDDE" w14:textId="77777777" w:rsidTr="00832FCE">
        <w:tc>
          <w:tcPr>
            <w:tcW w:w="1838" w:type="dxa"/>
          </w:tcPr>
          <w:p w14:paraId="5D5D91A9" w14:textId="7496DD77"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5ABB04BB" w14:textId="77777777" w:rsidR="007E20B5" w:rsidRDefault="007E20B5" w:rsidP="007E20B5">
            <w:pPr>
              <w:rPr>
                <w:rFonts w:ascii="Arial" w:hAnsi="Arial" w:cs="Arial"/>
                <w:sz w:val="20"/>
                <w:szCs w:val="20"/>
              </w:rPr>
            </w:pPr>
            <w:r>
              <w:rPr>
                <w:rFonts w:ascii="Arial" w:hAnsi="Arial" w:cs="Arial"/>
                <w:sz w:val="20"/>
                <w:szCs w:val="20"/>
              </w:rPr>
              <w:t>Agree the priciple of consistent.</w:t>
            </w:r>
          </w:p>
          <w:p w14:paraId="69A9F821" w14:textId="53B1665B" w:rsidR="007E20B5" w:rsidRPr="00832FCE" w:rsidRDefault="007E20B5" w:rsidP="007E20B5">
            <w:pPr>
              <w:rPr>
                <w:rFonts w:ascii="Arial" w:hAnsi="Arial" w:cs="Arial"/>
                <w:sz w:val="20"/>
                <w:szCs w:val="20"/>
              </w:rPr>
            </w:pPr>
            <w:r>
              <w:rPr>
                <w:rFonts w:ascii="Arial" w:hAnsi="Arial" w:cs="Arial"/>
                <w:sz w:val="20"/>
                <w:szCs w:val="20"/>
              </w:rPr>
              <w:t xml:space="preserve">Note that some paramters only exist in </w:t>
            </w:r>
            <w:r w:rsidRPr="00883723">
              <w:rPr>
                <w:rFonts w:ascii="Arial" w:hAnsi="Arial" w:cs="Arial"/>
                <w:i/>
                <w:sz w:val="20"/>
                <w:szCs w:val="20"/>
              </w:rPr>
              <w:t>ServingCellConfigCommonSIB</w:t>
            </w:r>
            <w:r>
              <w:rPr>
                <w:rFonts w:ascii="Arial" w:hAnsi="Arial" w:cs="Arial"/>
                <w:sz w:val="20"/>
                <w:szCs w:val="20"/>
              </w:rPr>
              <w:t xml:space="preserve"> of SIB1 (e.g. PCCH and BCCH configuration), the UE sitll has to read SIB1 after handover.</w:t>
            </w:r>
          </w:p>
        </w:tc>
      </w:tr>
      <w:tr w:rsidR="007E20B5" w:rsidRPr="00832FCE" w14:paraId="14FD49EA" w14:textId="77777777" w:rsidTr="00832FCE">
        <w:tc>
          <w:tcPr>
            <w:tcW w:w="1838" w:type="dxa"/>
          </w:tcPr>
          <w:p w14:paraId="10D23C5C" w14:textId="77777777" w:rsidR="007E20B5" w:rsidRPr="00832FCE" w:rsidRDefault="007E20B5" w:rsidP="007E20B5">
            <w:pPr>
              <w:rPr>
                <w:rFonts w:ascii="Arial" w:hAnsi="Arial" w:cs="Arial"/>
                <w:sz w:val="20"/>
                <w:szCs w:val="20"/>
              </w:rPr>
            </w:pPr>
          </w:p>
        </w:tc>
        <w:tc>
          <w:tcPr>
            <w:tcW w:w="7791" w:type="dxa"/>
          </w:tcPr>
          <w:p w14:paraId="6C625FAC" w14:textId="77777777" w:rsidR="007E20B5" w:rsidRPr="00832FCE" w:rsidRDefault="007E20B5" w:rsidP="007E20B5">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w:t>
      </w:r>
      <w:proofErr w:type="spellStart"/>
      <w:r>
        <w:t>RRCReconfiguration</w:t>
      </w:r>
      <w:proofErr w:type="spellEnd"/>
      <w:r>
        <w:t xml:space="preserve">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w:t>
      </w:r>
      <w:proofErr w:type="spellStart"/>
      <w:r>
        <w:t>RRCReconfiguration</w:t>
      </w:r>
      <w:proofErr w:type="spellEnd"/>
      <w:r>
        <w:t xml:space="preserve"> </w:t>
      </w:r>
      <w:r w:rsidR="00AF7724">
        <w:t xml:space="preserve">message </w:t>
      </w:r>
      <w:r>
        <w:t xml:space="preserve">shall be in accordance with the UE capabilities applies also to the </w:t>
      </w:r>
      <w:proofErr w:type="spellStart"/>
      <w:r>
        <w:t>xxxCommon</w:t>
      </w:r>
      <w:proofErr w:type="spellEnd"/>
      <w:r>
        <w:t xml:space="preserve">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5A6CF422"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7A799A">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7A799A">
        <w:tc>
          <w:tcPr>
            <w:tcW w:w="1838" w:type="dxa"/>
          </w:tcPr>
          <w:p w14:paraId="5A8B334A" w14:textId="0A01E26F" w:rsidR="00414CF9"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7A799A">
        <w:tc>
          <w:tcPr>
            <w:tcW w:w="1838" w:type="dxa"/>
          </w:tcPr>
          <w:p w14:paraId="57E27CE8" w14:textId="78FBDD91" w:rsidR="00414CF9" w:rsidRPr="00F37EDA" w:rsidRDefault="00F37EDA"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18D14646" w14:textId="3D034FEA" w:rsidR="00414CF9" w:rsidRDefault="00F37EDA" w:rsidP="007A799A">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gree. </w:t>
            </w:r>
            <w:r w:rsidR="00CA062F">
              <w:rPr>
                <w:rFonts w:ascii="Arial" w:eastAsia="Yu Mincho" w:hAnsi="Arial" w:cs="Arial"/>
                <w:sz w:val="20"/>
                <w:szCs w:val="20"/>
              </w:rPr>
              <w:t xml:space="preserve">We understand this has been the principle. </w:t>
            </w:r>
            <w:r>
              <w:rPr>
                <w:rFonts w:ascii="Arial" w:eastAsia="Yu Mincho" w:hAnsi="Arial" w:cs="Arial"/>
                <w:sz w:val="20"/>
                <w:szCs w:val="20"/>
              </w:rPr>
              <w:t xml:space="preserve">There is </w:t>
            </w:r>
            <w:r w:rsidR="006C519E">
              <w:rPr>
                <w:rFonts w:ascii="Arial" w:eastAsia="Yu Mincho" w:hAnsi="Arial" w:cs="Arial"/>
                <w:sz w:val="20"/>
                <w:szCs w:val="20"/>
              </w:rPr>
              <w:t>one</w:t>
            </w:r>
            <w:r>
              <w:rPr>
                <w:rFonts w:ascii="Arial" w:eastAsia="Yu Mincho" w:hAnsi="Arial" w:cs="Arial"/>
                <w:sz w:val="20"/>
                <w:szCs w:val="20"/>
              </w:rPr>
              <w:t xml:space="preserve"> example this was confirmed by RAN2 as follows.</w:t>
            </w:r>
          </w:p>
          <w:p w14:paraId="4A2489B3" w14:textId="64651E8A" w:rsidR="00CA062F" w:rsidRPr="00CA062F"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104: UEs indicating the support via the existing IOT bit </w:t>
            </w:r>
            <w:r>
              <w:rPr>
                <w:rFonts w:ascii="Arial" w:eastAsia="Yu Mincho" w:hAnsi="Arial" w:cs="Arial"/>
                <w:sz w:val="20"/>
                <w:szCs w:val="20"/>
              </w:rPr>
              <w:t>(</w:t>
            </w:r>
            <w:r w:rsidRPr="00CA062F">
              <w:rPr>
                <w:rFonts w:ascii="Arial" w:eastAsia="Yu Mincho" w:hAnsi="Arial" w:cs="Arial"/>
                <w:sz w:val="20"/>
                <w:szCs w:val="20"/>
              </w:rPr>
              <w:t>rateMatchingLTE-CRS</w:t>
            </w:r>
            <w:r>
              <w:rPr>
                <w:rFonts w:ascii="Arial" w:eastAsia="Yu Mincho" w:hAnsi="Arial" w:cs="Arial"/>
                <w:sz w:val="20"/>
                <w:szCs w:val="20"/>
              </w:rPr>
              <w:t xml:space="preserve">) </w:t>
            </w:r>
            <w:r w:rsidRPr="00CA062F">
              <w:rPr>
                <w:rFonts w:ascii="Arial" w:eastAsia="Yu Mincho" w:hAnsi="Arial" w:cs="Arial"/>
                <w:sz w:val="20"/>
                <w:szCs w:val="20"/>
              </w:rPr>
              <w:t xml:space="preserve">will support the reception of the </w:t>
            </w:r>
            <w:r>
              <w:rPr>
                <w:rFonts w:ascii="Arial" w:eastAsia="Yu Mincho" w:hAnsi="Arial" w:cs="Arial"/>
                <w:sz w:val="20"/>
                <w:szCs w:val="20"/>
              </w:rPr>
              <w:t xml:space="preserve">correponding </w:t>
            </w:r>
            <w:r w:rsidRPr="00CA062F">
              <w:rPr>
                <w:rFonts w:ascii="Arial" w:eastAsia="Yu Mincho" w:hAnsi="Arial" w:cs="Arial"/>
                <w:sz w:val="20"/>
                <w:szCs w:val="20"/>
              </w:rPr>
              <w:t>parameters in ServingCellConfig</w:t>
            </w:r>
            <w:r>
              <w:rPr>
                <w:rFonts w:ascii="Arial" w:eastAsia="Yu Mincho" w:hAnsi="Arial" w:cs="Arial"/>
                <w:sz w:val="20"/>
                <w:szCs w:val="20"/>
              </w:rPr>
              <w:t>.</w:t>
            </w:r>
          </w:p>
          <w:p w14:paraId="26DEADA5" w14:textId="138A2E0D" w:rsidR="00F37EDA" w:rsidRPr="00F37EDA"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Yu Mincho" w:hAnsi="Arial" w:cs="Arial"/>
                <w:sz w:val="20"/>
                <w:szCs w:val="20"/>
                <w:u w:val="single"/>
              </w:rPr>
              <w:t>the UE behaviour is not specified</w:t>
            </w:r>
            <w:r w:rsidRPr="00CA062F">
              <w:rPr>
                <w:rFonts w:ascii="Arial" w:eastAsia="Yu Mincho" w:hAnsi="Arial" w:cs="Arial"/>
                <w:sz w:val="20"/>
                <w:szCs w:val="20"/>
              </w:rPr>
              <w:t>.</w:t>
            </w:r>
          </w:p>
        </w:tc>
      </w:tr>
      <w:tr w:rsidR="00D15B6D" w:rsidRPr="00832FCE" w14:paraId="65773559" w14:textId="77777777" w:rsidTr="007A799A">
        <w:tc>
          <w:tcPr>
            <w:tcW w:w="1838" w:type="dxa"/>
          </w:tcPr>
          <w:p w14:paraId="054F7314" w14:textId="7A82F539"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D068758" w14:textId="77777777" w:rsidR="00D15B6D" w:rsidRDefault="00D15B6D" w:rsidP="00D15B6D">
            <w:pPr>
              <w:rPr>
                <w:rFonts w:ascii="Arial" w:hAnsi="Arial" w:cs="Arial"/>
                <w:sz w:val="20"/>
                <w:szCs w:val="20"/>
              </w:rPr>
            </w:pPr>
            <w:r>
              <w:rPr>
                <w:rFonts w:ascii="Arial" w:hAnsi="Arial" w:cs="Arial"/>
                <w:sz w:val="20"/>
                <w:szCs w:val="20"/>
              </w:rPr>
              <w:t>Agree</w:t>
            </w:r>
          </w:p>
          <w:p w14:paraId="53FE7FBC" w14:textId="4E82E35B" w:rsidR="00D15B6D" w:rsidRPr="00832FCE" w:rsidRDefault="00D15B6D" w:rsidP="00D15B6D">
            <w:pPr>
              <w:rPr>
                <w:rFonts w:ascii="Arial" w:hAnsi="Arial" w:cs="Arial"/>
                <w:sz w:val="20"/>
                <w:szCs w:val="20"/>
              </w:rPr>
            </w:pPr>
            <w:r>
              <w:rPr>
                <w:rFonts w:ascii="Arial" w:hAnsi="Arial" w:cs="Arial"/>
                <w:sz w:val="20"/>
                <w:szCs w:val="20"/>
              </w:rPr>
              <w:t>BTW, we also wonder is there any IOT issue in the field that trigger this discussion ? If yes, which configuaiton cause the IOT issue between UE and NW ?</w:t>
            </w:r>
          </w:p>
        </w:tc>
      </w:tr>
      <w:tr w:rsidR="00D15B6D" w:rsidRPr="00832FCE" w14:paraId="0F147257" w14:textId="77777777" w:rsidTr="007A799A">
        <w:tc>
          <w:tcPr>
            <w:tcW w:w="1838" w:type="dxa"/>
          </w:tcPr>
          <w:p w14:paraId="2946804F" w14:textId="77777777" w:rsidR="00D15B6D" w:rsidRPr="00832FCE" w:rsidRDefault="00D15B6D" w:rsidP="00D15B6D">
            <w:pPr>
              <w:rPr>
                <w:rFonts w:ascii="Arial" w:hAnsi="Arial" w:cs="Arial"/>
                <w:sz w:val="20"/>
                <w:szCs w:val="20"/>
              </w:rPr>
            </w:pPr>
          </w:p>
        </w:tc>
        <w:tc>
          <w:tcPr>
            <w:tcW w:w="7791" w:type="dxa"/>
          </w:tcPr>
          <w:p w14:paraId="10B51C89" w14:textId="77777777" w:rsidR="00D15B6D" w:rsidRPr="00832FCE" w:rsidRDefault="00D15B6D" w:rsidP="00D15B6D">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 xml:space="preserve">How does the network set the contents of </w:t>
      </w:r>
      <w:proofErr w:type="spellStart"/>
      <w:r>
        <w:t>RRCReconfiguration</w:t>
      </w:r>
      <w:proofErr w:type="spellEnd"/>
      <w:r w:rsidR="00184EAB">
        <w:t xml:space="preserve"> message</w:t>
      </w:r>
      <w:r>
        <w:t xml:space="preserve"> based on the principles outlined in issue 1 and 2? If a field in e.g. </w:t>
      </w:r>
      <w:proofErr w:type="spellStart"/>
      <w:r>
        <w:t>ServingCellConfigCommon</w:t>
      </w:r>
      <w:proofErr w:type="spellEnd"/>
      <w:r>
        <w:t xml:space="preserve">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 xml:space="preserve">Contents of </w:t>
      </w:r>
      <w:proofErr w:type="spellStart"/>
      <w:r>
        <w:t>xxxCommon</w:t>
      </w:r>
      <w:proofErr w:type="spellEnd"/>
      <w:r w:rsidR="00F71A3E">
        <w:t xml:space="preserve"> IEs</w:t>
      </w:r>
      <w:r w:rsidRPr="0077689A">
        <w:t xml:space="preserve"> in </w:t>
      </w:r>
      <w:proofErr w:type="spellStart"/>
      <w:r w:rsidRPr="0077689A">
        <w:t>RRCReconfiguration</w:t>
      </w:r>
      <w:proofErr w:type="spellEnd"/>
      <w:r w:rsidR="00184EAB">
        <w:t xml:space="preserve"> message</w:t>
      </w:r>
      <w:r>
        <w:t xml:space="preserve">: As a consequence of the previous two principles, the NW omits fields in </w:t>
      </w:r>
      <w:proofErr w:type="spellStart"/>
      <w:r>
        <w:t>xxxCommon</w:t>
      </w:r>
      <w:proofErr w:type="spellEnd"/>
      <w:r>
        <w:t xml:space="preserve"> </w:t>
      </w:r>
      <w:r w:rsidR="00184EAB">
        <w:t>IEs</w:t>
      </w:r>
      <w:r>
        <w:t xml:space="preserve"> in the </w:t>
      </w:r>
      <w:proofErr w:type="spellStart"/>
      <w:r>
        <w:t>RRCReconfiguration</w:t>
      </w:r>
      <w:proofErr w:type="spellEnd"/>
      <w:r>
        <w:t xml:space="preserve">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lastRenderedPageBreak/>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AD48330"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7A799A">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7A799A">
        <w:tc>
          <w:tcPr>
            <w:tcW w:w="1838" w:type="dxa"/>
          </w:tcPr>
          <w:p w14:paraId="5C905098" w14:textId="162E4314" w:rsidR="00414CF9"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7A799A">
        <w:tc>
          <w:tcPr>
            <w:tcW w:w="1838" w:type="dxa"/>
          </w:tcPr>
          <w:p w14:paraId="51790D5F" w14:textId="0969ABCE" w:rsidR="00414CF9" w:rsidRPr="006C519E" w:rsidRDefault="006C519E"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2C02CEFA" w14:textId="41B9B02E" w:rsidR="00414CF9" w:rsidRPr="006C519E" w:rsidRDefault="006C519E" w:rsidP="007A799A">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D15B6D" w:rsidRPr="00832FCE" w14:paraId="1728AF56" w14:textId="77777777" w:rsidTr="007A799A">
        <w:tc>
          <w:tcPr>
            <w:tcW w:w="1838" w:type="dxa"/>
          </w:tcPr>
          <w:p w14:paraId="45E4BB16" w14:textId="402A2A6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2CAAB46D" w14:textId="77777777" w:rsidR="00D15B6D" w:rsidRPr="00883723" w:rsidRDefault="00D15B6D" w:rsidP="00D15B6D">
            <w:pPr>
              <w:rPr>
                <w:rFonts w:ascii="Arial" w:hAnsi="Arial" w:cs="Arial"/>
                <w:sz w:val="20"/>
                <w:szCs w:val="20"/>
              </w:rPr>
            </w:pPr>
            <w:r>
              <w:rPr>
                <w:rFonts w:ascii="Arial" w:hAnsi="Arial" w:cs="Arial"/>
                <w:sz w:val="20"/>
                <w:szCs w:val="20"/>
              </w:rPr>
              <w:t>We would like t</w:t>
            </w:r>
            <w:r w:rsidRPr="00F7491A">
              <w:rPr>
                <w:rFonts w:ascii="Arial" w:hAnsi="Arial" w:cs="Arial"/>
                <w:sz w:val="20"/>
                <w:szCs w:val="20"/>
              </w:rPr>
              <w:t>o clarify the proposal</w:t>
            </w:r>
            <w:r>
              <w:rPr>
                <w:rFonts w:ascii="Arial" w:hAnsi="Arial" w:cs="Arial"/>
                <w:sz w:val="20"/>
                <w:szCs w:val="20"/>
              </w:rPr>
              <w:t xml:space="preserve"> first. There are 4 possible cases.</w:t>
            </w:r>
          </w:p>
          <w:p w14:paraId="2BD873BE"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29DD1811"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21F10810"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36CF170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41B2E00D"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64A2646"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65AAECD9"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2.2) For UE does not support</w:t>
            </w:r>
          </w:p>
          <w:p w14:paraId="694D1B1E" w14:textId="77777777" w:rsidR="00D15B6D" w:rsidRPr="00FD7531" w:rsidRDefault="00D15B6D" w:rsidP="00D15B6D">
            <w:pPr>
              <w:pStyle w:val="ListParagraph"/>
              <w:numPr>
                <w:ilvl w:val="1"/>
                <w:numId w:val="27"/>
              </w:numPr>
              <w:rPr>
                <w:rFonts w:ascii="Arial" w:hAnsi="Arial" w:cs="Arial"/>
                <w:color w:val="FF0000"/>
                <w:sz w:val="20"/>
                <w:szCs w:val="20"/>
                <w:lang w:val="de-DE"/>
              </w:rPr>
            </w:pPr>
            <w:r w:rsidRPr="00FD7531">
              <w:rPr>
                <w:rFonts w:ascii="Arial" w:hAnsi="Arial" w:cs="Arial"/>
                <w:color w:val="FF0000"/>
                <w:sz w:val="20"/>
                <w:szCs w:val="20"/>
                <w:lang w:val="de-DE"/>
              </w:rPr>
              <w:t>This configuration is NOT allowded</w:t>
            </w:r>
          </w:p>
          <w:p w14:paraId="4E164961"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4809F544"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4113022D"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11475556"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78A187AD"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67DEE3F8"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 xml:space="preserve"> (Case 3</w:t>
            </w:r>
            <w:r w:rsidRPr="001F6A62">
              <w:rPr>
                <w:rFonts w:ascii="Arial" w:hAnsi="Arial" w:cs="Arial"/>
                <w:sz w:val="20"/>
                <w:szCs w:val="20"/>
                <w:lang w:val="de-DE"/>
              </w:rPr>
              <w:t>.2) For UE does not support</w:t>
            </w:r>
          </w:p>
          <w:p w14:paraId="6CDC7F20"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6205ED41"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186BAF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763AA55D"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2E6C544"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2A2A8B8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4.2</w:t>
            </w:r>
            <w:r w:rsidRPr="001F6A62">
              <w:rPr>
                <w:rFonts w:ascii="Arial" w:hAnsi="Arial" w:cs="Arial"/>
                <w:sz w:val="20"/>
                <w:szCs w:val="20"/>
                <w:lang w:val="de-DE"/>
              </w:rPr>
              <w:t>) For UE does not support</w:t>
            </w:r>
          </w:p>
          <w:p w14:paraId="3D36D0D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7AF6C768"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684CD1EC" w14:textId="77777777" w:rsidR="00D15B6D" w:rsidRDefault="00D15B6D" w:rsidP="00D15B6D">
            <w:pPr>
              <w:spacing w:after="0"/>
              <w:rPr>
                <w:rFonts w:ascii="Arial" w:hAnsi="Arial" w:cs="Arial"/>
                <w:sz w:val="20"/>
                <w:szCs w:val="20"/>
              </w:rPr>
            </w:pPr>
          </w:p>
          <w:p w14:paraId="72EA0758" w14:textId="661E2F5C" w:rsidR="00D15B6D" w:rsidRPr="00832FCE" w:rsidRDefault="00D15B6D" w:rsidP="00D15B6D">
            <w:pPr>
              <w:rPr>
                <w:rFonts w:ascii="Arial" w:hAnsi="Arial" w:cs="Arial"/>
                <w:sz w:val="20"/>
                <w:szCs w:val="20"/>
              </w:rPr>
            </w:pPr>
            <w:r>
              <w:rPr>
                <w:rFonts w:ascii="Arial" w:hAnsi="Arial" w:cs="Arial"/>
                <w:sz w:val="20"/>
                <w:szCs w:val="20"/>
              </w:rPr>
              <w:t>We understand the proposal implies that case 2.1 and 4.2 are used if NW supports this feature. If that is the case, we are okay with this proposal. Note that we think case 3.1 and 4.1 should be avoided.</w:t>
            </w:r>
          </w:p>
        </w:tc>
      </w:tr>
      <w:tr w:rsidR="00D15B6D" w:rsidRPr="00832FCE" w14:paraId="56A42D50" w14:textId="77777777" w:rsidTr="007A799A">
        <w:tc>
          <w:tcPr>
            <w:tcW w:w="1838" w:type="dxa"/>
          </w:tcPr>
          <w:p w14:paraId="0EDB2D2B" w14:textId="77777777" w:rsidR="00D15B6D" w:rsidRPr="00832FCE" w:rsidRDefault="00D15B6D" w:rsidP="00D15B6D">
            <w:pPr>
              <w:rPr>
                <w:rFonts w:ascii="Arial" w:hAnsi="Arial" w:cs="Arial"/>
                <w:sz w:val="20"/>
                <w:szCs w:val="20"/>
              </w:rPr>
            </w:pPr>
          </w:p>
        </w:tc>
        <w:tc>
          <w:tcPr>
            <w:tcW w:w="7791" w:type="dxa"/>
          </w:tcPr>
          <w:p w14:paraId="09608392" w14:textId="77777777" w:rsidR="00D15B6D" w:rsidRPr="00832FCE" w:rsidRDefault="00D15B6D" w:rsidP="00D15B6D">
            <w:pPr>
              <w:rPr>
                <w:rFonts w:ascii="Arial" w:hAnsi="Arial" w:cs="Arial"/>
                <w:sz w:val="20"/>
                <w:szCs w:val="20"/>
              </w:rPr>
            </w:pP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w:t>
      </w:r>
      <w:proofErr w:type="spellStart"/>
      <w:r>
        <w:t>xxxCommon</w:t>
      </w:r>
      <w:proofErr w:type="spellEnd"/>
      <w:r>
        <w:t xml:space="preserve"> fields </w:t>
      </w:r>
      <w:r w:rsidR="006915FD">
        <w:t xml:space="preserve">and IEs </w:t>
      </w:r>
      <w:r>
        <w:t xml:space="preserve">in </w:t>
      </w:r>
      <w:proofErr w:type="spellStart"/>
      <w:r>
        <w:t>RRCReconfiguration</w:t>
      </w:r>
      <w:proofErr w:type="spellEnd"/>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lastRenderedPageBreak/>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7B6B52E" w:rsidR="009037FC"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7A799A">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7A799A">
        <w:tc>
          <w:tcPr>
            <w:tcW w:w="1838" w:type="dxa"/>
          </w:tcPr>
          <w:p w14:paraId="63B5F02D" w14:textId="225CA9C1" w:rsidR="009037FC"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7A799A">
            <w:pPr>
              <w:rPr>
                <w:rFonts w:ascii="Arial" w:hAnsi="Arial" w:cs="Arial"/>
                <w:sz w:val="20"/>
                <w:szCs w:val="20"/>
              </w:rPr>
            </w:pPr>
            <w:r>
              <w:rPr>
                <w:rFonts w:ascii="Arial" w:hAnsi="Arial" w:cs="Arial"/>
                <w:sz w:val="20"/>
                <w:szCs w:val="20"/>
              </w:rPr>
              <w:t>Agree.</w:t>
            </w:r>
          </w:p>
        </w:tc>
      </w:tr>
      <w:tr w:rsidR="009037FC" w:rsidRPr="00832FCE" w14:paraId="284DD20D" w14:textId="77777777" w:rsidTr="007A799A">
        <w:tc>
          <w:tcPr>
            <w:tcW w:w="1838" w:type="dxa"/>
          </w:tcPr>
          <w:p w14:paraId="35D40D67" w14:textId="551EC213" w:rsidR="009037FC" w:rsidRPr="006C519E" w:rsidRDefault="006C519E"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EAA1F8A" w14:textId="0F9332C2" w:rsidR="009037FC" w:rsidRDefault="006C519E" w:rsidP="007A799A">
            <w:pPr>
              <w:rPr>
                <w:rFonts w:ascii="Arial" w:eastAsia="Yu Mincho" w:hAnsi="Arial" w:cs="Arial"/>
                <w:sz w:val="20"/>
                <w:szCs w:val="20"/>
              </w:rPr>
            </w:pPr>
            <w:r>
              <w:rPr>
                <w:rFonts w:ascii="Arial" w:eastAsia="Yu Mincho" w:hAnsi="Arial" w:cs="Arial"/>
                <w:sz w:val="20"/>
                <w:szCs w:val="20"/>
              </w:rPr>
              <w:t>The network is not aware of the UE capability, then no other choice. We agree that this case should be avoided in the future.</w:t>
            </w:r>
          </w:p>
          <w:p w14:paraId="2312EE54" w14:textId="31F28BDA" w:rsidR="006C519E" w:rsidRPr="006C519E" w:rsidRDefault="006C519E" w:rsidP="007A799A">
            <w:pPr>
              <w:rPr>
                <w:rFonts w:ascii="Arial" w:eastAsia="Yu Mincho" w:hAnsi="Arial" w:cs="Arial"/>
                <w:sz w:val="20"/>
                <w:szCs w:val="20"/>
              </w:rPr>
            </w:pPr>
            <w:r>
              <w:rPr>
                <w:rFonts w:ascii="Arial" w:eastAsia="Yu Mincho" w:hAnsi="Arial" w:cs="Arial" w:hint="eastAsia"/>
                <w:sz w:val="20"/>
                <w:szCs w:val="20"/>
              </w:rPr>
              <w:t>W</w:t>
            </w:r>
            <w:r>
              <w:rPr>
                <w:rFonts w:ascii="Arial" w:eastAsia="Yu Mincho" w:hAnsi="Arial" w:cs="Arial"/>
                <w:sz w:val="20"/>
                <w:szCs w:val="20"/>
              </w:rPr>
              <w:t>e were wondering though what the features of this category are.</w:t>
            </w:r>
          </w:p>
        </w:tc>
      </w:tr>
      <w:tr w:rsidR="00D15B6D" w:rsidRPr="00832FCE" w14:paraId="1EE1EC6E" w14:textId="77777777" w:rsidTr="007A799A">
        <w:tc>
          <w:tcPr>
            <w:tcW w:w="1838" w:type="dxa"/>
          </w:tcPr>
          <w:p w14:paraId="4C8005C7" w14:textId="26577465"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41909FB" w14:textId="77777777" w:rsidR="00D15B6D" w:rsidRPr="00883723" w:rsidRDefault="00D15B6D" w:rsidP="00D15B6D">
            <w:pPr>
              <w:rPr>
                <w:rFonts w:ascii="Arial" w:hAnsi="Arial" w:cs="Arial"/>
                <w:sz w:val="20"/>
                <w:szCs w:val="20"/>
              </w:rPr>
            </w:pPr>
            <w:r>
              <w:rPr>
                <w:rFonts w:ascii="Arial" w:hAnsi="Arial" w:cs="Arial"/>
                <w:sz w:val="20"/>
                <w:szCs w:val="20"/>
              </w:rPr>
              <w:t>Similar clarificaion as in previous preoposal.</w:t>
            </w:r>
          </w:p>
          <w:p w14:paraId="4FA09A01"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5F40FE90"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5B72D139"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5ED15BA9"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20B64813"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BF7C70A"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3B9B7EB5"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highlight w:val="yellow"/>
                <w:lang w:val="de-DE"/>
              </w:rPr>
              <w:t>Case 2.2</w:t>
            </w:r>
            <w:r>
              <w:rPr>
                <w:rFonts w:ascii="Arial" w:hAnsi="Arial" w:cs="Arial"/>
                <w:sz w:val="20"/>
                <w:szCs w:val="20"/>
                <w:lang w:val="de-DE"/>
              </w:rPr>
              <w:t>) For UE does not support</w:t>
            </w:r>
          </w:p>
          <w:p w14:paraId="5758C8CF" w14:textId="77777777" w:rsidR="00D15B6D" w:rsidRPr="00C10C45" w:rsidRDefault="00D15B6D" w:rsidP="00D15B6D">
            <w:pPr>
              <w:pStyle w:val="ListParagraph"/>
              <w:numPr>
                <w:ilvl w:val="1"/>
                <w:numId w:val="27"/>
              </w:numPr>
              <w:rPr>
                <w:rFonts w:ascii="Arial" w:hAnsi="Arial" w:cs="Arial"/>
                <w:color w:val="FF0000"/>
                <w:sz w:val="20"/>
                <w:szCs w:val="20"/>
                <w:lang w:val="de-DE"/>
              </w:rPr>
            </w:pPr>
            <w:r w:rsidRPr="00C10C45">
              <w:rPr>
                <w:rFonts w:ascii="Arial" w:hAnsi="Arial" w:cs="Arial"/>
                <w:color w:val="FF0000"/>
                <w:sz w:val="20"/>
                <w:szCs w:val="20"/>
                <w:lang w:val="de-DE"/>
              </w:rPr>
              <w:t xml:space="preserve">The UE should ignore the unsupported feature </w:t>
            </w:r>
            <w:r>
              <w:rPr>
                <w:rFonts w:ascii="Arial" w:hAnsi="Arial" w:cs="Arial"/>
                <w:color w:val="FF0000"/>
                <w:sz w:val="20"/>
                <w:szCs w:val="20"/>
                <w:lang w:val="de-DE"/>
              </w:rPr>
              <w:t>in common configuraiton (No matter it is present in SIB1 or dedicated message).</w:t>
            </w:r>
          </w:p>
          <w:p w14:paraId="041C8BFD"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563313C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008A4283"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53265C2D"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01AB1A39"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1C199C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.2) For UE does not support</w:t>
            </w:r>
          </w:p>
          <w:p w14:paraId="1D97AEA2"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5F134C6D"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0267C7B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62649FD3"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954494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418C21A7"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lang w:val="de-DE"/>
              </w:rPr>
              <w:t>Case 4.2</w:t>
            </w:r>
            <w:r w:rsidRPr="001F6A62">
              <w:rPr>
                <w:rFonts w:ascii="Arial" w:hAnsi="Arial" w:cs="Arial"/>
                <w:sz w:val="20"/>
                <w:szCs w:val="20"/>
                <w:lang w:val="de-DE"/>
              </w:rPr>
              <w:t>) For UE does not support</w:t>
            </w:r>
          </w:p>
          <w:p w14:paraId="37F3DCFC"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217176CE"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18E78CB6" w14:textId="77777777" w:rsidR="00D15B6D" w:rsidRDefault="00D15B6D" w:rsidP="00D15B6D">
            <w:pPr>
              <w:spacing w:after="0"/>
              <w:rPr>
                <w:rFonts w:ascii="Arial" w:hAnsi="Arial" w:cs="Arial"/>
                <w:sz w:val="20"/>
                <w:szCs w:val="20"/>
              </w:rPr>
            </w:pPr>
          </w:p>
          <w:p w14:paraId="666A80F4" w14:textId="060DEDB9" w:rsidR="00D15B6D" w:rsidRPr="006C519E" w:rsidRDefault="00D15B6D" w:rsidP="00D15B6D">
            <w:pPr>
              <w:rPr>
                <w:rFonts w:ascii="Arial" w:hAnsi="Arial" w:cs="Arial"/>
                <w:sz w:val="20"/>
                <w:szCs w:val="20"/>
              </w:rPr>
            </w:pPr>
            <w:r>
              <w:rPr>
                <w:rFonts w:ascii="Arial" w:hAnsi="Arial" w:cs="Arial"/>
                <w:sz w:val="20"/>
                <w:szCs w:val="20"/>
              </w:rPr>
              <w:t xml:space="preserve">We understand the proposal implies that </w:t>
            </w:r>
            <w:r w:rsidRPr="00FD7531">
              <w:rPr>
                <w:rFonts w:ascii="Arial" w:hAnsi="Arial" w:cs="Arial"/>
                <w:b/>
                <w:sz w:val="20"/>
                <w:szCs w:val="20"/>
              </w:rPr>
              <w:t>case 2.1</w:t>
            </w:r>
            <w:r>
              <w:rPr>
                <w:rFonts w:ascii="Arial" w:hAnsi="Arial" w:cs="Arial"/>
                <w:sz w:val="20"/>
                <w:szCs w:val="20"/>
              </w:rPr>
              <w:t xml:space="preserve"> and </w:t>
            </w:r>
            <w:r w:rsidRPr="00FD7531">
              <w:rPr>
                <w:rFonts w:ascii="Arial" w:hAnsi="Arial" w:cs="Arial"/>
                <w:b/>
                <w:sz w:val="20"/>
                <w:szCs w:val="20"/>
              </w:rPr>
              <w:t>2.2</w:t>
            </w:r>
            <w:r>
              <w:rPr>
                <w:rFonts w:ascii="Arial" w:hAnsi="Arial" w:cs="Arial"/>
                <w:sz w:val="20"/>
                <w:szCs w:val="20"/>
              </w:rPr>
              <w:t xml:space="preserve"> are used if NW supports this feature. For case 2.2, we wonder if it is possible to have some guideline in the SPEC?</w:t>
            </w:r>
          </w:p>
        </w:tc>
      </w:tr>
      <w:tr w:rsidR="00D15B6D" w:rsidRPr="00832FCE" w14:paraId="4CE80D46" w14:textId="77777777" w:rsidTr="007A799A">
        <w:tc>
          <w:tcPr>
            <w:tcW w:w="1838" w:type="dxa"/>
          </w:tcPr>
          <w:p w14:paraId="5C37FEFE" w14:textId="77777777" w:rsidR="00D15B6D" w:rsidRPr="00832FCE" w:rsidRDefault="00D15B6D" w:rsidP="00D15B6D">
            <w:pPr>
              <w:rPr>
                <w:rFonts w:ascii="Arial" w:hAnsi="Arial" w:cs="Arial"/>
                <w:sz w:val="20"/>
                <w:szCs w:val="20"/>
              </w:rPr>
            </w:pPr>
          </w:p>
        </w:tc>
        <w:tc>
          <w:tcPr>
            <w:tcW w:w="7791" w:type="dxa"/>
          </w:tcPr>
          <w:p w14:paraId="6B3E379A" w14:textId="77777777" w:rsidR="00D15B6D" w:rsidRPr="00832FCE" w:rsidRDefault="00D15B6D" w:rsidP="00D15B6D">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0C442E13" w:rsidR="00643235"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7A799A">
        <w:tc>
          <w:tcPr>
            <w:tcW w:w="1838" w:type="dxa"/>
          </w:tcPr>
          <w:p w14:paraId="59327632" w14:textId="5DBC61FF" w:rsidR="00643235" w:rsidRPr="006C519E" w:rsidRDefault="006C519E" w:rsidP="007A799A">
            <w:pP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7791" w:type="dxa"/>
          </w:tcPr>
          <w:p w14:paraId="7FED4536" w14:textId="2FA5ED1A" w:rsidR="00643235" w:rsidRPr="006C519E" w:rsidRDefault="006C519E" w:rsidP="007A799A">
            <w:pPr>
              <w:rPr>
                <w:rFonts w:ascii="Arial" w:eastAsia="Yu Mincho" w:hAnsi="Arial" w:cs="Arial"/>
                <w:iCs/>
                <w:sz w:val="20"/>
                <w:szCs w:val="20"/>
              </w:rPr>
            </w:pPr>
            <w:r>
              <w:rPr>
                <w:rFonts w:ascii="Arial" w:eastAsia="Yu Mincho" w:hAnsi="Arial" w:cs="Arial" w:hint="eastAsia"/>
                <w:sz w:val="20"/>
                <w:szCs w:val="20"/>
              </w:rPr>
              <w:t>T</w:t>
            </w:r>
            <w:r>
              <w:rPr>
                <w:rFonts w:ascii="Arial" w:eastAsia="Yu Mincho"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D15B6D" w:rsidRPr="00832FCE" w14:paraId="0A28FE51" w14:textId="77777777" w:rsidTr="007A799A">
        <w:tc>
          <w:tcPr>
            <w:tcW w:w="1838" w:type="dxa"/>
          </w:tcPr>
          <w:p w14:paraId="2987A88A" w14:textId="19F77AD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54598AA7" w14:textId="4631725C" w:rsidR="00D15B6D" w:rsidRPr="00832FCE" w:rsidRDefault="00D15B6D" w:rsidP="00D15B6D">
            <w:pPr>
              <w:rPr>
                <w:rFonts w:ascii="Arial" w:hAnsi="Arial" w:cs="Arial"/>
                <w:sz w:val="20"/>
                <w:szCs w:val="20"/>
              </w:rPr>
            </w:pPr>
            <w:r>
              <w:rPr>
                <w:rFonts w:ascii="Arial" w:hAnsi="Arial" w:cs="Arial"/>
                <w:sz w:val="20"/>
                <w:szCs w:val="20"/>
              </w:rPr>
              <w:t xml:space="preserve">For the dedicate SIB1 content included </w:t>
            </w:r>
            <w:r w:rsidRPr="00252D3A">
              <w:rPr>
                <w:rFonts w:ascii="Arial" w:hAnsi="Arial" w:cs="Arial"/>
                <w:i/>
                <w:sz w:val="20"/>
                <w:szCs w:val="20"/>
              </w:rPr>
              <w:t>dedicatedSIB1-Delivery</w:t>
            </w:r>
            <w:r>
              <w:rPr>
                <w:rFonts w:ascii="Arial" w:hAnsi="Arial" w:cs="Arial"/>
                <w:sz w:val="20"/>
                <w:szCs w:val="20"/>
              </w:rPr>
              <w:t>, we prefer to have the same values as SIB1 in broadcasted. This makes the concept simpler.</w:t>
            </w:r>
          </w:p>
        </w:tc>
      </w:tr>
      <w:tr w:rsidR="00D15B6D" w:rsidRPr="00832FCE" w14:paraId="03644CCA" w14:textId="77777777" w:rsidTr="007A799A">
        <w:tc>
          <w:tcPr>
            <w:tcW w:w="1838" w:type="dxa"/>
          </w:tcPr>
          <w:p w14:paraId="61B10E24" w14:textId="77777777" w:rsidR="00D15B6D" w:rsidRPr="00832FCE" w:rsidRDefault="00D15B6D" w:rsidP="00D15B6D">
            <w:pPr>
              <w:rPr>
                <w:rFonts w:ascii="Arial" w:hAnsi="Arial" w:cs="Arial"/>
                <w:sz w:val="20"/>
                <w:szCs w:val="20"/>
              </w:rPr>
            </w:pPr>
          </w:p>
        </w:tc>
        <w:tc>
          <w:tcPr>
            <w:tcW w:w="7791" w:type="dxa"/>
          </w:tcPr>
          <w:p w14:paraId="60785511" w14:textId="77777777" w:rsidR="00D15B6D" w:rsidRPr="00832FCE" w:rsidRDefault="00D15B6D" w:rsidP="00D15B6D">
            <w:pPr>
              <w:rPr>
                <w:rFonts w:ascii="Arial" w:hAnsi="Arial" w:cs="Arial"/>
                <w:sz w:val="20"/>
                <w:szCs w:val="20"/>
              </w:rPr>
            </w:pPr>
          </w:p>
        </w:tc>
      </w:tr>
      <w:tr w:rsidR="00D15B6D" w:rsidRPr="00832FCE" w14:paraId="74DDDE4A" w14:textId="77777777" w:rsidTr="007A799A">
        <w:tc>
          <w:tcPr>
            <w:tcW w:w="1838" w:type="dxa"/>
          </w:tcPr>
          <w:p w14:paraId="39E28C2B" w14:textId="77777777" w:rsidR="00D15B6D" w:rsidRPr="00832FCE" w:rsidRDefault="00D15B6D" w:rsidP="00D15B6D">
            <w:pPr>
              <w:rPr>
                <w:rFonts w:ascii="Arial" w:hAnsi="Arial" w:cs="Arial"/>
                <w:sz w:val="20"/>
                <w:szCs w:val="20"/>
              </w:rPr>
            </w:pPr>
          </w:p>
        </w:tc>
        <w:tc>
          <w:tcPr>
            <w:tcW w:w="7791" w:type="dxa"/>
          </w:tcPr>
          <w:p w14:paraId="43281C98" w14:textId="77777777" w:rsidR="00D15B6D" w:rsidRPr="00832FCE" w:rsidRDefault="00D15B6D" w:rsidP="00D15B6D">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4A73B74F" w:rsidR="00643235"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7A799A">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7A799A">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F90392" w:rsidRPr="00832FCE" w14:paraId="34381698" w14:textId="77777777" w:rsidTr="007A799A">
        <w:tc>
          <w:tcPr>
            <w:tcW w:w="1838" w:type="dxa"/>
          </w:tcPr>
          <w:p w14:paraId="0ADBC9CE" w14:textId="021332B6" w:rsidR="00F90392" w:rsidRPr="00832FCE" w:rsidRDefault="00F90392" w:rsidP="00F90392">
            <w:pPr>
              <w:rPr>
                <w:rFonts w:ascii="Arial" w:hAnsi="Arial" w:cs="Arial"/>
                <w:sz w:val="20"/>
                <w:szCs w:val="20"/>
              </w:rPr>
            </w:pPr>
            <w:r>
              <w:rPr>
                <w:rFonts w:ascii="Arial" w:hAnsi="Arial" w:cs="Arial"/>
                <w:sz w:val="20"/>
                <w:szCs w:val="20"/>
              </w:rPr>
              <w:t>MediaTek</w:t>
            </w:r>
          </w:p>
        </w:tc>
        <w:tc>
          <w:tcPr>
            <w:tcW w:w="7791" w:type="dxa"/>
          </w:tcPr>
          <w:p w14:paraId="2CD9A267" w14:textId="358D1356" w:rsidR="00F90392" w:rsidRPr="00832FCE" w:rsidRDefault="00F90392" w:rsidP="00F90392">
            <w:pPr>
              <w:rPr>
                <w:rFonts w:ascii="Arial" w:hAnsi="Arial" w:cs="Arial"/>
                <w:sz w:val="20"/>
                <w:szCs w:val="20"/>
              </w:rPr>
            </w:pPr>
            <w:r>
              <w:rPr>
                <w:rFonts w:ascii="Arial" w:hAnsi="Arial" w:cs="Arial"/>
                <w:sz w:val="20"/>
                <w:szCs w:val="20"/>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rsidR="00F90392" w:rsidRPr="00832FCE" w14:paraId="30D6899F" w14:textId="77777777" w:rsidTr="007A799A">
        <w:tc>
          <w:tcPr>
            <w:tcW w:w="1838" w:type="dxa"/>
          </w:tcPr>
          <w:p w14:paraId="66C7A281" w14:textId="77777777" w:rsidR="00F90392" w:rsidRPr="00832FCE" w:rsidRDefault="00F90392" w:rsidP="00F90392">
            <w:pPr>
              <w:rPr>
                <w:rFonts w:ascii="Arial" w:hAnsi="Arial" w:cs="Arial"/>
                <w:sz w:val="20"/>
                <w:szCs w:val="20"/>
              </w:rPr>
            </w:pPr>
          </w:p>
        </w:tc>
        <w:tc>
          <w:tcPr>
            <w:tcW w:w="7791" w:type="dxa"/>
          </w:tcPr>
          <w:p w14:paraId="13B20E2D" w14:textId="77777777" w:rsidR="00F90392" w:rsidRPr="00832FCE" w:rsidRDefault="00F90392" w:rsidP="00F90392">
            <w:pPr>
              <w:rPr>
                <w:rFonts w:ascii="Arial" w:hAnsi="Arial" w:cs="Arial"/>
                <w:sz w:val="20"/>
                <w:szCs w:val="20"/>
              </w:rPr>
            </w:pPr>
            <w:bookmarkStart w:id="2" w:name="_GoBack"/>
            <w:bookmarkEnd w:id="2"/>
          </w:p>
        </w:tc>
      </w:tr>
      <w:tr w:rsidR="00F90392" w:rsidRPr="00832FCE" w14:paraId="0A8B3F97" w14:textId="77777777" w:rsidTr="007A799A">
        <w:tc>
          <w:tcPr>
            <w:tcW w:w="1838" w:type="dxa"/>
          </w:tcPr>
          <w:p w14:paraId="316A7839" w14:textId="77777777" w:rsidR="00F90392" w:rsidRPr="00832FCE" w:rsidRDefault="00F90392" w:rsidP="00F90392">
            <w:pPr>
              <w:rPr>
                <w:rFonts w:ascii="Arial" w:hAnsi="Arial" w:cs="Arial"/>
                <w:sz w:val="20"/>
                <w:szCs w:val="20"/>
              </w:rPr>
            </w:pPr>
          </w:p>
        </w:tc>
        <w:tc>
          <w:tcPr>
            <w:tcW w:w="7791" w:type="dxa"/>
          </w:tcPr>
          <w:p w14:paraId="5C92E5EB" w14:textId="77777777" w:rsidR="00F90392" w:rsidRPr="00832FCE" w:rsidRDefault="00F90392" w:rsidP="00F90392">
            <w:pPr>
              <w:rPr>
                <w:rFonts w:ascii="Arial" w:hAnsi="Arial" w:cs="Arial"/>
                <w:sz w:val="20"/>
                <w:szCs w:val="20"/>
              </w:rPr>
            </w:pPr>
          </w:p>
        </w:tc>
      </w:tr>
      <w:tr w:rsidR="00F90392" w:rsidRPr="00832FCE" w14:paraId="7DB2BF8E" w14:textId="77777777" w:rsidTr="007A799A">
        <w:tc>
          <w:tcPr>
            <w:tcW w:w="1838" w:type="dxa"/>
          </w:tcPr>
          <w:p w14:paraId="1B1347D1" w14:textId="77777777" w:rsidR="00F90392" w:rsidRPr="00832FCE" w:rsidRDefault="00F90392" w:rsidP="00F90392">
            <w:pPr>
              <w:rPr>
                <w:rFonts w:ascii="Arial" w:hAnsi="Arial" w:cs="Arial"/>
                <w:sz w:val="20"/>
                <w:szCs w:val="20"/>
              </w:rPr>
            </w:pPr>
          </w:p>
        </w:tc>
        <w:tc>
          <w:tcPr>
            <w:tcW w:w="7791" w:type="dxa"/>
          </w:tcPr>
          <w:p w14:paraId="4DB6ED19" w14:textId="77777777" w:rsidR="00F90392" w:rsidRPr="00832FCE" w:rsidRDefault="00F90392" w:rsidP="00F90392">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23C81" w14:textId="77777777" w:rsidR="00750499" w:rsidRDefault="00750499">
      <w:r>
        <w:separator/>
      </w:r>
    </w:p>
  </w:endnote>
  <w:endnote w:type="continuationSeparator" w:id="0">
    <w:p w14:paraId="3992EEF7" w14:textId="77777777" w:rsidR="00750499" w:rsidRDefault="00750499">
      <w:r>
        <w:continuationSeparator/>
      </w:r>
    </w:p>
  </w:endnote>
  <w:endnote w:type="continuationNotice" w:id="1">
    <w:p w14:paraId="24BBE738" w14:textId="77777777" w:rsidR="00750499" w:rsidRDefault="0075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FFA6" w14:textId="774A4BA0"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039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039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CFD9" w14:textId="77777777" w:rsidR="00750499" w:rsidRDefault="00750499">
      <w:r>
        <w:separator/>
      </w:r>
    </w:p>
  </w:footnote>
  <w:footnote w:type="continuationSeparator" w:id="0">
    <w:p w14:paraId="0C279A0E" w14:textId="77777777" w:rsidR="00750499" w:rsidRDefault="00750499">
      <w:r>
        <w:continuationSeparator/>
      </w:r>
    </w:p>
  </w:footnote>
  <w:footnote w:type="continuationNotice" w:id="1">
    <w:p w14:paraId="4F245107" w14:textId="77777777" w:rsidR="00750499" w:rsidRDefault="007504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3CD1" w14:textId="77777777" w:rsidR="000F0748" w:rsidRDefault="000F0748">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1E7E3A"/>
    <w:multiLevelType w:val="hybridMultilevel"/>
    <w:tmpl w:val="91C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392"/>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EA198B9-5675-48E2-91C1-08FA0437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27</TotalTime>
  <Pages>7</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17642</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MediaTek (Felix)</cp:lastModifiedBy>
  <cp:revision>7</cp:revision>
  <cp:lastPrinted>2008-01-31T07:09:00Z</cp:lastPrinted>
  <dcterms:created xsi:type="dcterms:W3CDTF">2021-06-28T02:25:00Z</dcterms:created>
  <dcterms:modified xsi:type="dcterms:W3CDTF">2021-07-28T15:28:00Z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