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proofErr w:type="spellStart"/>
      <w:r w:rsidR="00311702" w:rsidRPr="00141F54">
        <w:rPr>
          <w:sz w:val="22"/>
          <w:szCs w:val="22"/>
        </w:rPr>
        <w:t>x.x.x.x</w:t>
      </w:r>
      <w:proofErr w:type="spellEnd"/>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 xml:space="preserve">Post114-e][070][NR15]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Heading1"/>
      </w:pPr>
      <w:bookmarkStart w:id="0" w:name="_Ref178064866"/>
      <w:r>
        <w:t>1</w:t>
      </w:r>
      <w:r w:rsidR="00230D18">
        <w:tab/>
      </w:r>
      <w:r w:rsidR="004000E8" w:rsidRPr="00CE0424">
        <w:t>Discussion</w:t>
      </w:r>
      <w:bookmarkEnd w:id="0"/>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Hyperlink"/>
          </w:rPr>
          <w:t>R2-2106451</w:t>
        </w:r>
      </w:hyperlink>
      <w:r>
        <w:t xml:space="preserve">, </w:t>
      </w:r>
      <w:hyperlink r:id="rId12" w:history="1">
        <w:r w:rsidRPr="00C33936">
          <w:rPr>
            <w:rStyle w:val="Hyperlink"/>
          </w:rPr>
          <w:t>R2-2104919</w:t>
        </w:r>
      </w:hyperlink>
      <w:r>
        <w:t xml:space="preserve">, </w:t>
      </w:r>
      <w:hyperlink r:id="rId13" w:history="1">
        <w:r w:rsidRPr="00C33936">
          <w:rPr>
            <w:rStyle w:val="Hyperlink"/>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BodyText"/>
      </w:pPr>
      <w:r>
        <w:t>Co</w:t>
      </w:r>
      <w:r w:rsidR="001555E8">
        <w:t>mpanies are invited to fill in contact details.</w:t>
      </w:r>
    </w:p>
    <w:tbl>
      <w:tblPr>
        <w:tblStyle w:val="TableGrid"/>
        <w:tblW w:w="0" w:type="auto"/>
        <w:tblLook w:val="04A0" w:firstRow="1" w:lastRow="0" w:firstColumn="1" w:lastColumn="0" w:noHBand="0" w:noVBand="1"/>
      </w:tblPr>
      <w:tblGrid>
        <w:gridCol w:w="1838"/>
        <w:gridCol w:w="7791"/>
      </w:tblGrid>
      <w:tr w:rsidR="001555E8" w:rsidRPr="00832FCE" w14:paraId="4D302A4E" w14:textId="77777777" w:rsidTr="007A799A">
        <w:tc>
          <w:tcPr>
            <w:tcW w:w="1838" w:type="dxa"/>
          </w:tcPr>
          <w:p w14:paraId="48B65404" w14:textId="77777777" w:rsidR="001555E8" w:rsidRPr="00832FCE" w:rsidRDefault="001555E8"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7A799A">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7A799A">
        <w:tc>
          <w:tcPr>
            <w:tcW w:w="1838" w:type="dxa"/>
          </w:tcPr>
          <w:p w14:paraId="4BD3D817" w14:textId="1E9FD4F2" w:rsidR="001555E8" w:rsidRPr="00832FCE" w:rsidRDefault="001555E8" w:rsidP="007A799A">
            <w:pPr>
              <w:rPr>
                <w:rFonts w:ascii="Arial" w:hAnsi="Arial" w:cs="Arial"/>
                <w:sz w:val="20"/>
                <w:szCs w:val="20"/>
              </w:rPr>
            </w:pPr>
          </w:p>
        </w:tc>
        <w:tc>
          <w:tcPr>
            <w:tcW w:w="7791" w:type="dxa"/>
          </w:tcPr>
          <w:p w14:paraId="1915B776" w14:textId="739E6544" w:rsidR="001555E8" w:rsidRPr="00832FCE" w:rsidRDefault="001555E8" w:rsidP="007A799A">
            <w:pPr>
              <w:rPr>
                <w:rFonts w:ascii="Arial" w:hAnsi="Arial" w:cs="Arial"/>
                <w:sz w:val="20"/>
                <w:szCs w:val="20"/>
              </w:rPr>
            </w:pPr>
          </w:p>
        </w:tc>
      </w:tr>
      <w:tr w:rsidR="001555E8" w:rsidRPr="00832FCE" w14:paraId="457D74A9" w14:textId="77777777" w:rsidTr="007A799A">
        <w:tc>
          <w:tcPr>
            <w:tcW w:w="1838" w:type="dxa"/>
          </w:tcPr>
          <w:p w14:paraId="3A5030B8" w14:textId="77777777" w:rsidR="001555E8" w:rsidRPr="00832FCE" w:rsidRDefault="001555E8" w:rsidP="007A799A">
            <w:pPr>
              <w:rPr>
                <w:rFonts w:ascii="Arial" w:hAnsi="Arial" w:cs="Arial"/>
                <w:sz w:val="20"/>
                <w:szCs w:val="20"/>
              </w:rPr>
            </w:pPr>
          </w:p>
        </w:tc>
        <w:tc>
          <w:tcPr>
            <w:tcW w:w="7791" w:type="dxa"/>
          </w:tcPr>
          <w:p w14:paraId="3169DE2F" w14:textId="77777777" w:rsidR="001555E8" w:rsidRPr="00832FCE" w:rsidRDefault="001555E8" w:rsidP="007A799A">
            <w:pPr>
              <w:rPr>
                <w:rFonts w:ascii="Arial" w:hAnsi="Arial" w:cs="Arial"/>
                <w:sz w:val="20"/>
                <w:szCs w:val="20"/>
              </w:rPr>
            </w:pPr>
          </w:p>
        </w:tc>
      </w:tr>
      <w:tr w:rsidR="001555E8" w:rsidRPr="00832FCE" w14:paraId="697CB5F2" w14:textId="77777777" w:rsidTr="007A799A">
        <w:tc>
          <w:tcPr>
            <w:tcW w:w="1838" w:type="dxa"/>
          </w:tcPr>
          <w:p w14:paraId="78F14B16" w14:textId="77777777" w:rsidR="001555E8" w:rsidRPr="00832FCE" w:rsidRDefault="001555E8" w:rsidP="007A799A">
            <w:pPr>
              <w:rPr>
                <w:rFonts w:ascii="Arial" w:hAnsi="Arial" w:cs="Arial"/>
                <w:sz w:val="20"/>
                <w:szCs w:val="20"/>
              </w:rPr>
            </w:pPr>
          </w:p>
        </w:tc>
        <w:tc>
          <w:tcPr>
            <w:tcW w:w="7791" w:type="dxa"/>
          </w:tcPr>
          <w:p w14:paraId="5BDA8712" w14:textId="77777777" w:rsidR="001555E8" w:rsidRPr="00832FCE" w:rsidRDefault="001555E8" w:rsidP="007A799A">
            <w:pPr>
              <w:rPr>
                <w:rFonts w:ascii="Arial" w:hAnsi="Arial" w:cs="Arial"/>
                <w:sz w:val="20"/>
                <w:szCs w:val="20"/>
              </w:rPr>
            </w:pPr>
          </w:p>
        </w:tc>
      </w:tr>
      <w:tr w:rsidR="001555E8" w:rsidRPr="00832FCE" w14:paraId="4E72CB4C" w14:textId="77777777" w:rsidTr="007A799A">
        <w:tc>
          <w:tcPr>
            <w:tcW w:w="1838" w:type="dxa"/>
          </w:tcPr>
          <w:p w14:paraId="705D0124" w14:textId="77777777" w:rsidR="001555E8" w:rsidRPr="00832FCE" w:rsidRDefault="001555E8" w:rsidP="007A799A">
            <w:pPr>
              <w:rPr>
                <w:rFonts w:ascii="Arial" w:hAnsi="Arial" w:cs="Arial"/>
                <w:sz w:val="20"/>
                <w:szCs w:val="20"/>
              </w:rPr>
            </w:pPr>
          </w:p>
        </w:tc>
        <w:tc>
          <w:tcPr>
            <w:tcW w:w="7791" w:type="dxa"/>
          </w:tcPr>
          <w:p w14:paraId="3B01C86D" w14:textId="77777777" w:rsidR="001555E8" w:rsidRPr="00832FCE" w:rsidRDefault="001555E8" w:rsidP="007A799A">
            <w:pPr>
              <w:rPr>
                <w:rFonts w:ascii="Arial" w:hAnsi="Arial" w:cs="Arial"/>
                <w:sz w:val="20"/>
                <w:szCs w:val="20"/>
              </w:rPr>
            </w:pPr>
          </w:p>
        </w:tc>
      </w:tr>
      <w:tr w:rsidR="001555E8" w:rsidRPr="00832FCE" w14:paraId="51C02FF0" w14:textId="77777777" w:rsidTr="007A799A">
        <w:tc>
          <w:tcPr>
            <w:tcW w:w="1838" w:type="dxa"/>
          </w:tcPr>
          <w:p w14:paraId="24EE0A50" w14:textId="77777777" w:rsidR="001555E8" w:rsidRPr="00832FCE" w:rsidRDefault="001555E8" w:rsidP="007A799A">
            <w:pPr>
              <w:rPr>
                <w:rFonts w:ascii="Arial" w:hAnsi="Arial" w:cs="Arial"/>
                <w:sz w:val="20"/>
                <w:szCs w:val="20"/>
              </w:rPr>
            </w:pPr>
          </w:p>
        </w:tc>
        <w:tc>
          <w:tcPr>
            <w:tcW w:w="7791" w:type="dxa"/>
          </w:tcPr>
          <w:p w14:paraId="5B0E6186" w14:textId="77777777" w:rsidR="001555E8" w:rsidRPr="00832FCE" w:rsidRDefault="001555E8" w:rsidP="007A799A">
            <w:pPr>
              <w:rPr>
                <w:rFonts w:ascii="Arial" w:hAnsi="Arial" w:cs="Arial"/>
                <w:sz w:val="20"/>
                <w:szCs w:val="20"/>
              </w:rPr>
            </w:pPr>
          </w:p>
        </w:tc>
      </w:tr>
    </w:tbl>
    <w:p w14:paraId="5A8E9BCC" w14:textId="77777777" w:rsidR="001555E8" w:rsidRDefault="001555E8" w:rsidP="00C33936">
      <w:pPr>
        <w:pStyle w:val="BodyText"/>
      </w:pPr>
    </w:p>
    <w:p w14:paraId="2BBDAF85" w14:textId="77777777" w:rsidR="00E671BE" w:rsidRDefault="00E671BE" w:rsidP="00C33936">
      <w:pPr>
        <w:pStyle w:val="BodyText"/>
      </w:pPr>
    </w:p>
    <w:p w14:paraId="7CB89BA0" w14:textId="7B41F0BE" w:rsidR="00673DCC" w:rsidRDefault="00C33936" w:rsidP="00C33936">
      <w:pPr>
        <w:pStyle w:val="BodyText"/>
      </w:pPr>
      <w:r>
        <w:t>The topic of common fields in dedicated signalling was discussed during RAN2#114 and captured as follows:</w:t>
      </w:r>
    </w:p>
    <w:p w14:paraId="672DDA3A" w14:textId="77777777" w:rsidR="00182C5B" w:rsidRPr="00045CFB" w:rsidRDefault="00182C5B" w:rsidP="00045CFB">
      <w:pPr>
        <w:pStyle w:val="BodyText"/>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D0078F" w:rsidP="00182C5B">
      <w:pPr>
        <w:pStyle w:val="Doc-title"/>
      </w:pPr>
      <w:hyperlink r:id="rId14" w:history="1">
        <w:r w:rsidR="00182C5B" w:rsidRPr="00C33936">
          <w:rPr>
            <w:rStyle w:val="Hyperlink"/>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w:t>
      </w:r>
      <w:proofErr w:type="spellStart"/>
      <w:r>
        <w:rPr>
          <w:lang w:val="en-US"/>
        </w:rPr>
        <w:t>tdoc</w:t>
      </w:r>
      <w:proofErr w:type="spellEnd"/>
      <w:r>
        <w:rPr>
          <w:lang w:val="en-US"/>
        </w:rPr>
        <w:t xml:space="preserve"> has now been updated with more examples, 2.1.2 BWP UL Common contains RACH config common, contains some parameters that are dependent on UE cap which is not signaled. Also the field PRACH root seq index has no capability. </w:t>
      </w:r>
    </w:p>
    <w:p w14:paraId="666C6194" w14:textId="77777777" w:rsidR="00182C5B" w:rsidRPr="004D7A2B" w:rsidRDefault="00182C5B" w:rsidP="00182C5B">
      <w:pPr>
        <w:pStyle w:val="Doc-text2"/>
      </w:pPr>
    </w:p>
    <w:p w14:paraId="66E86B1E" w14:textId="4CCEAD7D" w:rsidR="00182C5B" w:rsidRDefault="00D0078F" w:rsidP="00182C5B">
      <w:pPr>
        <w:pStyle w:val="Doc-title"/>
      </w:pPr>
      <w:hyperlink r:id="rId15" w:history="1">
        <w:r w:rsidR="00182C5B" w:rsidRPr="00C33936">
          <w:rPr>
            <w:rStyle w:val="Hyperlink"/>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t>DISCUSSION</w:t>
      </w:r>
    </w:p>
    <w:p w14:paraId="3CDE7560" w14:textId="77777777" w:rsidR="00182C5B" w:rsidRDefault="00182C5B" w:rsidP="00182C5B">
      <w:pPr>
        <w:pStyle w:val="Doc-text2"/>
      </w:pPr>
      <w:r>
        <w:t>-</w:t>
      </w:r>
      <w:r>
        <w:tab/>
        <w:t xml:space="preserve">Ericsson wonder for the HO scenario this would apply, and for this case SI is </w:t>
      </w:r>
      <w:proofErr w:type="spellStart"/>
      <w:r>
        <w:t>assued</w:t>
      </w:r>
      <w:proofErr w:type="spellEnd"/>
      <w:r>
        <w:t xml:space="preserve"> included. </w:t>
      </w:r>
    </w:p>
    <w:p w14:paraId="3D49B2ED" w14:textId="77777777" w:rsidR="00182C5B" w:rsidRDefault="00182C5B" w:rsidP="00182C5B">
      <w:pPr>
        <w:pStyle w:val="Doc-text2"/>
      </w:pPr>
      <w:r>
        <w:lastRenderedPageBreak/>
        <w:t>-</w:t>
      </w:r>
      <w:r>
        <w:tab/>
        <w:t xml:space="preserve">QC think this may apply in any case. </w:t>
      </w:r>
    </w:p>
    <w:p w14:paraId="4F61F9C6" w14:textId="77777777" w:rsidR="00182C5B" w:rsidRDefault="00182C5B" w:rsidP="00182C5B">
      <w:pPr>
        <w:pStyle w:val="Doc-text2"/>
      </w:pPr>
      <w:r>
        <w:t>-</w:t>
      </w:r>
      <w:r>
        <w:tab/>
        <w:t xml:space="preserve">Intel think that for delta </w:t>
      </w:r>
      <w:proofErr w:type="spellStart"/>
      <w:r>
        <w:t>signalling</w:t>
      </w:r>
      <w:proofErr w:type="spellEnd"/>
      <w:r>
        <w:t xml:space="preserve"> common we need </w:t>
      </w:r>
      <w:proofErr w:type="spellStart"/>
      <w:r>
        <w:t>Need</w:t>
      </w:r>
      <w:proofErr w:type="spellEnd"/>
      <w:r>
        <w:t xml:space="preserve"> R. Has there been issues. QC think that for </w:t>
      </w:r>
      <w:proofErr w:type="spellStart"/>
      <w:r>
        <w:t>servingcellconfigcommonSIB</w:t>
      </w:r>
      <w:proofErr w:type="spellEnd"/>
      <w:r>
        <w:t xml:space="preserve"> this may be the case but not for </w:t>
      </w:r>
      <w:proofErr w:type="spellStart"/>
      <w:r>
        <w:t>servingcellconfigcommon</w:t>
      </w:r>
      <w:proofErr w:type="spellEnd"/>
      <w:r>
        <w:t xml:space="preserve">. </w:t>
      </w:r>
    </w:p>
    <w:p w14:paraId="7CB80C4C" w14:textId="77777777" w:rsidR="00182C5B" w:rsidRDefault="00182C5B" w:rsidP="00182C5B">
      <w:pPr>
        <w:pStyle w:val="Doc-text2"/>
      </w:pPr>
      <w:r>
        <w:t>-</w:t>
      </w:r>
      <w:r>
        <w:tab/>
        <w:t xml:space="preserve">Huawei think that delta </w:t>
      </w:r>
      <w:proofErr w:type="spellStart"/>
      <w:r>
        <w:t>signalling</w:t>
      </w:r>
      <w:proofErr w:type="spellEnd"/>
      <w:r>
        <w:t xml:space="preserve"> for </w:t>
      </w:r>
      <w:proofErr w:type="spellStart"/>
      <w:r>
        <w:t>servingcellconfigcommon</w:t>
      </w:r>
      <w:proofErr w:type="spellEnd"/>
      <w:r>
        <w:t xml:space="preserve"> is not assumed as the configuration is soon overridden by </w:t>
      </w:r>
      <w:proofErr w:type="spellStart"/>
      <w:r>
        <w:t>servingcellconfigcommonSIB</w:t>
      </w:r>
      <w:proofErr w:type="spellEnd"/>
      <w:r>
        <w:t xml:space="preserve">. QC think that there is a time when </w:t>
      </w:r>
      <w:proofErr w:type="spellStart"/>
      <w:r>
        <w:t>servingcellconfigcommon</w:t>
      </w:r>
      <w:proofErr w:type="spellEnd"/>
      <w:r>
        <w:t xml:space="preserve"> is </w:t>
      </w:r>
      <w:proofErr w:type="spellStart"/>
      <w:r>
        <w:t>appled</w:t>
      </w:r>
      <w:proofErr w:type="spellEnd"/>
      <w:r>
        <w:t xml:space="preserve">.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D0078F" w:rsidP="00182C5B">
      <w:pPr>
        <w:pStyle w:val="Doc-title"/>
      </w:pPr>
      <w:hyperlink r:id="rId16" w:history="1">
        <w:r w:rsidR="00182C5B" w:rsidRPr="00C33936">
          <w:rPr>
            <w:rStyle w:val="Hyperlink"/>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Hyperlink"/>
          </w:rPr>
          <w:t>R2-2106451</w:t>
        </w:r>
      </w:hyperlink>
    </w:p>
    <w:p w14:paraId="3A9228E0" w14:textId="376EC780" w:rsidR="00182C5B" w:rsidRDefault="00D0078F" w:rsidP="00182C5B">
      <w:pPr>
        <w:pStyle w:val="Doc-title"/>
      </w:pPr>
      <w:hyperlink r:id="rId18" w:history="1">
        <w:r w:rsidR="00182C5B" w:rsidRPr="00C33936">
          <w:rPr>
            <w:rStyle w:val="Hyperlink"/>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w:t>
      </w:r>
      <w:proofErr w:type="spellStart"/>
      <w:r>
        <w:t>neded</w:t>
      </w:r>
      <w:proofErr w:type="spellEnd"/>
      <w:r>
        <w:t xml:space="preserve">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 xml:space="preserve">Intel think that if companies want to </w:t>
      </w:r>
      <w:proofErr w:type="spellStart"/>
      <w:r>
        <w:t>anayse</w:t>
      </w:r>
      <w:proofErr w:type="spellEnd"/>
      <w:r>
        <w:t xml:space="preserv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BodyText"/>
      </w:pPr>
      <w:r>
        <w:t>The three input documents have the following proposals:</w:t>
      </w:r>
    </w:p>
    <w:p w14:paraId="7BE492AB" w14:textId="6F1276F7" w:rsidR="00C33936" w:rsidRPr="00C10FF5" w:rsidRDefault="00D0078F" w:rsidP="00C33936">
      <w:pPr>
        <w:pStyle w:val="Doc-title"/>
      </w:pPr>
      <w:hyperlink r:id="rId19" w:history="1">
        <w:r w:rsidR="00C33936" w:rsidRPr="00C33936">
          <w:rPr>
            <w:rStyle w:val="Hyperlink"/>
          </w:rPr>
          <w:t>R2-2105933</w:t>
        </w:r>
      </w:hyperlink>
      <w:r w:rsidR="00C33936">
        <w:tab/>
        <w:t>Configuration of common fields in dedicated signalling</w:t>
      </w:r>
      <w:r w:rsidR="00C33936">
        <w:tab/>
        <w:t>Ericsson</w:t>
      </w:r>
    </w:p>
    <w:p w14:paraId="3D064D32" w14:textId="77777777" w:rsidR="00C33936" w:rsidRDefault="00C33936" w:rsidP="00C33936">
      <w:pPr>
        <w:pStyle w:val="BodyText"/>
      </w:pPr>
    </w:p>
    <w:p w14:paraId="72FAC8B4" w14:textId="77777777" w:rsidR="00FA420A" w:rsidRPr="00FA420A" w:rsidRDefault="00FA420A" w:rsidP="00C33936">
      <w:pPr>
        <w:pStyle w:val="BodyText"/>
        <w:ind w:left="1701" w:hanging="1701"/>
        <w:rPr>
          <w:b/>
          <w:bCs/>
        </w:rPr>
      </w:pPr>
      <w:r w:rsidRPr="00FA420A">
        <w:rPr>
          <w:b/>
          <w:bCs/>
        </w:rPr>
        <w:t>Observation 1</w:t>
      </w:r>
      <w:r w:rsidRPr="00FA420A">
        <w:rPr>
          <w:b/>
          <w:bCs/>
        </w:rPr>
        <w:tab/>
        <w:t xml:space="preserve">It is not clear if common configuration included in dedicated </w:t>
      </w:r>
      <w:proofErr w:type="spellStart"/>
      <w:r w:rsidRPr="00FA420A">
        <w:rPr>
          <w:b/>
          <w:bCs/>
        </w:rPr>
        <w:t>signaling</w:t>
      </w:r>
      <w:proofErr w:type="spellEnd"/>
      <w:r w:rsidRPr="00FA420A">
        <w:rPr>
          <w:b/>
          <w:bCs/>
        </w:rPr>
        <w:t xml:space="preserve"> should contain all the relevant parameters </w:t>
      </w:r>
      <w:proofErr w:type="spellStart"/>
      <w:r w:rsidRPr="00FA420A">
        <w:rPr>
          <w:b/>
          <w:bCs/>
        </w:rPr>
        <w:t>signaled</w:t>
      </w:r>
      <w:proofErr w:type="spellEnd"/>
      <w:r w:rsidRPr="00FA420A">
        <w:rPr>
          <w:b/>
          <w:bCs/>
        </w:rPr>
        <w:t xml:space="preserve"> in SI or whether it should be tailored according to the UE capabilities.</w:t>
      </w:r>
    </w:p>
    <w:p w14:paraId="07ECA6E9" w14:textId="77777777" w:rsidR="00FA420A" w:rsidRPr="00FA420A" w:rsidRDefault="00FA420A" w:rsidP="00C33936">
      <w:pPr>
        <w:pStyle w:val="BodyText"/>
        <w:ind w:left="1701" w:hanging="1701"/>
        <w:rPr>
          <w:b/>
          <w:bCs/>
        </w:rPr>
      </w:pPr>
      <w:r w:rsidRPr="00FA420A">
        <w:rPr>
          <w:b/>
          <w:bCs/>
        </w:rPr>
        <w:t>Proposal 1</w:t>
      </w:r>
      <w:r w:rsidRPr="00FA420A">
        <w:rPr>
          <w:b/>
          <w:bCs/>
        </w:rPr>
        <w:tab/>
        <w:t xml:space="preserve">RAN2 to confirm that any extensions included in the initial BWP configuration included in </w:t>
      </w:r>
      <w:proofErr w:type="spellStart"/>
      <w:r w:rsidRPr="00FA420A">
        <w:rPr>
          <w:b/>
          <w:bCs/>
        </w:rPr>
        <w:t>ServingCellConfigCommon</w:t>
      </w:r>
      <w:proofErr w:type="spellEnd"/>
      <w:r w:rsidRPr="00FA420A">
        <w:rPr>
          <w:b/>
          <w:bCs/>
        </w:rPr>
        <w:t xml:space="preserve"> should match MIB and SIB1 (implying that a UE should successfully decode the initial BWP configuration included in </w:t>
      </w:r>
      <w:proofErr w:type="spellStart"/>
      <w:r w:rsidRPr="00FA420A">
        <w:rPr>
          <w:b/>
          <w:bCs/>
        </w:rPr>
        <w:t>ServingCellConfigCommon</w:t>
      </w:r>
      <w:proofErr w:type="spellEnd"/>
      <w:r w:rsidRPr="00FA420A">
        <w:rPr>
          <w:b/>
          <w:bCs/>
        </w:rPr>
        <w:t>).</w:t>
      </w:r>
    </w:p>
    <w:p w14:paraId="1CCBE0A9" w14:textId="77777777" w:rsidR="00FA420A" w:rsidRPr="00FA420A" w:rsidRDefault="00FA420A" w:rsidP="00C33936">
      <w:pPr>
        <w:pStyle w:val="BodyText"/>
        <w:ind w:left="1701" w:hanging="1701"/>
        <w:rPr>
          <w:b/>
          <w:bCs/>
        </w:rPr>
      </w:pPr>
      <w:r w:rsidRPr="00FA420A">
        <w:rPr>
          <w:b/>
          <w:bCs/>
        </w:rPr>
        <w:t>Proposal 2</w:t>
      </w:r>
      <w:r w:rsidRPr="00FA420A">
        <w:rPr>
          <w:b/>
          <w:bCs/>
        </w:rPr>
        <w:tab/>
        <w:t xml:space="preserve">RAN2 to discuss whether extensions to the common IEs included in the dedicated BWP configuration in </w:t>
      </w:r>
      <w:proofErr w:type="spellStart"/>
      <w:r w:rsidRPr="00FA420A">
        <w:rPr>
          <w:b/>
          <w:bCs/>
        </w:rPr>
        <w:t>ServingCellConfig</w:t>
      </w:r>
      <w:proofErr w:type="spellEnd"/>
      <w:r w:rsidRPr="00FA420A">
        <w:rPr>
          <w:b/>
          <w:bCs/>
        </w:rPr>
        <w:t xml:space="preserve"> should be provided according to the UE capabilities or not.</w:t>
      </w:r>
    </w:p>
    <w:p w14:paraId="547666B8" w14:textId="77777777" w:rsidR="00FA420A" w:rsidRPr="00FA420A" w:rsidRDefault="00FA420A" w:rsidP="00C33936">
      <w:pPr>
        <w:pStyle w:val="BodyText"/>
        <w:ind w:left="1701" w:hanging="1701"/>
        <w:rPr>
          <w:b/>
          <w:bCs/>
        </w:rPr>
      </w:pPr>
      <w:r w:rsidRPr="00FA420A">
        <w:rPr>
          <w:b/>
          <w:bCs/>
        </w:rPr>
        <w:t>Proposal 3</w:t>
      </w:r>
      <w:r w:rsidRPr="00FA420A">
        <w:rPr>
          <w:b/>
          <w:bCs/>
        </w:rPr>
        <w:tab/>
        <w:t xml:space="preserve">If RAN2 concludes the network adapts extensions to the common IEs included in the dedicated BWP configuration in </w:t>
      </w:r>
      <w:proofErr w:type="spellStart"/>
      <w:r w:rsidRPr="00FA420A">
        <w:rPr>
          <w:b/>
          <w:bCs/>
        </w:rPr>
        <w:t>ServingCellConfig</w:t>
      </w:r>
      <w:proofErr w:type="spellEnd"/>
      <w:r w:rsidRPr="00FA420A">
        <w:rPr>
          <w:b/>
          <w:bCs/>
        </w:rPr>
        <w:t xml:space="preserve"> according to the UE capabilities, then discuss what to do with common IEs currently lacking UE capabilities.</w:t>
      </w:r>
    </w:p>
    <w:p w14:paraId="756D905A" w14:textId="6784DCAB" w:rsidR="00C33936" w:rsidRDefault="00D0078F" w:rsidP="00C33936">
      <w:pPr>
        <w:pStyle w:val="Doc-title"/>
      </w:pPr>
      <w:hyperlink r:id="rId20" w:history="1">
        <w:r w:rsidR="00C33936" w:rsidRPr="00C33936">
          <w:rPr>
            <w:rStyle w:val="Hyperlink"/>
          </w:rPr>
          <w:t>R2-2104919</w:t>
        </w:r>
      </w:hyperlink>
      <w:r w:rsidR="00C33936">
        <w:tab/>
        <w:t>Handling of common configuration</w:t>
      </w:r>
      <w:r w:rsidR="00C33936">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BodyText"/>
        <w:ind w:left="1701" w:hanging="1701"/>
        <w:rPr>
          <w:b/>
          <w:bCs/>
        </w:rPr>
      </w:pPr>
      <w:r w:rsidRPr="00C33936">
        <w:rPr>
          <w:b/>
          <w:bCs/>
        </w:rPr>
        <w:t>Observation 1:</w:t>
      </w:r>
      <w:r w:rsidRPr="00C33936">
        <w:rPr>
          <w:b/>
          <w:bCs/>
        </w:rPr>
        <w:tab/>
        <w:t xml:space="preserve">According to TS38.331, the UE does not distinguish between dedicated configuration and common configuration in checking if the UE is able to comply with the configuration included in the </w:t>
      </w:r>
      <w:proofErr w:type="spellStart"/>
      <w:r w:rsidRPr="00C33936">
        <w:rPr>
          <w:b/>
          <w:bCs/>
        </w:rPr>
        <w:t>RRCReconfiguration</w:t>
      </w:r>
      <w:proofErr w:type="spellEnd"/>
      <w:r w:rsidRPr="00C33936">
        <w:rPr>
          <w:b/>
          <w:bCs/>
        </w:rPr>
        <w:t xml:space="preserve"> message.</w:t>
      </w:r>
    </w:p>
    <w:p w14:paraId="66C0D2B9" w14:textId="77777777" w:rsidR="00050DC9" w:rsidRPr="00C33936" w:rsidRDefault="00050DC9" w:rsidP="00C33936">
      <w:pPr>
        <w:pStyle w:val="BodyText"/>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BodyText"/>
        <w:ind w:left="1701" w:hanging="1701"/>
        <w:rPr>
          <w:b/>
          <w:bCs/>
        </w:rPr>
      </w:pPr>
      <w:r w:rsidRPr="00C33936">
        <w:rPr>
          <w:b/>
          <w:bCs/>
        </w:rPr>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BodyText"/>
        <w:ind w:left="1701" w:hanging="1701"/>
        <w:rPr>
          <w:b/>
          <w:bCs/>
        </w:rPr>
      </w:pPr>
      <w:r w:rsidRPr="00C33936">
        <w:rPr>
          <w:b/>
          <w:bCs/>
        </w:rPr>
        <w:lastRenderedPageBreak/>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D0078F" w:rsidP="0055107A">
      <w:pPr>
        <w:pStyle w:val="Doc-title"/>
      </w:pPr>
      <w:hyperlink r:id="rId21" w:history="1">
        <w:r w:rsidR="0055107A" w:rsidRPr="00C33936">
          <w:rPr>
            <w:rStyle w:val="Hyperlink"/>
          </w:rPr>
          <w:t>R2-2106451</w:t>
        </w:r>
      </w:hyperlink>
      <w:r w:rsidR="0055107A">
        <w:tab/>
        <w:t>Discussion on the Common Configuration in the Dedicated Signaling</w:t>
      </w:r>
      <w:r w:rsidR="0055107A">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BodyText"/>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BodyText"/>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BodyText"/>
        <w:ind w:left="1701" w:hanging="1701"/>
        <w:rPr>
          <w:b/>
          <w:bCs/>
        </w:rPr>
      </w:pPr>
      <w:r>
        <w:rPr>
          <w:rFonts w:hint="eastAsia"/>
          <w:b/>
          <w:bCs/>
        </w:rPr>
        <w:t>Observation 2:</w:t>
      </w:r>
      <w:r w:rsidR="0055107A">
        <w:rPr>
          <w:b/>
          <w:bCs/>
        </w:rPr>
        <w:tab/>
      </w:r>
      <w:r>
        <w:rPr>
          <w:rFonts w:hint="eastAsia"/>
          <w:b/>
          <w:bCs/>
        </w:rPr>
        <w:t xml:space="preserve">For the </w:t>
      </w:r>
      <w:proofErr w:type="spellStart"/>
      <w:r w:rsidRPr="0055107A">
        <w:rPr>
          <w:b/>
          <w:bCs/>
        </w:rPr>
        <w:t>ServingCellConfigCommon</w:t>
      </w:r>
      <w:proofErr w:type="spellEnd"/>
      <w:r w:rsidRPr="0055107A">
        <w:rPr>
          <w:b/>
          <w:bCs/>
        </w:rPr>
        <w:t>, except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rateMatchPatternToAddModList</w:t>
      </w:r>
      <w:proofErr w:type="spellEnd"/>
      <w:r w:rsidRPr="0055107A">
        <w:rPr>
          <w:b/>
          <w:bCs/>
        </w:rPr>
        <w:t>, all of other elements are also included in the system Information.</w:t>
      </w:r>
    </w:p>
    <w:p w14:paraId="4CB8B6D4" w14:textId="46354282" w:rsidR="00964EE6" w:rsidRPr="0055107A" w:rsidRDefault="00964EE6" w:rsidP="0055107A">
      <w:pPr>
        <w:pStyle w:val="BodyText"/>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w:t>
      </w:r>
      <w:r w:rsidRPr="0055107A">
        <w:rPr>
          <w:rFonts w:hint="eastAsia"/>
          <w:b/>
          <w:bCs/>
        </w:rPr>
        <w:t>t</w:t>
      </w:r>
      <w:proofErr w:type="spellEnd"/>
      <w:r w:rsidRPr="0055107A">
        <w:rPr>
          <w:rFonts w:hint="eastAsia"/>
          <w:b/>
          <w:bCs/>
        </w:rPr>
        <w:t xml:space="preserve"> </w:t>
      </w:r>
      <w:r w:rsidRPr="0055107A">
        <w:rPr>
          <w:b/>
          <w:bCs/>
        </w:rPr>
        <w:t>is LTE/NR co-existence</w:t>
      </w:r>
      <w:r w:rsidRPr="0055107A">
        <w:rPr>
          <w:rFonts w:hint="eastAsia"/>
          <w:b/>
          <w:bCs/>
        </w:rPr>
        <w:t>.</w:t>
      </w:r>
    </w:p>
    <w:p w14:paraId="654AB9A1" w14:textId="6F67AE55" w:rsidR="00964EE6" w:rsidRDefault="00964EE6" w:rsidP="0055107A">
      <w:pPr>
        <w:pStyle w:val="BodyText"/>
        <w:ind w:left="1701" w:hanging="1701"/>
        <w:rPr>
          <w:b/>
          <w:bCs/>
        </w:rPr>
      </w:pPr>
      <w:r>
        <w:rPr>
          <w:rFonts w:hint="eastAsia"/>
          <w:b/>
          <w:bCs/>
        </w:rPr>
        <w:t>Proposal 2:</w:t>
      </w:r>
      <w:r w:rsidR="0055107A">
        <w:rPr>
          <w:b/>
          <w:bCs/>
        </w:rPr>
        <w:tab/>
      </w:r>
      <w:r>
        <w:rPr>
          <w:b/>
          <w:bCs/>
        </w:rPr>
        <w:t>For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b/>
          <w:bCs/>
        </w:rPr>
        <w:t>/</w:t>
      </w:r>
      <w:proofErr w:type="spellStart"/>
      <w:r w:rsidRPr="0055107A">
        <w:rPr>
          <w:b/>
          <w:bCs/>
        </w:rPr>
        <w:t>rateMatchPatternToAddModList</w:t>
      </w:r>
      <w:proofErr w:type="spellEnd"/>
      <w:r>
        <w:rPr>
          <w:b/>
          <w:bCs/>
        </w:rPr>
        <w:t xml:space="preserve"> configuration in the </w:t>
      </w:r>
      <w:proofErr w:type="spellStart"/>
      <w:r w:rsidRPr="0055107A">
        <w:rPr>
          <w:b/>
          <w:bCs/>
        </w:rPr>
        <w:t>ServingCellConfigCommon</w:t>
      </w:r>
      <w:proofErr w:type="spellEnd"/>
      <w:r>
        <w:rPr>
          <w:b/>
          <w:bCs/>
        </w:rPr>
        <w:t>, no need to match the UE capability (i.e.</w:t>
      </w:r>
      <w:r>
        <w:rPr>
          <w:rFonts w:hint="eastAsia"/>
          <w:b/>
          <w:bCs/>
        </w:rPr>
        <w:t xml:space="preserve"> </w:t>
      </w:r>
      <w:proofErr w:type="spellStart"/>
      <w:r w:rsidRPr="0055107A">
        <w:rPr>
          <w:b/>
          <w:bCs/>
        </w:rPr>
        <w:t>rateMatchingLTE</w:t>
      </w:r>
      <w:proofErr w:type="spellEnd"/>
      <w:r w:rsidRPr="0055107A">
        <w:rPr>
          <w:b/>
          <w:bCs/>
        </w:rPr>
        <w:t>-CRS /</w:t>
      </w:r>
      <w:proofErr w:type="spellStart"/>
      <w:r w:rsidRPr="0055107A">
        <w:rPr>
          <w:b/>
          <w:bCs/>
        </w:rPr>
        <w:t>rateMatchingResrcSetSemi</w:t>
      </w:r>
      <w:proofErr w:type="spellEnd"/>
      <w:r w:rsidRPr="0055107A">
        <w:rPr>
          <w:b/>
          <w:bCs/>
        </w:rPr>
        <w:t>-Static</w:t>
      </w:r>
      <w:r>
        <w:rPr>
          <w:b/>
          <w:bCs/>
        </w:rPr>
        <w:t>)</w:t>
      </w:r>
      <w:r>
        <w:rPr>
          <w:rFonts w:hint="eastAsia"/>
          <w:b/>
          <w:bCs/>
        </w:rPr>
        <w:t>.</w:t>
      </w:r>
    </w:p>
    <w:p w14:paraId="7EC054CA" w14:textId="395A56D6" w:rsidR="00964EE6" w:rsidRPr="0055107A" w:rsidRDefault="00964EE6" w:rsidP="0055107A">
      <w:pPr>
        <w:pStyle w:val="BodyText"/>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w:t>
      </w:r>
      <w:proofErr w:type="spellStart"/>
      <w:r>
        <w:rPr>
          <w:b/>
          <w:bCs/>
        </w:rPr>
        <w:t>e.g.</w:t>
      </w:r>
      <w:r w:rsidRPr="0055107A">
        <w:rPr>
          <w:b/>
          <w:bCs/>
        </w:rPr>
        <w:t>controlResourceSetZero</w:t>
      </w:r>
      <w:proofErr w:type="spellEnd"/>
      <w:r>
        <w:rPr>
          <w:b/>
          <w:bCs/>
        </w:rPr>
        <w:t>   and </w:t>
      </w:r>
      <w:proofErr w:type="spellStart"/>
      <w:r w:rsidRPr="0055107A">
        <w:rPr>
          <w:b/>
          <w:bCs/>
        </w:rPr>
        <w:t>searchSpaceZero</w:t>
      </w:r>
      <w:proofErr w:type="spellEnd"/>
      <w:r>
        <w:rPr>
          <w:b/>
          <w:bCs/>
        </w:rPr>
        <w:t>  in the </w:t>
      </w:r>
      <w:proofErr w:type="spellStart"/>
      <w:r w:rsidRPr="0055107A">
        <w:rPr>
          <w:b/>
          <w:bCs/>
        </w:rPr>
        <w:t>downlinkConfigCommon</w:t>
      </w:r>
      <w:proofErr w:type="spellEnd"/>
      <w:r>
        <w:rPr>
          <w:b/>
          <w:bCs/>
        </w:rPr>
        <w:t>,  which can be  configured in </w:t>
      </w:r>
      <w:proofErr w:type="spellStart"/>
      <w:r w:rsidRPr="0055107A">
        <w:rPr>
          <w:b/>
          <w:bCs/>
        </w:rPr>
        <w:t>ServingCellConfigCommon</w:t>
      </w:r>
      <w:proofErr w:type="spellEnd"/>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BodyText"/>
      </w:pPr>
      <w:r>
        <w:t xml:space="preserve">Based on the input papers </w:t>
      </w:r>
      <w:r w:rsidR="0055107A">
        <w:t>the rapporteur thinks there are four issues to address.</w:t>
      </w:r>
    </w:p>
    <w:p w14:paraId="63C60D2B" w14:textId="0EDAB754" w:rsidR="0055107A" w:rsidRDefault="0055107A" w:rsidP="0055107A">
      <w:pPr>
        <w:pStyle w:val="BodyText"/>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BodyText"/>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BodyText"/>
        <w:numPr>
          <w:ilvl w:val="0"/>
          <w:numId w:val="26"/>
        </w:numPr>
      </w:pPr>
      <w:r>
        <w:t xml:space="preserve">Contents of </w:t>
      </w:r>
      <w:proofErr w:type="spellStart"/>
      <w:r>
        <w:t>RRCReconfiguration</w:t>
      </w:r>
      <w:proofErr w:type="spellEnd"/>
      <w:r>
        <w:t xml:space="preserve"> – This is about which fields to include in </w:t>
      </w:r>
      <w:proofErr w:type="spellStart"/>
      <w:r>
        <w:t>RRCReconfiguration</w:t>
      </w:r>
      <w:proofErr w:type="spellEnd"/>
      <w:r>
        <w:t xml:space="preserve"> and comes as a consequence of the two prior issues.</w:t>
      </w:r>
    </w:p>
    <w:p w14:paraId="5F076249" w14:textId="1D9C313A" w:rsidR="0055107A" w:rsidRDefault="00BA6965" w:rsidP="0055107A">
      <w:pPr>
        <w:pStyle w:val="BodyText"/>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Heading2"/>
      </w:pPr>
      <w:r>
        <w:t>1.1</w:t>
      </w:r>
      <w:r>
        <w:tab/>
        <w:t>Issue 1 – Consistency</w:t>
      </w:r>
    </w:p>
    <w:p w14:paraId="10206110" w14:textId="6165CDEF" w:rsidR="000A6DD5" w:rsidRDefault="00832FCE" w:rsidP="00832FCE">
      <w:pPr>
        <w:pStyle w:val="BodyText"/>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BodyText"/>
      </w:pPr>
      <w:r>
        <w:t>The rapporteur proposes:</w:t>
      </w:r>
    </w:p>
    <w:p w14:paraId="50D8DFB8" w14:textId="3F3F60D3" w:rsidR="00832FCE" w:rsidRDefault="00832FCE" w:rsidP="00832FCE">
      <w:pPr>
        <w:pStyle w:val="Proposal"/>
      </w:pPr>
      <w:r w:rsidRPr="00F919FB">
        <w:t xml:space="preserve">Consistency of common information: </w:t>
      </w:r>
      <w:r>
        <w:t xml:space="preserve">Stick to the principle that </w:t>
      </w:r>
      <w:proofErr w:type="spellStart"/>
      <w:r>
        <w:t>ServingCellConfigCommon</w:t>
      </w:r>
      <w:proofErr w:type="spellEnd"/>
      <w:r>
        <w:t xml:space="preserve"> contains the same information as SIB1, i.e., fields that are present in </w:t>
      </w:r>
      <w:proofErr w:type="spellStart"/>
      <w:r>
        <w:t>ServingCellConfigCommon</w:t>
      </w:r>
      <w:proofErr w:type="spellEnd"/>
      <w:r>
        <w:t xml:space="preserve"> shall have the same value as the corresponding field in SIB1.</w:t>
      </w:r>
    </w:p>
    <w:p w14:paraId="7D2A0A44" w14:textId="2E8A5B0F" w:rsidR="00832FCE" w:rsidRDefault="00832FCE" w:rsidP="00832FCE">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79AD64AF" w:rsidR="00832FCE" w:rsidRPr="00832FCE" w:rsidRDefault="00832FCE" w:rsidP="009161F7">
            <w:pPr>
              <w:rPr>
                <w:rFonts w:ascii="Arial" w:hAnsi="Arial" w:cs="Arial"/>
                <w:sz w:val="20"/>
                <w:szCs w:val="20"/>
              </w:rPr>
            </w:pPr>
          </w:p>
        </w:tc>
        <w:tc>
          <w:tcPr>
            <w:tcW w:w="7791" w:type="dxa"/>
          </w:tcPr>
          <w:p w14:paraId="0F2CBC4B" w14:textId="74B90979" w:rsidR="00832FCE" w:rsidRPr="00832FCE" w:rsidRDefault="00832FCE" w:rsidP="009161F7">
            <w:pPr>
              <w:rPr>
                <w:rFonts w:ascii="Arial" w:hAnsi="Arial" w:cs="Arial"/>
                <w:sz w:val="20"/>
                <w:szCs w:val="20"/>
              </w:rPr>
            </w:pPr>
          </w:p>
        </w:tc>
      </w:tr>
      <w:tr w:rsidR="00832FCE" w:rsidRPr="00832FCE" w14:paraId="5C6E0030" w14:textId="77777777" w:rsidTr="00832FCE">
        <w:tc>
          <w:tcPr>
            <w:tcW w:w="1838" w:type="dxa"/>
          </w:tcPr>
          <w:p w14:paraId="361E4E9A" w14:textId="77777777" w:rsidR="00832FCE" w:rsidRPr="00832FCE" w:rsidRDefault="00832FCE" w:rsidP="009161F7">
            <w:pPr>
              <w:rPr>
                <w:rFonts w:ascii="Arial" w:hAnsi="Arial" w:cs="Arial"/>
                <w:sz w:val="20"/>
                <w:szCs w:val="20"/>
              </w:rPr>
            </w:pPr>
          </w:p>
        </w:tc>
        <w:tc>
          <w:tcPr>
            <w:tcW w:w="7791" w:type="dxa"/>
          </w:tcPr>
          <w:p w14:paraId="43BA4821" w14:textId="77777777" w:rsidR="00832FCE" w:rsidRPr="00832FCE" w:rsidRDefault="00832FCE" w:rsidP="009161F7">
            <w:pPr>
              <w:rPr>
                <w:rFonts w:ascii="Arial" w:hAnsi="Arial" w:cs="Arial"/>
                <w:sz w:val="20"/>
                <w:szCs w:val="20"/>
              </w:rPr>
            </w:pPr>
          </w:p>
        </w:tc>
      </w:tr>
      <w:tr w:rsidR="00832FCE" w:rsidRPr="00832FCE" w14:paraId="12BC5034" w14:textId="77777777" w:rsidTr="00832FCE">
        <w:tc>
          <w:tcPr>
            <w:tcW w:w="1838" w:type="dxa"/>
          </w:tcPr>
          <w:p w14:paraId="030A285A" w14:textId="77777777" w:rsidR="00832FCE" w:rsidRPr="00832FCE" w:rsidRDefault="00832FCE" w:rsidP="009161F7">
            <w:pPr>
              <w:rPr>
                <w:rFonts w:ascii="Arial" w:hAnsi="Arial" w:cs="Arial"/>
                <w:sz w:val="20"/>
                <w:szCs w:val="20"/>
              </w:rPr>
            </w:pPr>
          </w:p>
        </w:tc>
        <w:tc>
          <w:tcPr>
            <w:tcW w:w="7791" w:type="dxa"/>
          </w:tcPr>
          <w:p w14:paraId="37BAC24A" w14:textId="77777777" w:rsidR="00832FCE" w:rsidRPr="00832FCE" w:rsidRDefault="00832FCE" w:rsidP="009161F7">
            <w:pPr>
              <w:rPr>
                <w:rFonts w:ascii="Arial" w:hAnsi="Arial" w:cs="Arial"/>
                <w:sz w:val="20"/>
                <w:szCs w:val="20"/>
              </w:rPr>
            </w:pPr>
          </w:p>
        </w:tc>
      </w:tr>
      <w:tr w:rsidR="00832FCE" w:rsidRPr="00832FCE" w14:paraId="38A0EDDE" w14:textId="77777777" w:rsidTr="00832FCE">
        <w:tc>
          <w:tcPr>
            <w:tcW w:w="1838" w:type="dxa"/>
          </w:tcPr>
          <w:p w14:paraId="5D5D91A9" w14:textId="77777777" w:rsidR="00832FCE" w:rsidRPr="00832FCE" w:rsidRDefault="00832FCE" w:rsidP="009161F7">
            <w:pPr>
              <w:rPr>
                <w:rFonts w:ascii="Arial" w:hAnsi="Arial" w:cs="Arial"/>
                <w:sz w:val="20"/>
                <w:szCs w:val="20"/>
              </w:rPr>
            </w:pPr>
          </w:p>
        </w:tc>
        <w:tc>
          <w:tcPr>
            <w:tcW w:w="7791" w:type="dxa"/>
          </w:tcPr>
          <w:p w14:paraId="69A9F821" w14:textId="77777777" w:rsidR="00832FCE" w:rsidRPr="00832FCE" w:rsidRDefault="00832FCE" w:rsidP="009161F7">
            <w:pPr>
              <w:rPr>
                <w:rFonts w:ascii="Arial" w:hAnsi="Arial" w:cs="Arial"/>
                <w:sz w:val="20"/>
                <w:szCs w:val="20"/>
              </w:rPr>
            </w:pPr>
          </w:p>
        </w:tc>
      </w:tr>
      <w:tr w:rsidR="00832FCE" w:rsidRPr="00832FCE" w14:paraId="14FD49EA" w14:textId="77777777" w:rsidTr="00832FCE">
        <w:tc>
          <w:tcPr>
            <w:tcW w:w="1838" w:type="dxa"/>
          </w:tcPr>
          <w:p w14:paraId="10D23C5C" w14:textId="77777777" w:rsidR="00832FCE" w:rsidRPr="00832FCE" w:rsidRDefault="00832FCE" w:rsidP="009161F7">
            <w:pPr>
              <w:rPr>
                <w:rFonts w:ascii="Arial" w:hAnsi="Arial" w:cs="Arial"/>
                <w:sz w:val="20"/>
                <w:szCs w:val="20"/>
              </w:rPr>
            </w:pPr>
          </w:p>
        </w:tc>
        <w:tc>
          <w:tcPr>
            <w:tcW w:w="7791" w:type="dxa"/>
          </w:tcPr>
          <w:p w14:paraId="6C625FAC" w14:textId="77777777" w:rsidR="00832FCE" w:rsidRPr="00832FCE" w:rsidRDefault="00832FCE" w:rsidP="009161F7">
            <w:pPr>
              <w:rPr>
                <w:rFonts w:ascii="Arial" w:hAnsi="Arial" w:cs="Arial"/>
                <w:sz w:val="20"/>
                <w:szCs w:val="20"/>
              </w:rPr>
            </w:pPr>
          </w:p>
        </w:tc>
      </w:tr>
    </w:tbl>
    <w:p w14:paraId="0CD423CC" w14:textId="77777777" w:rsidR="00832FCE" w:rsidRPr="009161F7" w:rsidRDefault="00832FCE" w:rsidP="009161F7"/>
    <w:p w14:paraId="6ECEC058" w14:textId="73B366D4" w:rsidR="009161F7" w:rsidRDefault="009161F7" w:rsidP="009161F7">
      <w:pPr>
        <w:pStyle w:val="Heading2"/>
      </w:pPr>
      <w:r>
        <w:t>1.2</w:t>
      </w:r>
      <w:r>
        <w:tab/>
        <w:t>Issue 2 – Conformance</w:t>
      </w:r>
    </w:p>
    <w:p w14:paraId="269831F1" w14:textId="54493558" w:rsidR="00832FCE" w:rsidRDefault="00832FCE" w:rsidP="00414CF9">
      <w:pPr>
        <w:pStyle w:val="BodyText"/>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w:t>
      </w:r>
      <w:proofErr w:type="spellStart"/>
      <w:r>
        <w:t>RRCReconfiguration</w:t>
      </w:r>
      <w:proofErr w:type="spellEnd"/>
      <w:r>
        <w:t xml:space="preserve">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w:t>
      </w:r>
      <w:proofErr w:type="spellStart"/>
      <w:r>
        <w:t>RRCReconfiguration</w:t>
      </w:r>
      <w:proofErr w:type="spellEnd"/>
      <w:r>
        <w:t xml:space="preserve"> </w:t>
      </w:r>
      <w:r w:rsidR="00AF7724">
        <w:t xml:space="preserve">message </w:t>
      </w:r>
      <w:r>
        <w:t xml:space="preserve">shall be in accordance with the UE capabilities applies also to the </w:t>
      </w:r>
      <w:proofErr w:type="spellStart"/>
      <w:r>
        <w:t>xxxCommon</w:t>
      </w:r>
      <w:proofErr w:type="spellEnd"/>
      <w:r>
        <w:t xml:space="preserve"> fields </w:t>
      </w:r>
      <w:r w:rsidR="0073454E">
        <w:t xml:space="preserve">and IEs </w:t>
      </w:r>
      <w:r>
        <w:t xml:space="preserve">therein. </w:t>
      </w:r>
    </w:p>
    <w:p w14:paraId="2B1AAF41" w14:textId="77777777" w:rsidR="00414CF9" w:rsidRDefault="00414CF9" w:rsidP="00414CF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6958D3E7" w14:textId="77777777" w:rsidTr="007A799A">
        <w:tc>
          <w:tcPr>
            <w:tcW w:w="1838" w:type="dxa"/>
          </w:tcPr>
          <w:p w14:paraId="39C22D3A"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7A799A">
        <w:tc>
          <w:tcPr>
            <w:tcW w:w="1838" w:type="dxa"/>
          </w:tcPr>
          <w:p w14:paraId="0FC6475F" w14:textId="71ACEA7D" w:rsidR="00414CF9" w:rsidRPr="00832FCE" w:rsidRDefault="00414CF9" w:rsidP="007A799A">
            <w:pPr>
              <w:rPr>
                <w:rFonts w:ascii="Arial" w:hAnsi="Arial" w:cs="Arial"/>
                <w:sz w:val="20"/>
                <w:szCs w:val="20"/>
              </w:rPr>
            </w:pPr>
          </w:p>
        </w:tc>
        <w:tc>
          <w:tcPr>
            <w:tcW w:w="7791" w:type="dxa"/>
          </w:tcPr>
          <w:p w14:paraId="44ACC40E" w14:textId="0BFC85FD" w:rsidR="00414CF9" w:rsidRPr="00832FCE" w:rsidRDefault="00414CF9" w:rsidP="007A799A">
            <w:pPr>
              <w:rPr>
                <w:rFonts w:ascii="Arial" w:hAnsi="Arial" w:cs="Arial"/>
                <w:sz w:val="20"/>
                <w:szCs w:val="20"/>
              </w:rPr>
            </w:pPr>
          </w:p>
        </w:tc>
      </w:tr>
      <w:tr w:rsidR="00414CF9" w:rsidRPr="00832FCE" w14:paraId="68BA8DE5" w14:textId="77777777" w:rsidTr="007A799A">
        <w:tc>
          <w:tcPr>
            <w:tcW w:w="1838" w:type="dxa"/>
          </w:tcPr>
          <w:p w14:paraId="5A8B334A" w14:textId="77777777" w:rsidR="00414CF9" w:rsidRPr="00832FCE" w:rsidRDefault="00414CF9" w:rsidP="007A799A">
            <w:pPr>
              <w:rPr>
                <w:rFonts w:ascii="Arial" w:hAnsi="Arial" w:cs="Arial"/>
                <w:sz w:val="20"/>
                <w:szCs w:val="20"/>
              </w:rPr>
            </w:pPr>
          </w:p>
        </w:tc>
        <w:tc>
          <w:tcPr>
            <w:tcW w:w="7791" w:type="dxa"/>
          </w:tcPr>
          <w:p w14:paraId="293B7314" w14:textId="77777777" w:rsidR="00414CF9" w:rsidRPr="00832FCE" w:rsidRDefault="00414CF9" w:rsidP="007A799A">
            <w:pPr>
              <w:rPr>
                <w:rFonts w:ascii="Arial" w:hAnsi="Arial" w:cs="Arial"/>
                <w:sz w:val="20"/>
                <w:szCs w:val="20"/>
              </w:rPr>
            </w:pPr>
          </w:p>
        </w:tc>
      </w:tr>
      <w:tr w:rsidR="00414CF9" w:rsidRPr="00832FCE" w14:paraId="47B852DB" w14:textId="77777777" w:rsidTr="007A799A">
        <w:tc>
          <w:tcPr>
            <w:tcW w:w="1838" w:type="dxa"/>
          </w:tcPr>
          <w:p w14:paraId="57E27CE8" w14:textId="77777777" w:rsidR="00414CF9" w:rsidRPr="00832FCE" w:rsidRDefault="00414CF9" w:rsidP="007A799A">
            <w:pPr>
              <w:rPr>
                <w:rFonts w:ascii="Arial" w:hAnsi="Arial" w:cs="Arial"/>
                <w:sz w:val="20"/>
                <w:szCs w:val="20"/>
              </w:rPr>
            </w:pPr>
          </w:p>
        </w:tc>
        <w:tc>
          <w:tcPr>
            <w:tcW w:w="7791" w:type="dxa"/>
          </w:tcPr>
          <w:p w14:paraId="26DEADA5" w14:textId="77777777" w:rsidR="00414CF9" w:rsidRPr="00832FCE" w:rsidRDefault="00414CF9" w:rsidP="007A799A">
            <w:pPr>
              <w:rPr>
                <w:rFonts w:ascii="Arial" w:hAnsi="Arial" w:cs="Arial"/>
                <w:sz w:val="20"/>
                <w:szCs w:val="20"/>
              </w:rPr>
            </w:pPr>
          </w:p>
        </w:tc>
      </w:tr>
      <w:tr w:rsidR="00414CF9" w:rsidRPr="00832FCE" w14:paraId="65773559" w14:textId="77777777" w:rsidTr="007A799A">
        <w:tc>
          <w:tcPr>
            <w:tcW w:w="1838" w:type="dxa"/>
          </w:tcPr>
          <w:p w14:paraId="054F7314" w14:textId="77777777" w:rsidR="00414CF9" w:rsidRPr="00832FCE" w:rsidRDefault="00414CF9" w:rsidP="007A799A">
            <w:pPr>
              <w:rPr>
                <w:rFonts w:ascii="Arial" w:hAnsi="Arial" w:cs="Arial"/>
                <w:sz w:val="20"/>
                <w:szCs w:val="20"/>
              </w:rPr>
            </w:pPr>
          </w:p>
        </w:tc>
        <w:tc>
          <w:tcPr>
            <w:tcW w:w="7791" w:type="dxa"/>
          </w:tcPr>
          <w:p w14:paraId="53FE7FBC" w14:textId="77777777" w:rsidR="00414CF9" w:rsidRPr="00832FCE" w:rsidRDefault="00414CF9" w:rsidP="007A799A">
            <w:pPr>
              <w:rPr>
                <w:rFonts w:ascii="Arial" w:hAnsi="Arial" w:cs="Arial"/>
                <w:sz w:val="20"/>
                <w:szCs w:val="20"/>
              </w:rPr>
            </w:pPr>
          </w:p>
        </w:tc>
      </w:tr>
      <w:tr w:rsidR="00414CF9" w:rsidRPr="00832FCE" w14:paraId="0F147257" w14:textId="77777777" w:rsidTr="007A799A">
        <w:tc>
          <w:tcPr>
            <w:tcW w:w="1838" w:type="dxa"/>
          </w:tcPr>
          <w:p w14:paraId="2946804F" w14:textId="77777777" w:rsidR="00414CF9" w:rsidRPr="00832FCE" w:rsidRDefault="00414CF9" w:rsidP="007A799A">
            <w:pPr>
              <w:rPr>
                <w:rFonts w:ascii="Arial" w:hAnsi="Arial" w:cs="Arial"/>
                <w:sz w:val="20"/>
                <w:szCs w:val="20"/>
              </w:rPr>
            </w:pPr>
          </w:p>
        </w:tc>
        <w:tc>
          <w:tcPr>
            <w:tcW w:w="7791" w:type="dxa"/>
          </w:tcPr>
          <w:p w14:paraId="10B51C89" w14:textId="77777777" w:rsidR="00414CF9" w:rsidRPr="00832FCE" w:rsidRDefault="00414CF9" w:rsidP="007A799A">
            <w:pPr>
              <w:rPr>
                <w:rFonts w:ascii="Arial" w:hAnsi="Arial" w:cs="Arial"/>
                <w:sz w:val="20"/>
                <w:szCs w:val="20"/>
              </w:rPr>
            </w:pPr>
          </w:p>
        </w:tc>
      </w:tr>
    </w:tbl>
    <w:p w14:paraId="17904138" w14:textId="77777777" w:rsidR="00414CF9" w:rsidRDefault="00414CF9" w:rsidP="00832FCE"/>
    <w:p w14:paraId="0CB5D7D3" w14:textId="386E6442" w:rsidR="009161F7" w:rsidRDefault="009161F7" w:rsidP="009161F7">
      <w:pPr>
        <w:pStyle w:val="Heading2"/>
      </w:pPr>
      <w:r>
        <w:t>1.3</w:t>
      </w:r>
      <w:r>
        <w:tab/>
        <w:t>Issue 3 – Contents</w:t>
      </w:r>
    </w:p>
    <w:p w14:paraId="7E090F31" w14:textId="45F93B19" w:rsidR="00414CF9" w:rsidRDefault="00414CF9" w:rsidP="00414CF9">
      <w:pPr>
        <w:pStyle w:val="BodyText"/>
      </w:pPr>
      <w:r>
        <w:t xml:space="preserve">How does the network set the contents of </w:t>
      </w:r>
      <w:proofErr w:type="spellStart"/>
      <w:r>
        <w:t>RRCReconfiguration</w:t>
      </w:r>
      <w:proofErr w:type="spellEnd"/>
      <w:r w:rsidR="00184EAB">
        <w:t xml:space="preserve"> message</w:t>
      </w:r>
      <w:r>
        <w:t xml:space="preserve"> based on the principles outlined in issue 1 and 2? If a field in e.g. </w:t>
      </w:r>
      <w:proofErr w:type="spellStart"/>
      <w:r>
        <w:t>ServingCellConfigCommon</w:t>
      </w:r>
      <w:proofErr w:type="spellEnd"/>
      <w:r>
        <w:t xml:space="preserve">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 xml:space="preserve">Contents of </w:t>
      </w:r>
      <w:proofErr w:type="spellStart"/>
      <w:r>
        <w:t>xxxCommon</w:t>
      </w:r>
      <w:proofErr w:type="spellEnd"/>
      <w:r w:rsidR="00F71A3E">
        <w:t xml:space="preserve"> IEs</w:t>
      </w:r>
      <w:r w:rsidRPr="0077689A">
        <w:t xml:space="preserve"> in </w:t>
      </w:r>
      <w:proofErr w:type="spellStart"/>
      <w:r w:rsidRPr="0077689A">
        <w:t>RRCReconfiguration</w:t>
      </w:r>
      <w:proofErr w:type="spellEnd"/>
      <w:r w:rsidR="00184EAB">
        <w:t xml:space="preserve"> message</w:t>
      </w:r>
      <w:r>
        <w:t xml:space="preserve">: As a consequence of the previous two principles, the NW omits fields in </w:t>
      </w:r>
      <w:proofErr w:type="spellStart"/>
      <w:r>
        <w:t>xxxCommon</w:t>
      </w:r>
      <w:proofErr w:type="spellEnd"/>
      <w:r>
        <w:t xml:space="preserve"> </w:t>
      </w:r>
      <w:r w:rsidR="00184EAB">
        <w:t>IEs</w:t>
      </w:r>
      <w:r>
        <w:t xml:space="preserve"> in the </w:t>
      </w:r>
      <w:proofErr w:type="spellStart"/>
      <w:r>
        <w:t>RRCReconfiguration</w:t>
      </w:r>
      <w:proofErr w:type="spellEnd"/>
      <w:r>
        <w:t xml:space="preserve"> </w:t>
      </w:r>
      <w:r w:rsidR="00184EAB">
        <w:t xml:space="preserve">message </w:t>
      </w:r>
      <w:r>
        <w:t xml:space="preserve">if they are present in SIB1 but not supported by the UE. </w:t>
      </w:r>
    </w:p>
    <w:p w14:paraId="3F760F52" w14:textId="77777777" w:rsidR="00414CF9" w:rsidRDefault="00414CF9" w:rsidP="00414CF9">
      <w:pPr>
        <w:pStyle w:val="BodyText"/>
      </w:pPr>
      <w:bookmarkStart w:id="1" w:name="_Hlk75263614"/>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414CF9" w:rsidRPr="00832FCE" w14:paraId="0EB1B66E" w14:textId="77777777" w:rsidTr="007A799A">
        <w:tc>
          <w:tcPr>
            <w:tcW w:w="1838" w:type="dxa"/>
          </w:tcPr>
          <w:p w14:paraId="2F3697E7"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7A799A">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7A799A">
        <w:tc>
          <w:tcPr>
            <w:tcW w:w="1838" w:type="dxa"/>
          </w:tcPr>
          <w:p w14:paraId="52B04831" w14:textId="272A4D71" w:rsidR="00414CF9" w:rsidRPr="00832FCE" w:rsidRDefault="00414CF9" w:rsidP="007A799A">
            <w:pPr>
              <w:rPr>
                <w:rFonts w:ascii="Arial" w:hAnsi="Arial" w:cs="Arial"/>
                <w:sz w:val="20"/>
                <w:szCs w:val="20"/>
              </w:rPr>
            </w:pPr>
          </w:p>
        </w:tc>
        <w:tc>
          <w:tcPr>
            <w:tcW w:w="7791" w:type="dxa"/>
          </w:tcPr>
          <w:p w14:paraId="4FCE5C69" w14:textId="11ACA45D" w:rsidR="00414CF9" w:rsidRPr="00832FCE" w:rsidRDefault="00414CF9" w:rsidP="007A799A">
            <w:pPr>
              <w:rPr>
                <w:rFonts w:ascii="Arial" w:hAnsi="Arial" w:cs="Arial"/>
                <w:sz w:val="20"/>
                <w:szCs w:val="20"/>
              </w:rPr>
            </w:pPr>
          </w:p>
        </w:tc>
      </w:tr>
      <w:tr w:rsidR="00414CF9" w:rsidRPr="00832FCE" w14:paraId="299B9A3E" w14:textId="77777777" w:rsidTr="007A799A">
        <w:tc>
          <w:tcPr>
            <w:tcW w:w="1838" w:type="dxa"/>
          </w:tcPr>
          <w:p w14:paraId="5C905098" w14:textId="77777777" w:rsidR="00414CF9" w:rsidRPr="00832FCE" w:rsidRDefault="00414CF9" w:rsidP="007A799A">
            <w:pPr>
              <w:rPr>
                <w:rFonts w:ascii="Arial" w:hAnsi="Arial" w:cs="Arial"/>
                <w:sz w:val="20"/>
                <w:szCs w:val="20"/>
              </w:rPr>
            </w:pPr>
          </w:p>
        </w:tc>
        <w:tc>
          <w:tcPr>
            <w:tcW w:w="7791" w:type="dxa"/>
          </w:tcPr>
          <w:p w14:paraId="2770B34F" w14:textId="77777777" w:rsidR="00414CF9" w:rsidRPr="00832FCE" w:rsidRDefault="00414CF9" w:rsidP="007A799A">
            <w:pPr>
              <w:rPr>
                <w:rFonts w:ascii="Arial" w:hAnsi="Arial" w:cs="Arial"/>
                <w:sz w:val="20"/>
                <w:szCs w:val="20"/>
              </w:rPr>
            </w:pPr>
          </w:p>
        </w:tc>
      </w:tr>
      <w:tr w:rsidR="00414CF9" w:rsidRPr="00832FCE" w14:paraId="02CB2205" w14:textId="77777777" w:rsidTr="007A799A">
        <w:tc>
          <w:tcPr>
            <w:tcW w:w="1838" w:type="dxa"/>
          </w:tcPr>
          <w:p w14:paraId="51790D5F" w14:textId="77777777" w:rsidR="00414CF9" w:rsidRPr="00832FCE" w:rsidRDefault="00414CF9" w:rsidP="007A799A">
            <w:pPr>
              <w:rPr>
                <w:rFonts w:ascii="Arial" w:hAnsi="Arial" w:cs="Arial"/>
                <w:sz w:val="20"/>
                <w:szCs w:val="20"/>
              </w:rPr>
            </w:pPr>
          </w:p>
        </w:tc>
        <w:tc>
          <w:tcPr>
            <w:tcW w:w="7791" w:type="dxa"/>
          </w:tcPr>
          <w:p w14:paraId="2C02CEFA" w14:textId="77777777" w:rsidR="00414CF9" w:rsidRPr="00832FCE" w:rsidRDefault="00414CF9" w:rsidP="007A799A">
            <w:pPr>
              <w:rPr>
                <w:rFonts w:ascii="Arial" w:hAnsi="Arial" w:cs="Arial"/>
                <w:sz w:val="20"/>
                <w:szCs w:val="20"/>
              </w:rPr>
            </w:pPr>
          </w:p>
        </w:tc>
      </w:tr>
      <w:tr w:rsidR="00414CF9" w:rsidRPr="00832FCE" w14:paraId="1728AF56" w14:textId="77777777" w:rsidTr="007A799A">
        <w:tc>
          <w:tcPr>
            <w:tcW w:w="1838" w:type="dxa"/>
          </w:tcPr>
          <w:p w14:paraId="45E4BB16" w14:textId="77777777" w:rsidR="00414CF9" w:rsidRPr="00832FCE" w:rsidRDefault="00414CF9" w:rsidP="007A799A">
            <w:pPr>
              <w:rPr>
                <w:rFonts w:ascii="Arial" w:hAnsi="Arial" w:cs="Arial"/>
                <w:sz w:val="20"/>
                <w:szCs w:val="20"/>
              </w:rPr>
            </w:pPr>
          </w:p>
        </w:tc>
        <w:tc>
          <w:tcPr>
            <w:tcW w:w="7791" w:type="dxa"/>
          </w:tcPr>
          <w:p w14:paraId="72EA0758" w14:textId="77777777" w:rsidR="00414CF9" w:rsidRPr="00832FCE" w:rsidRDefault="00414CF9" w:rsidP="007A799A">
            <w:pPr>
              <w:rPr>
                <w:rFonts w:ascii="Arial" w:hAnsi="Arial" w:cs="Arial"/>
                <w:sz w:val="20"/>
                <w:szCs w:val="20"/>
              </w:rPr>
            </w:pPr>
          </w:p>
        </w:tc>
      </w:tr>
      <w:tr w:rsidR="00414CF9" w:rsidRPr="00832FCE" w14:paraId="56A42D50" w14:textId="77777777" w:rsidTr="007A799A">
        <w:tc>
          <w:tcPr>
            <w:tcW w:w="1838" w:type="dxa"/>
          </w:tcPr>
          <w:p w14:paraId="0EDB2D2B" w14:textId="77777777" w:rsidR="00414CF9" w:rsidRPr="00832FCE" w:rsidRDefault="00414CF9" w:rsidP="007A799A">
            <w:pPr>
              <w:rPr>
                <w:rFonts w:ascii="Arial" w:hAnsi="Arial" w:cs="Arial"/>
                <w:sz w:val="20"/>
                <w:szCs w:val="20"/>
              </w:rPr>
            </w:pPr>
          </w:p>
        </w:tc>
        <w:tc>
          <w:tcPr>
            <w:tcW w:w="7791" w:type="dxa"/>
          </w:tcPr>
          <w:p w14:paraId="09608392" w14:textId="77777777" w:rsidR="00414CF9" w:rsidRPr="00832FCE" w:rsidRDefault="00414CF9" w:rsidP="007A799A">
            <w:pPr>
              <w:rPr>
                <w:rFonts w:ascii="Arial" w:hAnsi="Arial" w:cs="Arial"/>
                <w:sz w:val="20"/>
                <w:szCs w:val="20"/>
              </w:rPr>
            </w:pPr>
          </w:p>
        </w:tc>
      </w:tr>
    </w:tbl>
    <w:p w14:paraId="2F3C909A" w14:textId="77777777" w:rsidR="00414CF9" w:rsidRPr="00414CF9" w:rsidRDefault="00414CF9" w:rsidP="00414CF9">
      <w:pPr>
        <w:pStyle w:val="BodyText"/>
      </w:pPr>
    </w:p>
    <w:bookmarkEnd w:id="1"/>
    <w:p w14:paraId="372563D6" w14:textId="01E74B3E" w:rsidR="009161F7" w:rsidRDefault="009161F7" w:rsidP="009161F7">
      <w:pPr>
        <w:pStyle w:val="Heading2"/>
      </w:pPr>
      <w:r>
        <w:lastRenderedPageBreak/>
        <w:t>1.4</w:t>
      </w:r>
      <w:r>
        <w:tab/>
        <w:t xml:space="preserve">Issue 4 – </w:t>
      </w:r>
      <w:r w:rsidR="009037FC">
        <w:t>Lack of c</w:t>
      </w:r>
      <w:r>
        <w:t>apability</w:t>
      </w:r>
    </w:p>
    <w:p w14:paraId="213E3283" w14:textId="7493978F" w:rsidR="009037FC" w:rsidRDefault="009037FC" w:rsidP="009037FC">
      <w:pPr>
        <w:pStyle w:val="BodyText"/>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w:t>
      </w:r>
      <w:proofErr w:type="spellStart"/>
      <w:r>
        <w:t>xxxCommon</w:t>
      </w:r>
      <w:proofErr w:type="spellEnd"/>
      <w:r>
        <w:t xml:space="preserve"> fields </w:t>
      </w:r>
      <w:r w:rsidR="006915FD">
        <w:t xml:space="preserve">and IEs </w:t>
      </w:r>
      <w:r>
        <w:t xml:space="preserve">in </w:t>
      </w:r>
      <w:proofErr w:type="spellStart"/>
      <w:r>
        <w:t>RRCReconfiguration</w:t>
      </w:r>
      <w:proofErr w:type="spellEnd"/>
      <w:r w:rsidR="006915FD">
        <w:t xml:space="preserve"> message</w:t>
      </w:r>
      <w:r>
        <w:t xml:space="preserve">, i.e., the UE should support the decoding thereof. RAN2 should remember to define UE capabilities for such cases in future. </w:t>
      </w:r>
    </w:p>
    <w:p w14:paraId="12B5E0AE" w14:textId="77777777" w:rsidR="009037FC" w:rsidRDefault="009037FC" w:rsidP="009037FC">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9037FC" w:rsidRPr="00832FCE" w14:paraId="5C238DE1" w14:textId="77777777" w:rsidTr="007A799A">
        <w:tc>
          <w:tcPr>
            <w:tcW w:w="1838" w:type="dxa"/>
          </w:tcPr>
          <w:p w14:paraId="66793692"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32F6431" w14:textId="77777777" w:rsidR="009037FC" w:rsidRPr="00832FCE" w:rsidRDefault="009037FC" w:rsidP="007A799A">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7A799A">
        <w:tc>
          <w:tcPr>
            <w:tcW w:w="1838" w:type="dxa"/>
          </w:tcPr>
          <w:p w14:paraId="5B06E806" w14:textId="4C2DD71D" w:rsidR="009037FC" w:rsidRPr="00832FCE" w:rsidRDefault="009037FC" w:rsidP="007A799A">
            <w:pPr>
              <w:rPr>
                <w:rFonts w:ascii="Arial" w:hAnsi="Arial" w:cs="Arial"/>
                <w:sz w:val="20"/>
                <w:szCs w:val="20"/>
              </w:rPr>
            </w:pPr>
          </w:p>
        </w:tc>
        <w:tc>
          <w:tcPr>
            <w:tcW w:w="7791" w:type="dxa"/>
          </w:tcPr>
          <w:p w14:paraId="33000E9D" w14:textId="1CE9B0BC" w:rsidR="009037FC" w:rsidRPr="00832FCE" w:rsidRDefault="009037FC" w:rsidP="007A799A">
            <w:pPr>
              <w:rPr>
                <w:rFonts w:ascii="Arial" w:hAnsi="Arial" w:cs="Arial"/>
                <w:sz w:val="20"/>
                <w:szCs w:val="20"/>
              </w:rPr>
            </w:pPr>
          </w:p>
        </w:tc>
      </w:tr>
      <w:tr w:rsidR="009037FC" w:rsidRPr="00832FCE" w14:paraId="08FEE641" w14:textId="77777777" w:rsidTr="007A799A">
        <w:tc>
          <w:tcPr>
            <w:tcW w:w="1838" w:type="dxa"/>
          </w:tcPr>
          <w:p w14:paraId="63B5F02D" w14:textId="77777777" w:rsidR="009037FC" w:rsidRPr="00832FCE" w:rsidRDefault="009037FC" w:rsidP="007A799A">
            <w:pPr>
              <w:rPr>
                <w:rFonts w:ascii="Arial" w:hAnsi="Arial" w:cs="Arial"/>
                <w:sz w:val="20"/>
                <w:szCs w:val="20"/>
              </w:rPr>
            </w:pPr>
          </w:p>
        </w:tc>
        <w:tc>
          <w:tcPr>
            <w:tcW w:w="7791" w:type="dxa"/>
          </w:tcPr>
          <w:p w14:paraId="55CBDD8A" w14:textId="77777777" w:rsidR="009037FC" w:rsidRPr="00832FCE" w:rsidRDefault="009037FC" w:rsidP="007A799A">
            <w:pPr>
              <w:rPr>
                <w:rFonts w:ascii="Arial" w:hAnsi="Arial" w:cs="Arial"/>
                <w:sz w:val="20"/>
                <w:szCs w:val="20"/>
              </w:rPr>
            </w:pPr>
          </w:p>
        </w:tc>
      </w:tr>
      <w:tr w:rsidR="009037FC" w:rsidRPr="00832FCE" w14:paraId="284DD20D" w14:textId="77777777" w:rsidTr="007A799A">
        <w:tc>
          <w:tcPr>
            <w:tcW w:w="1838" w:type="dxa"/>
          </w:tcPr>
          <w:p w14:paraId="35D40D67" w14:textId="77777777" w:rsidR="009037FC" w:rsidRPr="00832FCE" w:rsidRDefault="009037FC" w:rsidP="007A799A">
            <w:pPr>
              <w:rPr>
                <w:rFonts w:ascii="Arial" w:hAnsi="Arial" w:cs="Arial"/>
                <w:sz w:val="20"/>
                <w:szCs w:val="20"/>
              </w:rPr>
            </w:pPr>
          </w:p>
        </w:tc>
        <w:tc>
          <w:tcPr>
            <w:tcW w:w="7791" w:type="dxa"/>
          </w:tcPr>
          <w:p w14:paraId="2312EE54" w14:textId="77777777" w:rsidR="009037FC" w:rsidRPr="00832FCE" w:rsidRDefault="009037FC" w:rsidP="007A799A">
            <w:pPr>
              <w:rPr>
                <w:rFonts w:ascii="Arial" w:hAnsi="Arial" w:cs="Arial"/>
                <w:sz w:val="20"/>
                <w:szCs w:val="20"/>
              </w:rPr>
            </w:pPr>
          </w:p>
        </w:tc>
      </w:tr>
      <w:tr w:rsidR="009037FC" w:rsidRPr="00832FCE" w14:paraId="1EE1EC6E" w14:textId="77777777" w:rsidTr="007A799A">
        <w:tc>
          <w:tcPr>
            <w:tcW w:w="1838" w:type="dxa"/>
          </w:tcPr>
          <w:p w14:paraId="4C8005C7" w14:textId="77777777" w:rsidR="009037FC" w:rsidRPr="00832FCE" w:rsidRDefault="009037FC" w:rsidP="007A799A">
            <w:pPr>
              <w:rPr>
                <w:rFonts w:ascii="Arial" w:hAnsi="Arial" w:cs="Arial"/>
                <w:sz w:val="20"/>
                <w:szCs w:val="20"/>
              </w:rPr>
            </w:pPr>
          </w:p>
        </w:tc>
        <w:tc>
          <w:tcPr>
            <w:tcW w:w="7791" w:type="dxa"/>
          </w:tcPr>
          <w:p w14:paraId="666A80F4" w14:textId="77777777" w:rsidR="009037FC" w:rsidRPr="00832FCE" w:rsidRDefault="009037FC" w:rsidP="007A799A">
            <w:pPr>
              <w:rPr>
                <w:rFonts w:ascii="Arial" w:hAnsi="Arial" w:cs="Arial"/>
                <w:sz w:val="20"/>
                <w:szCs w:val="20"/>
              </w:rPr>
            </w:pPr>
          </w:p>
        </w:tc>
      </w:tr>
      <w:tr w:rsidR="009037FC" w:rsidRPr="00832FCE" w14:paraId="4CE80D46" w14:textId="77777777" w:rsidTr="007A799A">
        <w:tc>
          <w:tcPr>
            <w:tcW w:w="1838" w:type="dxa"/>
          </w:tcPr>
          <w:p w14:paraId="5C37FEFE" w14:textId="77777777" w:rsidR="009037FC" w:rsidRPr="00832FCE" w:rsidRDefault="009037FC" w:rsidP="007A799A">
            <w:pPr>
              <w:rPr>
                <w:rFonts w:ascii="Arial" w:hAnsi="Arial" w:cs="Arial"/>
                <w:sz w:val="20"/>
                <w:szCs w:val="20"/>
              </w:rPr>
            </w:pPr>
          </w:p>
        </w:tc>
        <w:tc>
          <w:tcPr>
            <w:tcW w:w="7791" w:type="dxa"/>
          </w:tcPr>
          <w:p w14:paraId="6B3E379A" w14:textId="77777777" w:rsidR="009037FC" w:rsidRPr="00832FCE" w:rsidRDefault="009037FC" w:rsidP="007A799A">
            <w:pPr>
              <w:rPr>
                <w:rFonts w:ascii="Arial" w:hAnsi="Arial" w:cs="Arial"/>
                <w:sz w:val="20"/>
                <w:szCs w:val="20"/>
              </w:rPr>
            </w:pPr>
          </w:p>
        </w:tc>
      </w:tr>
    </w:tbl>
    <w:p w14:paraId="7D5219DB" w14:textId="77777777" w:rsidR="009037FC" w:rsidRPr="00414CF9" w:rsidRDefault="009037FC" w:rsidP="009037FC">
      <w:pPr>
        <w:pStyle w:val="BodyText"/>
      </w:pPr>
    </w:p>
    <w:p w14:paraId="2F71C827" w14:textId="42952164" w:rsidR="009037FC" w:rsidRDefault="009037FC" w:rsidP="009037FC">
      <w:pPr>
        <w:pStyle w:val="Heading2"/>
      </w:pPr>
      <w:r>
        <w:t>1.5</w:t>
      </w:r>
      <w:r>
        <w:tab/>
        <w:t>Potential exceptions</w:t>
      </w:r>
    </w:p>
    <w:p w14:paraId="189BA627" w14:textId="7EA5AC5F" w:rsidR="009037FC" w:rsidRDefault="009037FC" w:rsidP="00643235">
      <w:pPr>
        <w:pStyle w:val="BodyText"/>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BodyText"/>
      </w:pPr>
    </w:p>
    <w:tbl>
      <w:tblPr>
        <w:tblStyle w:val="TableGrid"/>
        <w:tblW w:w="0" w:type="auto"/>
        <w:tblLook w:val="04A0" w:firstRow="1" w:lastRow="0" w:firstColumn="1" w:lastColumn="0" w:noHBand="0" w:noVBand="1"/>
      </w:tblPr>
      <w:tblGrid>
        <w:gridCol w:w="1838"/>
        <w:gridCol w:w="7791"/>
      </w:tblGrid>
      <w:tr w:rsidR="00643235" w:rsidRPr="00832FCE" w14:paraId="196A0012" w14:textId="77777777" w:rsidTr="007A799A">
        <w:tc>
          <w:tcPr>
            <w:tcW w:w="1838" w:type="dxa"/>
          </w:tcPr>
          <w:p w14:paraId="72A408F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7A799A">
        <w:tc>
          <w:tcPr>
            <w:tcW w:w="1838" w:type="dxa"/>
          </w:tcPr>
          <w:p w14:paraId="12916A97" w14:textId="77777777" w:rsidR="00643235" w:rsidRPr="00832FCE" w:rsidRDefault="00643235" w:rsidP="007A799A">
            <w:pPr>
              <w:rPr>
                <w:rFonts w:ascii="Arial" w:hAnsi="Arial" w:cs="Arial"/>
                <w:sz w:val="20"/>
                <w:szCs w:val="20"/>
              </w:rPr>
            </w:pPr>
          </w:p>
        </w:tc>
        <w:tc>
          <w:tcPr>
            <w:tcW w:w="7791" w:type="dxa"/>
          </w:tcPr>
          <w:p w14:paraId="6FB2D13C" w14:textId="77777777" w:rsidR="00643235" w:rsidRPr="00832FCE" w:rsidRDefault="00643235" w:rsidP="007A799A">
            <w:pPr>
              <w:rPr>
                <w:rFonts w:ascii="Arial" w:hAnsi="Arial" w:cs="Arial"/>
                <w:sz w:val="20"/>
                <w:szCs w:val="20"/>
              </w:rPr>
            </w:pPr>
          </w:p>
        </w:tc>
      </w:tr>
      <w:tr w:rsidR="00643235" w:rsidRPr="00832FCE" w14:paraId="4C851BC8" w14:textId="77777777" w:rsidTr="007A799A">
        <w:tc>
          <w:tcPr>
            <w:tcW w:w="1838" w:type="dxa"/>
          </w:tcPr>
          <w:p w14:paraId="59327632" w14:textId="77777777" w:rsidR="00643235" w:rsidRPr="00832FCE" w:rsidRDefault="00643235" w:rsidP="007A799A">
            <w:pPr>
              <w:rPr>
                <w:rFonts w:ascii="Arial" w:hAnsi="Arial" w:cs="Arial"/>
                <w:sz w:val="20"/>
                <w:szCs w:val="20"/>
              </w:rPr>
            </w:pPr>
          </w:p>
        </w:tc>
        <w:tc>
          <w:tcPr>
            <w:tcW w:w="7791" w:type="dxa"/>
          </w:tcPr>
          <w:p w14:paraId="7FED4536" w14:textId="77777777" w:rsidR="00643235" w:rsidRPr="00832FCE" w:rsidRDefault="00643235" w:rsidP="007A799A">
            <w:pPr>
              <w:rPr>
                <w:rFonts w:ascii="Arial" w:hAnsi="Arial" w:cs="Arial"/>
                <w:sz w:val="20"/>
                <w:szCs w:val="20"/>
              </w:rPr>
            </w:pPr>
          </w:p>
        </w:tc>
      </w:tr>
      <w:tr w:rsidR="00643235" w:rsidRPr="00832FCE" w14:paraId="0A28FE51" w14:textId="77777777" w:rsidTr="007A799A">
        <w:tc>
          <w:tcPr>
            <w:tcW w:w="1838" w:type="dxa"/>
          </w:tcPr>
          <w:p w14:paraId="2987A88A" w14:textId="77777777" w:rsidR="00643235" w:rsidRPr="00832FCE" w:rsidRDefault="00643235" w:rsidP="007A799A">
            <w:pPr>
              <w:rPr>
                <w:rFonts w:ascii="Arial" w:hAnsi="Arial" w:cs="Arial"/>
                <w:sz w:val="20"/>
                <w:szCs w:val="20"/>
              </w:rPr>
            </w:pPr>
          </w:p>
        </w:tc>
        <w:tc>
          <w:tcPr>
            <w:tcW w:w="7791" w:type="dxa"/>
          </w:tcPr>
          <w:p w14:paraId="54598AA7" w14:textId="77777777" w:rsidR="00643235" w:rsidRPr="00832FCE" w:rsidRDefault="00643235" w:rsidP="007A799A">
            <w:pPr>
              <w:rPr>
                <w:rFonts w:ascii="Arial" w:hAnsi="Arial" w:cs="Arial"/>
                <w:sz w:val="20"/>
                <w:szCs w:val="20"/>
              </w:rPr>
            </w:pPr>
          </w:p>
        </w:tc>
      </w:tr>
      <w:tr w:rsidR="00643235" w:rsidRPr="00832FCE" w14:paraId="03644CCA" w14:textId="77777777" w:rsidTr="007A799A">
        <w:tc>
          <w:tcPr>
            <w:tcW w:w="1838" w:type="dxa"/>
          </w:tcPr>
          <w:p w14:paraId="61B10E24" w14:textId="77777777" w:rsidR="00643235" w:rsidRPr="00832FCE" w:rsidRDefault="00643235" w:rsidP="007A799A">
            <w:pPr>
              <w:rPr>
                <w:rFonts w:ascii="Arial" w:hAnsi="Arial" w:cs="Arial"/>
                <w:sz w:val="20"/>
                <w:szCs w:val="20"/>
              </w:rPr>
            </w:pPr>
          </w:p>
        </w:tc>
        <w:tc>
          <w:tcPr>
            <w:tcW w:w="7791" w:type="dxa"/>
          </w:tcPr>
          <w:p w14:paraId="60785511" w14:textId="77777777" w:rsidR="00643235" w:rsidRPr="00832FCE" w:rsidRDefault="00643235" w:rsidP="007A799A">
            <w:pPr>
              <w:rPr>
                <w:rFonts w:ascii="Arial" w:hAnsi="Arial" w:cs="Arial"/>
                <w:sz w:val="20"/>
                <w:szCs w:val="20"/>
              </w:rPr>
            </w:pPr>
          </w:p>
        </w:tc>
      </w:tr>
      <w:tr w:rsidR="00643235" w:rsidRPr="00832FCE" w14:paraId="74DDDE4A" w14:textId="77777777" w:rsidTr="007A799A">
        <w:tc>
          <w:tcPr>
            <w:tcW w:w="1838" w:type="dxa"/>
          </w:tcPr>
          <w:p w14:paraId="39E28C2B" w14:textId="77777777" w:rsidR="00643235" w:rsidRPr="00832FCE" w:rsidRDefault="00643235" w:rsidP="007A799A">
            <w:pPr>
              <w:rPr>
                <w:rFonts w:ascii="Arial" w:hAnsi="Arial" w:cs="Arial"/>
                <w:sz w:val="20"/>
                <w:szCs w:val="20"/>
              </w:rPr>
            </w:pPr>
          </w:p>
        </w:tc>
        <w:tc>
          <w:tcPr>
            <w:tcW w:w="7791" w:type="dxa"/>
          </w:tcPr>
          <w:p w14:paraId="43281C98" w14:textId="77777777" w:rsidR="00643235" w:rsidRPr="00832FCE" w:rsidRDefault="00643235" w:rsidP="007A799A">
            <w:pPr>
              <w:rPr>
                <w:rFonts w:ascii="Arial" w:hAnsi="Arial" w:cs="Arial"/>
                <w:sz w:val="20"/>
                <w:szCs w:val="20"/>
              </w:rPr>
            </w:pPr>
          </w:p>
        </w:tc>
      </w:tr>
    </w:tbl>
    <w:p w14:paraId="0DAD31BF" w14:textId="14A3039B" w:rsidR="00643235" w:rsidRDefault="00643235" w:rsidP="009037FC"/>
    <w:p w14:paraId="4CCE1FAF" w14:textId="79074B8B" w:rsidR="00643235" w:rsidRDefault="00643235" w:rsidP="004503CF">
      <w:pPr>
        <w:pStyle w:val="Heading2"/>
      </w:pPr>
      <w:r>
        <w:t>1.6</w:t>
      </w:r>
      <w:r>
        <w:tab/>
        <w:t>Other issues</w:t>
      </w:r>
    </w:p>
    <w:p w14:paraId="27EA05EA" w14:textId="1120B906" w:rsidR="00643235" w:rsidRDefault="00643235" w:rsidP="00777488">
      <w:pPr>
        <w:pStyle w:val="BodyText"/>
      </w:pPr>
      <w:r>
        <w:t>The rapporteur invites companies to provide other related issues that RAN2 should settle.</w:t>
      </w:r>
    </w:p>
    <w:tbl>
      <w:tblPr>
        <w:tblStyle w:val="TableGrid"/>
        <w:tblW w:w="0" w:type="auto"/>
        <w:tblLook w:val="04A0" w:firstRow="1" w:lastRow="0" w:firstColumn="1" w:lastColumn="0" w:noHBand="0" w:noVBand="1"/>
      </w:tblPr>
      <w:tblGrid>
        <w:gridCol w:w="1838"/>
        <w:gridCol w:w="7791"/>
      </w:tblGrid>
      <w:tr w:rsidR="00643235" w:rsidRPr="00832FCE" w14:paraId="03D7F0A1" w14:textId="77777777" w:rsidTr="007A799A">
        <w:tc>
          <w:tcPr>
            <w:tcW w:w="1838" w:type="dxa"/>
          </w:tcPr>
          <w:p w14:paraId="15D6776C"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Company</w:t>
            </w:r>
          </w:p>
        </w:tc>
        <w:tc>
          <w:tcPr>
            <w:tcW w:w="7791" w:type="dxa"/>
          </w:tcPr>
          <w:p w14:paraId="5FB02713" w14:textId="77777777" w:rsidR="00643235" w:rsidRPr="00832FCE" w:rsidRDefault="00643235" w:rsidP="007A799A">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7A799A">
        <w:tc>
          <w:tcPr>
            <w:tcW w:w="1838" w:type="dxa"/>
          </w:tcPr>
          <w:p w14:paraId="0E36F31C" w14:textId="11E0669F" w:rsidR="00643235" w:rsidRPr="00832FCE" w:rsidRDefault="00643235" w:rsidP="007A799A">
            <w:pPr>
              <w:rPr>
                <w:rFonts w:ascii="Arial" w:hAnsi="Arial" w:cs="Arial"/>
                <w:sz w:val="20"/>
                <w:szCs w:val="20"/>
              </w:rPr>
            </w:pPr>
          </w:p>
        </w:tc>
        <w:tc>
          <w:tcPr>
            <w:tcW w:w="7791" w:type="dxa"/>
          </w:tcPr>
          <w:p w14:paraId="6D192980" w14:textId="15A263EE" w:rsidR="00643235" w:rsidRPr="00832FCE" w:rsidRDefault="00643235" w:rsidP="007A799A">
            <w:pPr>
              <w:rPr>
                <w:rFonts w:ascii="Arial" w:hAnsi="Arial" w:cs="Arial"/>
                <w:sz w:val="20"/>
                <w:szCs w:val="20"/>
              </w:rPr>
            </w:pPr>
          </w:p>
        </w:tc>
      </w:tr>
      <w:tr w:rsidR="00643235" w:rsidRPr="00832FCE" w14:paraId="34381698" w14:textId="77777777" w:rsidTr="007A799A">
        <w:tc>
          <w:tcPr>
            <w:tcW w:w="1838" w:type="dxa"/>
          </w:tcPr>
          <w:p w14:paraId="0ADBC9CE" w14:textId="77777777" w:rsidR="00643235" w:rsidRPr="00832FCE" w:rsidRDefault="00643235" w:rsidP="007A799A">
            <w:pPr>
              <w:rPr>
                <w:rFonts w:ascii="Arial" w:hAnsi="Arial" w:cs="Arial"/>
                <w:sz w:val="20"/>
                <w:szCs w:val="20"/>
              </w:rPr>
            </w:pPr>
          </w:p>
        </w:tc>
        <w:tc>
          <w:tcPr>
            <w:tcW w:w="7791" w:type="dxa"/>
          </w:tcPr>
          <w:p w14:paraId="2CD9A267" w14:textId="77777777" w:rsidR="00643235" w:rsidRPr="00832FCE" w:rsidRDefault="00643235" w:rsidP="007A799A">
            <w:pPr>
              <w:rPr>
                <w:rFonts w:ascii="Arial" w:hAnsi="Arial" w:cs="Arial"/>
                <w:sz w:val="20"/>
                <w:szCs w:val="20"/>
              </w:rPr>
            </w:pPr>
          </w:p>
        </w:tc>
      </w:tr>
      <w:tr w:rsidR="00643235" w:rsidRPr="00832FCE" w14:paraId="30D6899F" w14:textId="77777777" w:rsidTr="007A799A">
        <w:tc>
          <w:tcPr>
            <w:tcW w:w="1838" w:type="dxa"/>
          </w:tcPr>
          <w:p w14:paraId="66C7A281" w14:textId="77777777" w:rsidR="00643235" w:rsidRPr="00832FCE" w:rsidRDefault="00643235" w:rsidP="007A799A">
            <w:pPr>
              <w:rPr>
                <w:rFonts w:ascii="Arial" w:hAnsi="Arial" w:cs="Arial"/>
                <w:sz w:val="20"/>
                <w:szCs w:val="20"/>
              </w:rPr>
            </w:pPr>
          </w:p>
        </w:tc>
        <w:tc>
          <w:tcPr>
            <w:tcW w:w="7791" w:type="dxa"/>
          </w:tcPr>
          <w:p w14:paraId="13B20E2D" w14:textId="77777777" w:rsidR="00643235" w:rsidRPr="00832FCE" w:rsidRDefault="00643235" w:rsidP="007A799A">
            <w:pPr>
              <w:rPr>
                <w:rFonts w:ascii="Arial" w:hAnsi="Arial" w:cs="Arial"/>
                <w:sz w:val="20"/>
                <w:szCs w:val="20"/>
              </w:rPr>
            </w:pPr>
          </w:p>
        </w:tc>
      </w:tr>
      <w:tr w:rsidR="00643235" w:rsidRPr="00832FCE" w14:paraId="0A8B3F97" w14:textId="77777777" w:rsidTr="007A799A">
        <w:tc>
          <w:tcPr>
            <w:tcW w:w="1838" w:type="dxa"/>
          </w:tcPr>
          <w:p w14:paraId="316A7839" w14:textId="77777777" w:rsidR="00643235" w:rsidRPr="00832FCE" w:rsidRDefault="00643235" w:rsidP="007A799A">
            <w:pPr>
              <w:rPr>
                <w:rFonts w:ascii="Arial" w:hAnsi="Arial" w:cs="Arial"/>
                <w:sz w:val="20"/>
                <w:szCs w:val="20"/>
              </w:rPr>
            </w:pPr>
          </w:p>
        </w:tc>
        <w:tc>
          <w:tcPr>
            <w:tcW w:w="7791" w:type="dxa"/>
          </w:tcPr>
          <w:p w14:paraId="5C92E5EB" w14:textId="77777777" w:rsidR="00643235" w:rsidRPr="00832FCE" w:rsidRDefault="00643235" w:rsidP="007A799A">
            <w:pPr>
              <w:rPr>
                <w:rFonts w:ascii="Arial" w:hAnsi="Arial" w:cs="Arial"/>
                <w:sz w:val="20"/>
                <w:szCs w:val="20"/>
              </w:rPr>
            </w:pPr>
          </w:p>
        </w:tc>
      </w:tr>
      <w:tr w:rsidR="00643235" w:rsidRPr="00832FCE" w14:paraId="7DB2BF8E" w14:textId="77777777" w:rsidTr="007A799A">
        <w:tc>
          <w:tcPr>
            <w:tcW w:w="1838" w:type="dxa"/>
          </w:tcPr>
          <w:p w14:paraId="1B1347D1" w14:textId="77777777" w:rsidR="00643235" w:rsidRPr="00832FCE" w:rsidRDefault="00643235" w:rsidP="007A799A">
            <w:pPr>
              <w:rPr>
                <w:rFonts w:ascii="Arial" w:hAnsi="Arial" w:cs="Arial"/>
                <w:sz w:val="20"/>
                <w:szCs w:val="20"/>
              </w:rPr>
            </w:pPr>
          </w:p>
        </w:tc>
        <w:tc>
          <w:tcPr>
            <w:tcW w:w="7791" w:type="dxa"/>
          </w:tcPr>
          <w:p w14:paraId="4DB6ED19" w14:textId="77777777" w:rsidR="00643235" w:rsidRPr="00832FCE" w:rsidRDefault="00643235" w:rsidP="007A799A">
            <w:pPr>
              <w:rPr>
                <w:rFonts w:ascii="Arial" w:hAnsi="Arial" w:cs="Arial"/>
                <w:sz w:val="20"/>
                <w:szCs w:val="20"/>
              </w:rPr>
            </w:pPr>
          </w:p>
        </w:tc>
      </w:tr>
    </w:tbl>
    <w:p w14:paraId="2F66CD15" w14:textId="77777777" w:rsidR="00643235" w:rsidRPr="009037FC" w:rsidRDefault="00643235" w:rsidP="009037FC"/>
    <w:p w14:paraId="7BF39E87" w14:textId="52FB50B8" w:rsidR="00C01F33" w:rsidRPr="00CE0424" w:rsidRDefault="00F71A3E" w:rsidP="00CE0424">
      <w:pPr>
        <w:pStyle w:val="Heading1"/>
      </w:pPr>
      <w:r>
        <w:t>2</w:t>
      </w:r>
      <w:r>
        <w:tab/>
      </w:r>
      <w:r w:rsidR="00C01F33" w:rsidRPr="00CE0424">
        <w:t>Conclusion</w:t>
      </w:r>
    </w:p>
    <w:p w14:paraId="230263D0" w14:textId="30A2B697" w:rsidR="00F71A3E" w:rsidRDefault="00F71A3E" w:rsidP="008E065E">
      <w:pPr>
        <w:pStyle w:val="BodyText"/>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35EDF" w14:textId="77777777" w:rsidR="00D0078F" w:rsidRDefault="00D0078F">
      <w:r>
        <w:separator/>
      </w:r>
    </w:p>
  </w:endnote>
  <w:endnote w:type="continuationSeparator" w:id="0">
    <w:p w14:paraId="24A44D96" w14:textId="77777777" w:rsidR="00D0078F" w:rsidRDefault="00D0078F">
      <w:r>
        <w:continuationSeparator/>
      </w:r>
    </w:p>
  </w:endnote>
  <w:endnote w:type="continuationNotice" w:id="1">
    <w:p w14:paraId="3483A9A3" w14:textId="77777777" w:rsidR="00D0078F" w:rsidRDefault="00D00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5D399" w14:textId="77777777" w:rsidR="000F0748" w:rsidRDefault="000F0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FFA6" w14:textId="77777777" w:rsidR="000F0748" w:rsidRDefault="000F074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54CC" w14:textId="77777777" w:rsidR="000F0748" w:rsidRDefault="000F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09EF3" w14:textId="77777777" w:rsidR="00D0078F" w:rsidRDefault="00D0078F">
      <w:r>
        <w:separator/>
      </w:r>
    </w:p>
  </w:footnote>
  <w:footnote w:type="continuationSeparator" w:id="0">
    <w:p w14:paraId="7406CE0F" w14:textId="77777777" w:rsidR="00D0078F" w:rsidRDefault="00D0078F">
      <w:r>
        <w:continuationSeparator/>
      </w:r>
    </w:p>
  </w:footnote>
  <w:footnote w:type="continuationNotice" w:id="1">
    <w:p w14:paraId="0107EC88" w14:textId="77777777" w:rsidR="00D0078F" w:rsidRDefault="00D007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3CD1" w14:textId="77777777" w:rsidR="000F0748" w:rsidRDefault="000F074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2014A" w14:textId="77777777" w:rsidR="000F0748" w:rsidRDefault="000F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AAD65" w14:textId="77777777" w:rsidR="000F0748" w:rsidRDefault="000F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5A5D"/>
    <w:rsid w:val="001C1CE5"/>
    <w:rsid w:val="001C3D2A"/>
    <w:rsid w:val="001D12ED"/>
    <w:rsid w:val="001D51BA"/>
    <w:rsid w:val="001D53E7"/>
    <w:rsid w:val="001D6342"/>
    <w:rsid w:val="001D6D53"/>
    <w:rsid w:val="001E176A"/>
    <w:rsid w:val="001E58E2"/>
    <w:rsid w:val="001E7AED"/>
    <w:rsid w:val="001F3916"/>
    <w:rsid w:val="001F3EBA"/>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20A71"/>
    <w:rsid w:val="00620D80"/>
    <w:rsid w:val="006234A6"/>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208"/>
    <w:rsid w:val="00727680"/>
    <w:rsid w:val="0073454E"/>
    <w:rsid w:val="007348B1"/>
    <w:rsid w:val="007362A6"/>
    <w:rsid w:val="00736D7D"/>
    <w:rsid w:val="007408CB"/>
    <w:rsid w:val="00740E58"/>
    <w:rsid w:val="007445A0"/>
    <w:rsid w:val="0074524B"/>
    <w:rsid w:val="00747D8B"/>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8DC"/>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31BD9"/>
    <w:rsid w:val="00934EBB"/>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3936"/>
    <w:rsid w:val="00C3719D"/>
    <w:rsid w:val="00C37CB2"/>
    <w:rsid w:val="00C44828"/>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078F"/>
    <w:rsid w:val="00D0349B"/>
    <w:rsid w:val="00D10249"/>
    <w:rsid w:val="00D115C3"/>
    <w:rsid w:val="00D11897"/>
    <w:rsid w:val="00D13135"/>
    <w:rsid w:val="00D13E4E"/>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A3E"/>
    <w:rsid w:val="00F71F69"/>
    <w:rsid w:val="00F72B72"/>
    <w:rsid w:val="00F74BB9"/>
    <w:rsid w:val="00F75582"/>
    <w:rsid w:val="00F76EFA"/>
    <w:rsid w:val="00F804BE"/>
    <w:rsid w:val="00F817CE"/>
    <w:rsid w:val="00F8456C"/>
    <w:rsid w:val="00F859D8"/>
    <w:rsid w:val="00F868F5"/>
    <w:rsid w:val="00F9056A"/>
    <w:rsid w:val="00F90F8D"/>
    <w:rsid w:val="00F919FB"/>
    <w:rsid w:val="00F92782"/>
    <w:rsid w:val="00F93AA9"/>
    <w:rsid w:val="00F96985"/>
    <w:rsid w:val="00F97838"/>
    <w:rsid w:val="00FA2BB3"/>
    <w:rsid w:val="00FA420A"/>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MS Mincho"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182C5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82C5B"/>
    <w:rPr>
      <w:rFonts w:ascii="Arial" w:eastAsia="MS Mincho" w:hAnsi="Arial"/>
      <w:noProof/>
      <w:szCs w:val="24"/>
    </w:rPr>
  </w:style>
  <w:style w:type="paragraph" w:customStyle="1" w:styleId="Comments">
    <w:name w:val="Comments"/>
    <w:basedOn w:val="Normal"/>
    <w:link w:val="CommentsChar"/>
    <w:qFormat/>
    <w:rsid w:val="00182C5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182C5B"/>
    <w:rPr>
      <w:rFonts w:ascii="Arial" w:eastAsia="MS Mincho" w:hAnsi="Arial"/>
      <w:i/>
      <w:noProof/>
      <w:sz w:val="18"/>
      <w:szCs w:val="24"/>
    </w:rPr>
  </w:style>
  <w:style w:type="paragraph" w:customStyle="1" w:styleId="Agreement">
    <w:name w:val="Agreement"/>
    <w:basedOn w:val="Normal"/>
    <w:next w:val="Doc-text2"/>
    <w:uiPriority w:val="99"/>
    <w:qFormat/>
    <w:rsid w:val="00182C5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182C5B"/>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182C5B"/>
    <w:rPr>
      <w:rFonts w:ascii="Arial" w:eastAsia="MS Mincho" w:hAnsi="Arial"/>
      <w:b/>
      <w:szCs w:val="24"/>
      <w:lang w:val="x-none" w:eastAsia="x-none"/>
    </w:rPr>
  </w:style>
  <w:style w:type="paragraph" w:styleId="NormalWeb">
    <w:name w:val="Normal (Web)"/>
    <w:basedOn w:val="Normal"/>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11135</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Mats Folke</cp:lastModifiedBy>
  <cp:revision>3</cp:revision>
  <cp:lastPrinted>2008-01-31T07:09:00Z</cp:lastPrinted>
  <dcterms:created xsi:type="dcterms:W3CDTF">2021-06-24T08:45:00Z</dcterms:created>
  <dcterms:modified xsi:type="dcterms:W3CDTF">2021-06-24T08:45:00Z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