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14:paraId="3312E7FE"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2D3E66D4" w14:textId="77777777" w:rsidR="000628AF" w:rsidRDefault="003057DE">
            <w:pPr>
              <w:pStyle w:val="TAC"/>
              <w:spacing w:line="240" w:lineRule="auto"/>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w:t>
            </w:r>
          </w:p>
        </w:tc>
        <w:tc>
          <w:tcPr>
            <w:tcW w:w="4468" w:type="dxa"/>
          </w:tcPr>
          <w:p w14:paraId="4DFB8FEF" w14:textId="77777777"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宋体"/>
                <w:lang w:eastAsia="zh-CN"/>
              </w:rPr>
            </w:pPr>
            <w:proofErr w:type="spellStart"/>
            <w:r w:rsidRPr="00D61DB6">
              <w:rPr>
                <w:rFonts w:hint="eastAsia"/>
                <w:lang w:eastAsia="ko-KR"/>
              </w:rPr>
              <w:t>ASUST</w:t>
            </w:r>
            <w:r w:rsidRPr="00D61DB6">
              <w:rPr>
                <w:lang w:eastAsia="ko-KR"/>
              </w:rPr>
              <w:t>eK</w:t>
            </w:r>
            <w:proofErr w:type="spellEnd"/>
          </w:p>
        </w:tc>
        <w:tc>
          <w:tcPr>
            <w:tcW w:w="2840" w:type="dxa"/>
          </w:tcPr>
          <w:p w14:paraId="3CCA340E" w14:textId="77777777"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14:paraId="6283401E" w14:textId="77777777" w:rsidR="001B0366" w:rsidRDefault="00AB2419" w:rsidP="00AB2419">
            <w:pPr>
              <w:pStyle w:val="TAC"/>
              <w:spacing w:line="240" w:lineRule="auto"/>
              <w:rPr>
                <w:rFonts w:eastAsia="宋体"/>
                <w:lang w:eastAsia="zh-CN"/>
              </w:rPr>
            </w:pPr>
            <w:proofErr w:type="spellStart"/>
            <w:r>
              <w:rPr>
                <w:rFonts w:eastAsia="宋体" w:hint="eastAsia"/>
                <w:lang w:eastAsia="zh-CN"/>
              </w:rPr>
              <w:t>H</w:t>
            </w:r>
            <w:r>
              <w:rPr>
                <w:rFonts w:eastAsia="宋体"/>
                <w:lang w:eastAsia="zh-CN"/>
              </w:rPr>
              <w:t>ejun</w:t>
            </w:r>
            <w:proofErr w:type="spellEnd"/>
            <w:r>
              <w:rPr>
                <w:rFonts w:eastAsia="宋体"/>
                <w:lang w:eastAsia="zh-CN"/>
              </w:rPr>
              <w:t xml:space="preserve"> Wang</w:t>
            </w:r>
          </w:p>
        </w:tc>
        <w:tc>
          <w:tcPr>
            <w:tcW w:w="4468" w:type="dxa"/>
          </w:tcPr>
          <w:p w14:paraId="603FBCED" w14:textId="77777777" w:rsidR="001B0366" w:rsidRDefault="00AB2419" w:rsidP="001B0366">
            <w:pPr>
              <w:pStyle w:val="TAC"/>
              <w:spacing w:line="240" w:lineRule="auto"/>
              <w:rPr>
                <w:rFonts w:eastAsia="宋体"/>
                <w:lang w:eastAsia="zh-CN"/>
              </w:rPr>
            </w:pPr>
            <w:r>
              <w:rPr>
                <w:rFonts w:eastAsia="宋体"/>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 xml:space="preserve">Anil </w:t>
            </w:r>
            <w:proofErr w:type="spellStart"/>
            <w:r>
              <w:rPr>
                <w:rFonts w:hint="eastAsia"/>
                <w:lang w:eastAsia="ko-KR"/>
              </w:rPr>
              <w:t>Agiwal</w:t>
            </w:r>
            <w:proofErr w:type="spellEnd"/>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宋体"/>
                <w:lang w:eastAsia="zh-CN"/>
              </w:rPr>
            </w:pPr>
            <w:r>
              <w:rPr>
                <w:rFonts w:eastAsia="宋体"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宋体"/>
                <w:lang w:eastAsia="zh-CN"/>
              </w:rPr>
            </w:pPr>
            <w:r>
              <w:rPr>
                <w:rFonts w:eastAsia="宋体"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宋体"/>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proofErr w:type="spellStart"/>
            <w:r>
              <w:rPr>
                <w:lang w:eastAsia="ko-KR"/>
              </w:rPr>
              <w:t>Ruiming</w:t>
            </w:r>
            <w:proofErr w:type="spellEnd"/>
            <w:r>
              <w:rPr>
                <w:lang w:eastAsia="ko-KR"/>
              </w:rPr>
              <w:t xml:space="preserve">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proofErr w:type="spellStart"/>
            <w:r>
              <w:rPr>
                <w:rFonts w:eastAsia="MS Mincho"/>
                <w:lang w:eastAsia="ja-JP"/>
              </w:rPr>
              <w:t>Jie</w:t>
            </w:r>
            <w:proofErr w:type="spellEnd"/>
            <w:r>
              <w:rPr>
                <w:rFonts w:eastAsia="MS Mincho"/>
                <w:lang w:eastAsia="ja-JP"/>
              </w:rPr>
              <w:t xml:space="preserv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宋体"/>
                <w:lang w:eastAsia="zh-CN"/>
              </w:rPr>
            </w:pPr>
            <w:r>
              <w:rPr>
                <w:rFonts w:eastAsia="宋体"/>
                <w:lang w:eastAsia="zh-CN"/>
              </w:rPr>
              <w:t>Google</w:t>
            </w:r>
          </w:p>
        </w:tc>
        <w:tc>
          <w:tcPr>
            <w:tcW w:w="2840" w:type="dxa"/>
          </w:tcPr>
          <w:p w14:paraId="49EFFD63" w14:textId="0B99E3E2" w:rsidR="002743A7" w:rsidRDefault="00DF2B38" w:rsidP="002743A7">
            <w:pPr>
              <w:pStyle w:val="TAC"/>
              <w:spacing w:line="240" w:lineRule="auto"/>
              <w:rPr>
                <w:lang w:eastAsia="ko-KR"/>
              </w:rPr>
            </w:pPr>
            <w:proofErr w:type="spellStart"/>
            <w:r>
              <w:rPr>
                <w:lang w:eastAsia="ko-KR"/>
              </w:rPr>
              <w:t>Shiangrung</w:t>
            </w:r>
            <w:proofErr w:type="spellEnd"/>
            <w:r>
              <w:rPr>
                <w:lang w:eastAsia="ko-KR"/>
              </w:rPr>
              <w:t xml:space="preserve">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宋体"/>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宋体"/>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宋体" w:hint="eastAsia"/>
                <w:lang w:val="en-US" w:eastAsia="zh-CN"/>
              </w:rPr>
              <w:t>A</w:t>
            </w:r>
            <w:r>
              <w:rPr>
                <w:rFonts w:eastAsia="宋体"/>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宋体" w:hint="eastAsia"/>
                <w:lang w:val="en-US" w:eastAsia="zh-CN"/>
              </w:rPr>
              <w:t>H</w:t>
            </w:r>
            <w:r>
              <w:rPr>
                <w:rFonts w:eastAsia="宋体"/>
                <w:lang w:val="en-US" w:eastAsia="zh-CN"/>
              </w:rPr>
              <w:t>sinHsi</w:t>
            </w:r>
            <w:proofErr w:type="spellEnd"/>
            <w:r>
              <w:rPr>
                <w:rFonts w:eastAsia="宋体"/>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宋体"/>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proofErr w:type="spellStart"/>
            <w:r>
              <w:rPr>
                <w:lang w:eastAsia="ko-KR"/>
              </w:rPr>
              <w:t>InterDigital</w:t>
            </w:r>
            <w:proofErr w:type="spellEnd"/>
          </w:p>
        </w:tc>
        <w:tc>
          <w:tcPr>
            <w:tcW w:w="2840" w:type="dxa"/>
          </w:tcPr>
          <w:p w14:paraId="1CB5CBBF" w14:textId="28ED2C91" w:rsidR="00161492" w:rsidRDefault="00161492" w:rsidP="00161492">
            <w:pPr>
              <w:pStyle w:val="TAC"/>
              <w:spacing w:line="240" w:lineRule="auto"/>
              <w:rPr>
                <w:lang w:eastAsia="ko-KR"/>
              </w:rPr>
            </w:pPr>
            <w:r>
              <w:rPr>
                <w:lang w:eastAsia="ko-KR"/>
              </w:rPr>
              <w:t>Faris Alfarhan</w:t>
            </w:r>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840" w:type="dxa"/>
          </w:tcPr>
          <w:p w14:paraId="4782124D" w14:textId="1F050B53" w:rsidR="00161492" w:rsidRPr="008B1F6E" w:rsidRDefault="008B1F6E" w:rsidP="008B66A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inghao</w:t>
            </w:r>
            <w:proofErr w:type="spellEnd"/>
            <w:r>
              <w:rPr>
                <w:rFonts w:eastAsia="宋体"/>
                <w:lang w:eastAsia="zh-CN"/>
              </w:rPr>
              <w:t xml:space="preserve"> Guo</w:t>
            </w:r>
          </w:p>
        </w:tc>
        <w:tc>
          <w:tcPr>
            <w:tcW w:w="4468" w:type="dxa"/>
          </w:tcPr>
          <w:p w14:paraId="6404F0E2" w14:textId="5F7745D8" w:rsidR="00161492" w:rsidRPr="008B1F6E" w:rsidRDefault="008B1F6E" w:rsidP="008B66A8">
            <w:pPr>
              <w:pStyle w:val="TAC"/>
              <w:spacing w:line="240" w:lineRule="auto"/>
              <w:rPr>
                <w:rFonts w:eastAsia="宋体"/>
                <w:lang w:eastAsia="zh-CN"/>
              </w:rPr>
            </w:pPr>
            <w:r>
              <w:rPr>
                <w:rFonts w:eastAsia="宋体" w:hint="eastAsia"/>
                <w:lang w:eastAsia="zh-CN"/>
              </w:rPr>
              <w:t>y</w:t>
            </w:r>
            <w:r>
              <w:rPr>
                <w:rFonts w:eastAsia="宋体"/>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宋体"/>
                <w:lang w:val="en-US" w:eastAsia="zh-CN"/>
              </w:rPr>
            </w:pPr>
            <w:r>
              <w:rPr>
                <w:rFonts w:eastAsia="宋体"/>
                <w:lang w:val="en-US" w:eastAsia="zh-CN"/>
              </w:rPr>
              <w:t>Apple</w:t>
            </w:r>
          </w:p>
        </w:tc>
        <w:tc>
          <w:tcPr>
            <w:tcW w:w="2840" w:type="dxa"/>
          </w:tcPr>
          <w:p w14:paraId="1A0592DD" w14:textId="1034BCBF" w:rsidR="00324839" w:rsidRDefault="00324839" w:rsidP="008B66A8">
            <w:pPr>
              <w:pStyle w:val="TAC"/>
              <w:spacing w:line="240" w:lineRule="auto"/>
              <w:rPr>
                <w:rFonts w:eastAsia="宋体"/>
                <w:lang w:eastAsia="zh-CN"/>
              </w:rPr>
            </w:pPr>
            <w:r>
              <w:rPr>
                <w:rFonts w:eastAsia="宋体"/>
                <w:lang w:eastAsia="zh-CN"/>
              </w:rPr>
              <w:t>Fangli XU</w:t>
            </w:r>
          </w:p>
        </w:tc>
        <w:tc>
          <w:tcPr>
            <w:tcW w:w="4468" w:type="dxa"/>
          </w:tcPr>
          <w:p w14:paraId="62DFE92C" w14:textId="11FE15D8" w:rsidR="00324839" w:rsidRDefault="00324839" w:rsidP="008B66A8">
            <w:pPr>
              <w:pStyle w:val="TAC"/>
              <w:spacing w:line="240" w:lineRule="auto"/>
              <w:rPr>
                <w:rFonts w:eastAsia="宋体"/>
                <w:lang w:eastAsia="zh-CN"/>
              </w:rPr>
            </w:pPr>
            <w:r>
              <w:rPr>
                <w:rFonts w:eastAsia="宋体"/>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宋体"/>
                <w:lang w:val="en-US" w:eastAsia="zh-CN"/>
              </w:rPr>
            </w:pPr>
            <w:r>
              <w:rPr>
                <w:rFonts w:eastAsia="宋体" w:hint="eastAsia"/>
                <w:lang w:val="en-US" w:eastAsia="zh-CN"/>
              </w:rPr>
              <w:t>N</w:t>
            </w:r>
            <w:r>
              <w:rPr>
                <w:rFonts w:eastAsia="宋体"/>
                <w:lang w:val="en-US" w:eastAsia="zh-CN"/>
              </w:rPr>
              <w:t>EC</w:t>
            </w:r>
          </w:p>
        </w:tc>
        <w:tc>
          <w:tcPr>
            <w:tcW w:w="2840" w:type="dxa"/>
          </w:tcPr>
          <w:p w14:paraId="68C6B763" w14:textId="2A4DF459" w:rsidR="005574DA" w:rsidRDefault="005574DA" w:rsidP="008B66A8">
            <w:pPr>
              <w:pStyle w:val="TAC"/>
              <w:spacing w:line="240" w:lineRule="auto"/>
              <w:rPr>
                <w:rFonts w:eastAsia="宋体"/>
                <w:lang w:eastAsia="zh-CN"/>
              </w:rPr>
            </w:pPr>
            <w:r>
              <w:rPr>
                <w:rFonts w:eastAsia="宋体" w:hint="eastAsia"/>
                <w:lang w:eastAsia="zh-CN"/>
              </w:rPr>
              <w:t>W</w:t>
            </w:r>
            <w:r>
              <w:rPr>
                <w:rFonts w:eastAsia="宋体"/>
                <w:lang w:eastAsia="zh-CN"/>
              </w:rPr>
              <w:t>angda</w:t>
            </w:r>
          </w:p>
        </w:tc>
        <w:tc>
          <w:tcPr>
            <w:tcW w:w="4468" w:type="dxa"/>
          </w:tcPr>
          <w:p w14:paraId="2A76415C" w14:textId="0CFEBF9D" w:rsidR="005574DA" w:rsidRDefault="00FB35F5" w:rsidP="008B66A8">
            <w:pPr>
              <w:pStyle w:val="TAC"/>
              <w:spacing w:line="240" w:lineRule="auto"/>
              <w:rPr>
                <w:rFonts w:eastAsia="宋体"/>
                <w:lang w:eastAsia="zh-CN"/>
              </w:rPr>
            </w:pPr>
            <w:r w:rsidRPr="00FB35F5">
              <w:rPr>
                <w:rFonts w:eastAsia="宋体"/>
                <w:lang w:eastAsia="zh-CN"/>
              </w:rPr>
              <w:t>wang_da@nec.cn</w:t>
            </w:r>
          </w:p>
        </w:tc>
      </w:tr>
      <w:tr w:rsidR="00FB35F5" w14:paraId="605C539A" w14:textId="77777777">
        <w:tc>
          <w:tcPr>
            <w:tcW w:w="2321" w:type="dxa"/>
          </w:tcPr>
          <w:p w14:paraId="46CE337E" w14:textId="77777777" w:rsidR="00FB35F5" w:rsidRPr="00FB35F5" w:rsidRDefault="00FB35F5" w:rsidP="008B66A8">
            <w:pPr>
              <w:pStyle w:val="TAC"/>
              <w:spacing w:line="240" w:lineRule="auto"/>
              <w:rPr>
                <w:rFonts w:eastAsia="宋体" w:hint="eastAsia"/>
                <w:lang w:eastAsia="zh-CN"/>
              </w:rPr>
            </w:pPr>
          </w:p>
        </w:tc>
        <w:tc>
          <w:tcPr>
            <w:tcW w:w="2840" w:type="dxa"/>
          </w:tcPr>
          <w:p w14:paraId="6F9A3CEA" w14:textId="77777777" w:rsidR="00FB35F5" w:rsidRDefault="00FB35F5" w:rsidP="008B66A8">
            <w:pPr>
              <w:pStyle w:val="TAC"/>
              <w:spacing w:line="240" w:lineRule="auto"/>
              <w:rPr>
                <w:rFonts w:eastAsia="宋体" w:hint="eastAsia"/>
                <w:lang w:eastAsia="zh-CN"/>
              </w:rPr>
            </w:pPr>
          </w:p>
        </w:tc>
        <w:tc>
          <w:tcPr>
            <w:tcW w:w="4468" w:type="dxa"/>
          </w:tcPr>
          <w:p w14:paraId="0B1FDC8A" w14:textId="77777777" w:rsidR="00FB35F5" w:rsidRDefault="00FB35F5" w:rsidP="008B66A8">
            <w:pPr>
              <w:pStyle w:val="TAC"/>
              <w:spacing w:line="240" w:lineRule="auto"/>
              <w:rPr>
                <w:rFonts w:eastAsia="宋体"/>
                <w:lang w:eastAsia="zh-CN"/>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2"/>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宋体"/>
          <w:sz w:val="22"/>
          <w:lang w:val="en-US"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2"/>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337C9DCE"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5FA946E" w14:textId="77777777"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91D2FFA" w14:textId="77777777" w:rsidR="000628AF" w:rsidRDefault="000628AF">
            <w:pPr>
              <w:spacing w:after="0" w:line="240" w:lineRule="auto"/>
              <w:jc w:val="both"/>
              <w:rPr>
                <w:rFonts w:eastAsia="宋体"/>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Dedicated RACH </w:t>
            </w:r>
            <w:proofErr w:type="spellStart"/>
            <w:r>
              <w:rPr>
                <w:rFonts w:eastAsia="宋体"/>
                <w:sz w:val="22"/>
                <w:szCs w:val="22"/>
                <w:lang w:eastAsia="zh-CN"/>
              </w:rPr>
              <w:t>resouces</w:t>
            </w:r>
            <w:proofErr w:type="spellEnd"/>
            <w:r>
              <w:rPr>
                <w:rFonts w:eastAsia="宋体"/>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Furthermore, dedicated CFRA will </w:t>
            </w:r>
            <w:proofErr w:type="spellStart"/>
            <w:r>
              <w:rPr>
                <w:rFonts w:eastAsia="宋体"/>
                <w:sz w:val="22"/>
                <w:szCs w:val="22"/>
                <w:lang w:eastAsia="zh-CN"/>
              </w:rPr>
              <w:t>consum</w:t>
            </w:r>
            <w:proofErr w:type="spellEnd"/>
            <w:r>
              <w:rPr>
                <w:rFonts w:eastAsia="宋体"/>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宋体"/>
                <w:lang w:eastAsia="zh-CN"/>
              </w:rPr>
            </w:pPr>
            <w:r>
              <w:rPr>
                <w:rFonts w:eastAsia="宋体"/>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宋体"/>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宋体"/>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宋体"/>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宋体"/>
                <w:lang w:eastAsia="zh-CN"/>
              </w:rPr>
              <w:t>e share the same views with LG.</w:t>
            </w:r>
          </w:p>
        </w:tc>
      </w:tr>
      <w:tr w:rsidR="008B66A8" w14:paraId="31C66222" w14:textId="77777777" w:rsidTr="00857E34">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857E34">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857E34">
        <w:trPr>
          <w:trHeight w:val="454"/>
        </w:trPr>
        <w:tc>
          <w:tcPr>
            <w:tcW w:w="1268" w:type="dxa"/>
            <w:vAlign w:val="center"/>
          </w:tcPr>
          <w:p w14:paraId="4CFD21D8" w14:textId="5771BE22" w:rsidR="00033A58" w:rsidRPr="00033A58" w:rsidRDefault="00033A58" w:rsidP="00161492">
            <w:pPr>
              <w:spacing w:after="0" w:line="240" w:lineRule="auto"/>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12" w:type="dxa"/>
            <w:vAlign w:val="center"/>
          </w:tcPr>
          <w:p w14:paraId="26082A12" w14:textId="27438B3B" w:rsidR="00033A58" w:rsidRPr="00FF0E17" w:rsidRDefault="00FF0E17" w:rsidP="00161492">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宋体"/>
                <w:sz w:val="22"/>
                <w:szCs w:val="22"/>
                <w:lang w:eastAsia="zh-CN"/>
              </w:rPr>
            </w:pPr>
            <w:r>
              <w:rPr>
                <w:rFonts w:eastAsia="宋体"/>
                <w:sz w:val="22"/>
                <w:szCs w:val="22"/>
                <w:lang w:eastAsia="zh-CN"/>
              </w:rPr>
              <w:t xml:space="preserve">The dedicated RA resource provided in </w:t>
            </w:r>
            <w:proofErr w:type="spellStart"/>
            <w:r>
              <w:rPr>
                <w:rFonts w:eastAsia="宋体"/>
                <w:sz w:val="22"/>
                <w:szCs w:val="22"/>
                <w:lang w:eastAsia="zh-CN"/>
              </w:rPr>
              <w:t>RRCRelease</w:t>
            </w:r>
            <w:proofErr w:type="spellEnd"/>
            <w:r>
              <w:rPr>
                <w:rFonts w:eastAsia="宋体"/>
                <w:sz w:val="22"/>
                <w:szCs w:val="22"/>
                <w:lang w:eastAsia="zh-CN"/>
              </w:rPr>
              <w:t xml:space="preserv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857E34">
        <w:trPr>
          <w:trHeight w:val="454"/>
        </w:trPr>
        <w:tc>
          <w:tcPr>
            <w:tcW w:w="1268" w:type="dxa"/>
            <w:vAlign w:val="center"/>
          </w:tcPr>
          <w:p w14:paraId="74E5649E" w14:textId="458BE80A" w:rsidR="00C075C5" w:rsidRDefault="00C075C5" w:rsidP="00161492">
            <w:pPr>
              <w:spacing w:after="0" w:line="240" w:lineRule="auto"/>
              <w:jc w:val="center"/>
              <w:rPr>
                <w:rFonts w:eastAsia="宋体"/>
                <w:lang w:eastAsia="zh-CN"/>
              </w:rPr>
            </w:pPr>
            <w:r>
              <w:rPr>
                <w:rFonts w:eastAsia="宋体"/>
                <w:lang w:eastAsia="zh-CN"/>
              </w:rPr>
              <w:t>Apple</w:t>
            </w:r>
          </w:p>
        </w:tc>
        <w:tc>
          <w:tcPr>
            <w:tcW w:w="1512" w:type="dxa"/>
            <w:vAlign w:val="center"/>
          </w:tcPr>
          <w:p w14:paraId="1F51FE4E" w14:textId="15905FEE" w:rsidR="00C075C5" w:rsidRDefault="003022B5" w:rsidP="00161492">
            <w:pPr>
              <w:spacing w:after="0" w:line="240" w:lineRule="auto"/>
              <w:jc w:val="center"/>
              <w:rPr>
                <w:rFonts w:eastAsia="宋体"/>
                <w:lang w:eastAsia="zh-CN"/>
              </w:rPr>
            </w:pPr>
            <w:r>
              <w:rPr>
                <w:rFonts w:eastAsia="宋体"/>
                <w:lang w:eastAsia="zh-CN"/>
              </w:rPr>
              <w:t>No</w:t>
            </w:r>
          </w:p>
        </w:tc>
        <w:tc>
          <w:tcPr>
            <w:tcW w:w="6849" w:type="dxa"/>
            <w:vAlign w:val="center"/>
          </w:tcPr>
          <w:p w14:paraId="2795C862" w14:textId="525F6E9D" w:rsidR="00C075C5" w:rsidRDefault="00C57CC0" w:rsidP="0023231B">
            <w:pPr>
              <w:spacing w:after="0" w:line="240" w:lineRule="auto"/>
              <w:jc w:val="both"/>
              <w:rPr>
                <w:rFonts w:eastAsia="宋体"/>
                <w:sz w:val="22"/>
                <w:szCs w:val="22"/>
                <w:lang w:eastAsia="zh-CN"/>
              </w:rPr>
            </w:pPr>
            <w:r>
              <w:rPr>
                <w:rFonts w:eastAsia="宋体"/>
                <w:sz w:val="22"/>
                <w:szCs w:val="22"/>
                <w:lang w:eastAsia="zh-CN"/>
              </w:rPr>
              <w:t xml:space="preserve">CBRA is sufficient in this release. </w:t>
            </w:r>
          </w:p>
        </w:tc>
      </w:tr>
      <w:tr w:rsidR="005574DA" w14:paraId="37CB6DE2" w14:textId="77777777" w:rsidTr="00857E34">
        <w:trPr>
          <w:trHeight w:val="454"/>
        </w:trPr>
        <w:tc>
          <w:tcPr>
            <w:tcW w:w="1268" w:type="dxa"/>
            <w:vAlign w:val="center"/>
          </w:tcPr>
          <w:p w14:paraId="39F4DF53" w14:textId="22C3B373" w:rsidR="005574DA" w:rsidRP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12" w:type="dxa"/>
            <w:vAlign w:val="center"/>
          </w:tcPr>
          <w:p w14:paraId="0228492D" w14:textId="48C7F4C1"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E8BE48A" w14:textId="3A056FDF" w:rsidR="005574DA" w:rsidRDefault="005574DA" w:rsidP="005574DA">
            <w:pPr>
              <w:spacing w:after="0" w:line="240" w:lineRule="auto"/>
              <w:jc w:val="both"/>
              <w:rPr>
                <w:rFonts w:eastAsia="宋体"/>
                <w:sz w:val="22"/>
                <w:szCs w:val="22"/>
                <w:lang w:eastAsia="zh-CN"/>
              </w:rPr>
            </w:pPr>
            <w:r>
              <w:rPr>
                <w:rFonts w:eastAsia="宋体" w:hint="eastAsia"/>
                <w:lang w:eastAsia="zh-CN"/>
              </w:rPr>
              <w:t>C</w:t>
            </w:r>
            <w:r>
              <w:rPr>
                <w:rFonts w:eastAsia="宋体"/>
                <w:lang w:eastAsia="zh-CN"/>
              </w:rPr>
              <w:t xml:space="preserve">BRA is </w:t>
            </w:r>
            <w:proofErr w:type="spellStart"/>
            <w:r>
              <w:rPr>
                <w:rFonts w:eastAsia="宋体"/>
                <w:lang w:eastAsia="zh-CN"/>
              </w:rPr>
              <w:t>suffient</w:t>
            </w:r>
            <w:proofErr w:type="spellEnd"/>
            <w:r>
              <w:rPr>
                <w:rFonts w:eastAsia="宋体"/>
                <w:lang w:eastAsia="zh-CN"/>
              </w:rPr>
              <w:t>.</w:t>
            </w:r>
          </w:p>
        </w:tc>
      </w:tr>
      <w:tr w:rsidR="00BC6D12" w14:paraId="6E37C123" w14:textId="77777777" w:rsidTr="00857E34">
        <w:trPr>
          <w:trHeight w:val="454"/>
        </w:trPr>
        <w:tc>
          <w:tcPr>
            <w:tcW w:w="1268" w:type="dxa"/>
            <w:vAlign w:val="center"/>
          </w:tcPr>
          <w:p w14:paraId="429D65FB" w14:textId="32B841A0" w:rsidR="00BC6D12" w:rsidRDefault="00BC6D12" w:rsidP="005574DA">
            <w:pPr>
              <w:spacing w:after="0" w:line="240" w:lineRule="auto"/>
              <w:jc w:val="center"/>
              <w:rPr>
                <w:rFonts w:eastAsia="宋体" w:hint="eastAsia"/>
                <w:lang w:eastAsia="zh-CN"/>
              </w:rPr>
            </w:pPr>
            <w:r>
              <w:rPr>
                <w:rFonts w:eastAsia="宋体"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宋体" w:hint="eastAsia"/>
                <w:lang w:eastAsia="zh-CN"/>
              </w:rPr>
            </w:pPr>
            <w:r>
              <w:rPr>
                <w:rFonts w:eastAsia="宋体" w:hint="eastAsia"/>
                <w:lang w:eastAsia="zh-CN"/>
              </w:rPr>
              <w:t>N</w:t>
            </w:r>
            <w:r>
              <w:rPr>
                <w:rFonts w:eastAsia="宋体"/>
                <w:lang w:eastAsia="zh-CN"/>
              </w:rPr>
              <w:t>o</w:t>
            </w:r>
          </w:p>
        </w:tc>
        <w:tc>
          <w:tcPr>
            <w:tcW w:w="6849" w:type="dxa"/>
            <w:vAlign w:val="center"/>
          </w:tcPr>
          <w:p w14:paraId="584BC7AB" w14:textId="0D4A735A" w:rsidR="00BC6D12" w:rsidRDefault="00386096" w:rsidP="005574DA">
            <w:pPr>
              <w:spacing w:after="0" w:line="240" w:lineRule="auto"/>
              <w:jc w:val="both"/>
              <w:rPr>
                <w:rFonts w:eastAsia="宋体" w:hint="eastAsia"/>
                <w:lang w:eastAsia="zh-CN"/>
              </w:rPr>
            </w:pPr>
            <w:r>
              <w:rPr>
                <w:rFonts w:eastAsia="宋体" w:hint="eastAsia"/>
                <w:lang w:eastAsia="zh-CN"/>
              </w:rPr>
              <w:t>I</w:t>
            </w:r>
            <w:r>
              <w:rPr>
                <w:rFonts w:eastAsia="宋体"/>
                <w:lang w:eastAsia="zh-CN"/>
              </w:rPr>
              <w:t xml:space="preserve">f CFRA is adopted, we may have to investigate whether CSI-RS can be used in the INACTIVE state and </w:t>
            </w:r>
            <w:proofErr w:type="spellStart"/>
            <w:r>
              <w:rPr>
                <w:rFonts w:eastAsia="宋体"/>
                <w:lang w:eastAsia="zh-CN"/>
              </w:rPr>
              <w:t>fallback</w:t>
            </w:r>
            <w:proofErr w:type="spellEnd"/>
            <w:r>
              <w:rPr>
                <w:rFonts w:eastAsia="宋体"/>
                <w:lang w:eastAsia="zh-CN"/>
              </w:rPr>
              <w:t xml:space="preserve"> issue (i.e. </w:t>
            </w:r>
            <w:proofErr w:type="spellStart"/>
            <w:r>
              <w:rPr>
                <w:rFonts w:eastAsia="宋体"/>
                <w:lang w:eastAsia="zh-CN"/>
              </w:rPr>
              <w:t>fallback</w:t>
            </w:r>
            <w:proofErr w:type="spellEnd"/>
            <w:r>
              <w:rPr>
                <w:rFonts w:eastAsia="宋体"/>
                <w:lang w:eastAsia="zh-CN"/>
              </w:rPr>
              <w:t xml:space="preserve"> from CFRA to CBRA)</w:t>
            </w:r>
            <w:r w:rsidR="00A939D4">
              <w:rPr>
                <w:rFonts w:eastAsia="宋体"/>
                <w:lang w:eastAsia="zh-CN"/>
              </w:rPr>
              <w:t xml:space="preserve"> </w:t>
            </w:r>
            <w:r>
              <w:rPr>
                <w:rFonts w:eastAsia="宋体"/>
                <w:lang w:eastAsia="zh-CN"/>
              </w:rPr>
              <w:t>after re-selecting to another cell</w:t>
            </w:r>
            <w:r w:rsidR="00F10FE3">
              <w:rPr>
                <w:rFonts w:eastAsia="宋体"/>
                <w:lang w:eastAsia="zh-CN"/>
              </w:rPr>
              <w:t xml:space="preserve">. Without </w:t>
            </w:r>
            <w:r w:rsidR="00313EE2">
              <w:rPr>
                <w:rFonts w:eastAsia="宋体"/>
                <w:lang w:eastAsia="zh-CN"/>
              </w:rPr>
              <w:t xml:space="preserve">a </w:t>
            </w:r>
            <w:r w:rsidR="00F10FE3">
              <w:rPr>
                <w:rFonts w:eastAsia="宋体"/>
                <w:lang w:eastAsia="zh-CN"/>
              </w:rPr>
              <w:t xml:space="preserve">doubt, the UE  complexity will be increased. </w:t>
            </w:r>
            <w:r w:rsidR="00313EE2">
              <w:rPr>
                <w:rFonts w:eastAsia="宋体"/>
                <w:lang w:eastAsia="zh-CN"/>
              </w:rPr>
              <w:t xml:space="preserve">Thus, we prefer to work on CBRA only. </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A95CB5">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4pt;height:116.05pt;mso-width-percent:0;mso-height-percent:0;mso-width-percent:0;mso-height-percent:0" o:ole="">
            <v:imagedata r:id="rId13" o:title=""/>
          </v:shape>
          <o:OLEObject Type="Embed" ProgID="Visio.Drawing.15" ShapeID="_x0000_i1025" DrawAspect="Content" ObjectID="_1681891124" r:id="rId14"/>
        </w:object>
      </w:r>
    </w:p>
    <w:p w14:paraId="43AFE8C8" w14:textId="77777777"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0AC86E4" w14:textId="77777777" w:rsidR="000628AF" w:rsidRDefault="003057DE">
      <w:pPr>
        <w:pStyle w:val="4"/>
      </w:pPr>
      <w:r>
        <w:t>Q2: Do companies support configuring the number of contention-based 4-step/2-step RACH preambles</w:t>
      </w:r>
      <w:r>
        <w:rPr>
          <w:rFonts w:eastAsia="宋体"/>
        </w:rPr>
        <w:t xml:space="preserve"> per SSB for RA-SDT when ROs are shared between SDT and non-SDT</w:t>
      </w:r>
      <w:r>
        <w:t>?</w:t>
      </w:r>
    </w:p>
    <w:tbl>
      <w:tblPr>
        <w:tblStyle w:val="af2"/>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14:paraId="118FF58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F8634A"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宋体"/>
                <w:sz w:val="22"/>
                <w:szCs w:val="22"/>
                <w:lang w:val="en-US" w:eastAsia="zh-CN"/>
              </w:rPr>
            </w:pPr>
          </w:p>
          <w:p w14:paraId="6AFE569D"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宋体"/>
                <w:sz w:val="22"/>
                <w:szCs w:val="22"/>
                <w:lang w:val="en-US" w:eastAsia="zh-CN"/>
              </w:rPr>
            </w:pPr>
          </w:p>
          <w:p w14:paraId="4FB4FF09"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宋体"/>
                <w:sz w:val="22"/>
                <w:szCs w:val="22"/>
                <w:lang w:val="en-US" w:eastAsia="zh-CN"/>
              </w:rPr>
            </w:pPr>
          </w:p>
          <w:p w14:paraId="3FBBCF20"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2DFCAA8"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E6E6918" w14:textId="77777777" w:rsidR="000628AF" w:rsidRDefault="000628AF">
            <w:pPr>
              <w:spacing w:after="0" w:line="240" w:lineRule="auto"/>
              <w:jc w:val="both"/>
              <w:rPr>
                <w:rFonts w:eastAsia="宋体"/>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7C514C88" w14:textId="77777777"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55F1E807" w14:textId="77777777"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宋体"/>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宋体"/>
                <w:lang w:eastAsia="zh-CN"/>
              </w:rPr>
            </w:pPr>
            <w:r>
              <w:rPr>
                <w:rFonts w:eastAsia="宋体"/>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宋体"/>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857E34">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857E34">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lastRenderedPageBreak/>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857E34">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857E34">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Details can be left for stage 3, and in consideration of other usecases for PRACH partitioning listed by ZTE (with the addition of indicating the capability of Msg3 repeatition agreed in the coverage enhancements WI).</w:t>
            </w:r>
          </w:p>
        </w:tc>
      </w:tr>
      <w:tr w:rsidR="00857E34" w14:paraId="14E540E0" w14:textId="77777777" w:rsidTr="00857E34">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宋体"/>
                <w:sz w:val="22"/>
                <w:szCs w:val="22"/>
                <w:lang w:eastAsia="zh-CN"/>
              </w:rPr>
            </w:pPr>
            <w:r>
              <w:rPr>
                <w:rFonts w:eastAsia="宋体"/>
                <w:sz w:val="22"/>
                <w:szCs w:val="22"/>
                <w:lang w:eastAsia="zh-CN"/>
              </w:rPr>
              <w:t>We would like to r</w:t>
            </w:r>
            <w:r w:rsidR="00857E34">
              <w:rPr>
                <w:rFonts w:eastAsia="宋体"/>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宋体"/>
                <w:sz w:val="22"/>
                <w:szCs w:val="22"/>
                <w:lang w:eastAsia="zh-CN"/>
              </w:rPr>
              <w:t xml:space="preserve">A more direct answer to the question is that we should have two parameters of CB-PreamblesPerSSB for 4stepSDT and 2-stepSDT. </w:t>
            </w:r>
          </w:p>
        </w:tc>
      </w:tr>
      <w:tr w:rsidR="00DC52D0" w14:paraId="0FDB9309" w14:textId="77777777" w:rsidTr="00857E34">
        <w:trPr>
          <w:trHeight w:val="454"/>
        </w:trPr>
        <w:tc>
          <w:tcPr>
            <w:tcW w:w="1256" w:type="dxa"/>
            <w:vAlign w:val="center"/>
          </w:tcPr>
          <w:p w14:paraId="2403F652" w14:textId="071CA6CB" w:rsidR="00DC52D0" w:rsidRDefault="003D4E06" w:rsidP="00857E34">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宋体"/>
                <w:sz w:val="22"/>
                <w:szCs w:val="22"/>
                <w:lang w:eastAsia="zh-CN"/>
              </w:rPr>
            </w:pPr>
          </w:p>
        </w:tc>
      </w:tr>
      <w:tr w:rsidR="005574DA" w14:paraId="3A7A0A27" w14:textId="77777777" w:rsidTr="00857E34">
        <w:trPr>
          <w:trHeight w:val="454"/>
        </w:trPr>
        <w:tc>
          <w:tcPr>
            <w:tcW w:w="1256" w:type="dxa"/>
            <w:vAlign w:val="center"/>
          </w:tcPr>
          <w:p w14:paraId="4AF35936" w14:textId="674FCB28"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74B257FD" w14:textId="1BE6CE13"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01560C" w14:paraId="380A7A17" w14:textId="77777777" w:rsidTr="00857E34">
        <w:trPr>
          <w:trHeight w:val="454"/>
        </w:trPr>
        <w:tc>
          <w:tcPr>
            <w:tcW w:w="1256" w:type="dxa"/>
            <w:vAlign w:val="center"/>
          </w:tcPr>
          <w:p w14:paraId="7E359D99" w14:textId="52382841" w:rsidR="0001560C" w:rsidRDefault="0001560C"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宋体" w:hint="eastAsia"/>
                <w:lang w:eastAsia="zh-CN"/>
              </w:rPr>
            </w:pPr>
            <w:r>
              <w:rPr>
                <w:rFonts w:eastAsia="宋体" w:hint="eastAsia"/>
                <w:lang w:eastAsia="zh-CN"/>
              </w:rPr>
              <w:t>W</w:t>
            </w:r>
            <w:r>
              <w:rPr>
                <w:rFonts w:eastAsia="宋体"/>
                <w:lang w:eastAsia="zh-CN"/>
              </w:rPr>
              <w:t>e share a similar view with Huawei that the legacy rules for the association between SSB and preamble</w:t>
            </w:r>
            <w:r>
              <w:rPr>
                <w:rFonts w:eastAsia="宋体" w:hint="eastAsia"/>
                <w:lang w:eastAsia="zh-CN"/>
              </w:rPr>
              <w:t>/RO</w:t>
            </w:r>
            <w:r>
              <w:rPr>
                <w:rFonts w:eastAsia="宋体"/>
                <w:lang w:eastAsia="zh-CN"/>
              </w:rPr>
              <w:t xml:space="preserve"> </w:t>
            </w:r>
            <w:r>
              <w:rPr>
                <w:rFonts w:eastAsia="宋体" w:hint="eastAsia"/>
                <w:lang w:eastAsia="zh-CN"/>
              </w:rPr>
              <w:t>shou</w:t>
            </w:r>
            <w:r>
              <w:rPr>
                <w:rFonts w:eastAsia="宋体"/>
                <w:lang w:eastAsia="zh-CN"/>
              </w:rPr>
              <w:t xml:space="preserve">ld be reused for 4-step RA SDT and 2-step RA SDT. </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宋体"/>
          <w:sz w:val="22"/>
          <w:szCs w:val="22"/>
          <w:lang w:eastAsia="zh-CN"/>
        </w:rPr>
      </w:pPr>
    </w:p>
    <w:p w14:paraId="7AFBC2E5" w14:textId="77777777" w:rsidR="000628AF" w:rsidRDefault="000628AF">
      <w:pPr>
        <w:adjustRightInd w:val="0"/>
        <w:snapToGrid w:val="0"/>
        <w:spacing w:before="120" w:after="120" w:line="240" w:lineRule="auto"/>
        <w:jc w:val="both"/>
        <w:rPr>
          <w:rFonts w:eastAsia="宋体"/>
          <w:sz w:val="22"/>
          <w:szCs w:val="22"/>
          <w:lang w:eastAsia="zh-CN"/>
        </w:rPr>
      </w:pPr>
    </w:p>
    <w:p w14:paraId="2770B4B1"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A95CB5">
      <w:pPr>
        <w:adjustRightInd w:val="0"/>
        <w:snapToGrid w:val="0"/>
        <w:spacing w:after="0" w:line="240" w:lineRule="auto"/>
        <w:jc w:val="center"/>
      </w:pPr>
      <w:r>
        <w:rPr>
          <w:noProof/>
        </w:rPr>
        <w:object w:dxaOrig="8722" w:dyaOrig="2323" w14:anchorId="08442B19">
          <v:shape id="_x0000_i1026" type="#_x0000_t75" alt="" style="width:436.3pt;height:116.05pt;mso-width-percent:0;mso-height-percent:0;mso-width-percent:0;mso-height-percent:0" o:ole="">
            <v:imagedata r:id="rId15" o:title=""/>
          </v:shape>
          <o:OLEObject Type="Embed" ProgID="Visio.Drawing.15" ShapeID="_x0000_i1026" DrawAspect="Content" ObjectID="_1681891125" r:id="rId16"/>
        </w:object>
      </w:r>
    </w:p>
    <w:p w14:paraId="4131E939" w14:textId="201B5369"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w:t>
      </w:r>
      <w:r w:rsidR="004B3CE9">
        <w:rPr>
          <w:rFonts w:eastAsia="宋体"/>
          <w:szCs w:val="22"/>
          <w:lang w:eastAsia="zh-CN"/>
        </w:rPr>
        <w:t>o</w:t>
      </w:r>
      <w:r>
        <w:rPr>
          <w:rFonts w:eastAsia="宋体"/>
          <w:szCs w:val="22"/>
          <w:lang w:eastAsia="zh-CN"/>
        </w:rPr>
        <w:t>s are shared between SDT and non-SDT</w:t>
      </w:r>
    </w:p>
    <w:p w14:paraId="32CCF4B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7BD4F57B" w14:textId="1C242799"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w:t>
      </w:r>
      <w:r w:rsidR="00FC45B7">
        <w:rPr>
          <w:rFonts w:eastAsia="宋体"/>
          <w:sz w:val="22"/>
        </w:rPr>
        <w:t>O</w:t>
      </w:r>
      <w:r>
        <w:rPr>
          <w:rFonts w:eastAsia="宋体"/>
          <w:sz w:val="22"/>
        </w:rPr>
        <w:t>s are shared between SDT and non-SDT</w:t>
      </w:r>
      <w:r>
        <w:rPr>
          <w:sz w:val="22"/>
        </w:rPr>
        <w:t>?</w:t>
      </w:r>
    </w:p>
    <w:tbl>
      <w:tblPr>
        <w:tblStyle w:val="af2"/>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DB9331C"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24EAB0E9"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allocated after the non-SDT 2-</w:t>
            </w:r>
            <w:r w:rsidR="001B0366">
              <w:rPr>
                <w:sz w:val="22"/>
                <w:szCs w:val="22"/>
              </w:rPr>
              <w:lastRenderedPageBreak/>
              <w:t xml:space="preserve">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宋体"/>
                <w:lang w:eastAsia="zh-CN"/>
              </w:rPr>
            </w:pPr>
            <w:r>
              <w:rPr>
                <w:rFonts w:eastAsia="宋体" w:hint="eastAsia"/>
                <w:lang w:eastAsia="zh-CN"/>
              </w:rPr>
              <w:lastRenderedPageBreak/>
              <w:t>T</w:t>
            </w:r>
            <w:r>
              <w:rPr>
                <w:rFonts w:eastAsia="宋体"/>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Pr>
                <w:rFonts w:eastAsia="宋体"/>
                <w:sz w:val="22"/>
                <w:szCs w:val="22"/>
                <w:lang w:eastAsia="zh-CN"/>
              </w:rPr>
              <w:t xml:space="preserve"> R</w:t>
            </w:r>
            <w:r w:rsidR="004B3CE9">
              <w:rPr>
                <w:rFonts w:eastAsia="宋体"/>
                <w:sz w:val="22"/>
                <w:szCs w:val="22"/>
                <w:lang w:eastAsia="zh-CN"/>
              </w:rPr>
              <w:t>o</w:t>
            </w:r>
            <w:r>
              <w:rPr>
                <w:rFonts w:eastAsia="宋体"/>
                <w:sz w:val="22"/>
                <w:szCs w:val="22"/>
                <w:lang w:eastAsia="zh-CN"/>
              </w:rPr>
              <w:t>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we should sort out cross-WI  dependencies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宋体"/>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857E34">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宋体"/>
                <w:lang w:eastAsia="zh-CN"/>
              </w:rPr>
              <w:t>It may be simple to introduce a starting index to indicate the starting preamble for RA-SDT.</w:t>
            </w:r>
          </w:p>
        </w:tc>
      </w:tr>
      <w:tr w:rsidR="00BC0711" w14:paraId="0F165D35" w14:textId="77777777" w:rsidTr="00857E34">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0831056" w14:textId="17B29945"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1A9DBFC0" w14:textId="77777777" w:rsidTr="00857E34">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宋体"/>
                <w:lang w:eastAsia="zh-CN"/>
              </w:rPr>
            </w:pPr>
          </w:p>
        </w:tc>
      </w:tr>
      <w:tr w:rsidR="00161492" w14:paraId="35B1F2AB" w14:textId="77777777" w:rsidTr="00857E34">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宋体"/>
                <w:lang w:eastAsia="zh-CN"/>
              </w:rPr>
            </w:pPr>
            <w:r>
              <w:rPr>
                <w:rFonts w:eastAsiaTheme="minorEastAsia"/>
                <w:lang w:eastAsia="ko-KR"/>
              </w:rPr>
              <w:t>Details can be left for stage 3, and in consideration of other usecases for PRACH partitioning</w:t>
            </w:r>
          </w:p>
        </w:tc>
      </w:tr>
      <w:tr w:rsidR="00BD0EFE" w14:paraId="49526676" w14:textId="77777777" w:rsidTr="00857E34">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N</w:t>
            </w:r>
            <w:r>
              <w:rPr>
                <w:rFonts w:eastAsia="宋体"/>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宋体"/>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intrioducing new parameters. </w:t>
            </w:r>
            <w:r w:rsidRPr="00EE4A3E" w:rsidDel="002101BD">
              <w:rPr>
                <w:rStyle w:val="af5"/>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857E34">
        <w:trPr>
          <w:trHeight w:val="454"/>
        </w:trPr>
        <w:tc>
          <w:tcPr>
            <w:tcW w:w="1256" w:type="dxa"/>
            <w:vAlign w:val="center"/>
          </w:tcPr>
          <w:p w14:paraId="188C2506" w14:textId="081D89DB" w:rsidR="004B3CE9" w:rsidRDefault="004B3CE9" w:rsidP="00BD0EFE">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宋体"/>
                <w:sz w:val="22"/>
                <w:szCs w:val="22"/>
                <w:lang w:eastAsia="zh-CN"/>
              </w:rPr>
            </w:pPr>
          </w:p>
        </w:tc>
      </w:tr>
      <w:tr w:rsidR="005574DA" w14:paraId="2D3F785E" w14:textId="77777777" w:rsidTr="00857E34">
        <w:trPr>
          <w:trHeight w:val="454"/>
        </w:trPr>
        <w:tc>
          <w:tcPr>
            <w:tcW w:w="1256" w:type="dxa"/>
            <w:vAlign w:val="center"/>
          </w:tcPr>
          <w:p w14:paraId="63D7384D" w14:textId="16CAEEF2"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5297CCD2" w14:textId="3FD93FA8"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24996EE1" w14:textId="023D8692"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C476B9" w14:paraId="6D2A2110" w14:textId="77777777" w:rsidTr="00857E34">
        <w:trPr>
          <w:trHeight w:val="454"/>
        </w:trPr>
        <w:tc>
          <w:tcPr>
            <w:tcW w:w="1256" w:type="dxa"/>
            <w:vAlign w:val="center"/>
          </w:tcPr>
          <w:p w14:paraId="52677A6F" w14:textId="27C47A40" w:rsidR="00C476B9" w:rsidRDefault="00C476B9"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66D0C937" w14:textId="3751913E" w:rsidR="00C476B9" w:rsidRDefault="00D05E7C" w:rsidP="005574DA">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72C43B76" w14:textId="6DDFB10F" w:rsidR="00C476B9" w:rsidRPr="00C050E6" w:rsidRDefault="00C050E6" w:rsidP="005574DA">
            <w:pPr>
              <w:spacing w:after="0" w:line="240" w:lineRule="auto"/>
              <w:rPr>
                <w:rFonts w:eastAsia="宋体" w:hint="eastAsia"/>
                <w:lang w:eastAsia="zh-CN"/>
              </w:rPr>
            </w:pPr>
            <w:r>
              <w:rPr>
                <w:rFonts w:eastAsia="宋体" w:hint="eastAsia"/>
                <w:lang w:eastAsia="zh-CN"/>
              </w:rPr>
              <w:t>I</w:t>
            </w:r>
            <w:r>
              <w:rPr>
                <w:rFonts w:eastAsia="宋体"/>
                <w:lang w:eastAsia="zh-CN"/>
              </w:rPr>
              <w:t>n our understanding, a UE that doesn’t support would not interpret the 2-step RA configuration in SIB1. Then a starting index is useful for the case where ROs are shared amongst 4-step</w:t>
            </w:r>
            <w:r>
              <w:rPr>
                <w:rFonts w:eastAsia="宋体" w:hint="eastAsia"/>
                <w:lang w:eastAsia="zh-CN"/>
              </w:rPr>
              <w:t>/2</w:t>
            </w:r>
            <w:r>
              <w:rPr>
                <w:rFonts w:eastAsia="宋体"/>
                <w:lang w:eastAsia="zh-CN"/>
              </w:rPr>
              <w:t>-</w:t>
            </w:r>
            <w:r>
              <w:rPr>
                <w:rFonts w:eastAsia="宋体" w:hint="eastAsia"/>
                <w:lang w:eastAsia="zh-CN"/>
              </w:rPr>
              <w:t>st</w:t>
            </w:r>
            <w:r>
              <w:rPr>
                <w:rFonts w:eastAsia="宋体"/>
                <w:lang w:eastAsia="zh-CN"/>
              </w:rPr>
              <w:t>e</w:t>
            </w:r>
            <w:r>
              <w:rPr>
                <w:rFonts w:eastAsia="宋体" w:hint="eastAsia"/>
                <w:lang w:eastAsia="zh-CN"/>
              </w:rPr>
              <w:t>p</w:t>
            </w:r>
            <w:r>
              <w:rPr>
                <w:rFonts w:eastAsia="宋体"/>
                <w:lang w:eastAsia="zh-CN"/>
              </w:rPr>
              <w:t xml:space="preserve"> RA and  4-step/2-step RA SDT.</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宋体"/>
          <w:sz w:val="22"/>
          <w:szCs w:val="22"/>
          <w:lang w:eastAsia="zh-CN"/>
        </w:rPr>
        <w:t>Furthermore, in Rel-16, when R</w:t>
      </w:r>
      <w:r w:rsidR="004D34AF">
        <w:rPr>
          <w:rFonts w:eastAsia="宋体"/>
          <w:sz w:val="22"/>
          <w:szCs w:val="22"/>
          <w:lang w:eastAsia="zh-CN"/>
        </w:rPr>
        <w:t>o</w:t>
      </w:r>
      <w:r>
        <w:rPr>
          <w:rFonts w:eastAsia="宋体"/>
          <w:sz w:val="22"/>
          <w:szCs w:val="22"/>
          <w:lang w:eastAsia="zh-CN"/>
        </w:rPr>
        <w:t xml:space="preserve">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w:t>
      </w:r>
      <w:r w:rsidR="004D34AF">
        <w:rPr>
          <w:sz w:val="22"/>
          <w:szCs w:val="22"/>
          <w:lang w:eastAsia="sv-SE"/>
        </w:rPr>
        <w:t>o</w:t>
      </w:r>
      <w:r>
        <w:rPr>
          <w:sz w:val="22"/>
          <w:szCs w:val="22"/>
          <w:lang w:eastAsia="sv-SE"/>
        </w:rPr>
        <w:t>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w:t>
      </w:r>
      <w:r w:rsidR="004D34AF">
        <w:rPr>
          <w:rFonts w:eastAsia="华文中宋"/>
          <w:sz w:val="22"/>
          <w:szCs w:val="22"/>
          <w:lang w:eastAsia="sv-SE"/>
        </w:rPr>
        <w:t>o</w:t>
      </w:r>
      <w:r>
        <w:rPr>
          <w:rFonts w:eastAsia="华文中宋"/>
          <w:sz w:val="22"/>
          <w:szCs w:val="22"/>
          <w:lang w:eastAsia="sv-SE"/>
        </w:rPr>
        <w:t>s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5BD0F970" w14:textId="77777777" w:rsidR="000628AF" w:rsidRDefault="003057DE">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w:t>
            </w:r>
            <w:r w:rsidR="004D34AF">
              <w:rPr>
                <w:rFonts w:eastAsia="宋体"/>
                <w:sz w:val="22"/>
                <w:szCs w:val="22"/>
                <w:lang w:val="en-US" w:eastAsia="zh-CN"/>
              </w:rPr>
              <w:t>i</w:t>
            </w:r>
            <w:r>
              <w:rPr>
                <w:rFonts w:eastAsia="宋体"/>
                <w:sz w:val="22"/>
                <w:szCs w:val="22"/>
                <w:lang w:val="en-US" w:eastAsia="zh-CN"/>
              </w:rPr>
              <w:t>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7BB4E40A"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59D5495" w14:textId="77777777" w:rsidR="000628AF" w:rsidRDefault="000628AF">
            <w:pPr>
              <w:spacing w:after="0" w:line="240" w:lineRule="auto"/>
              <w:jc w:val="both"/>
              <w:rPr>
                <w:rFonts w:eastAsia="宋体"/>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403F9C4" w14:textId="77777777"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3791C665" w14:textId="77777777"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宋体"/>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857E34">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857E34">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宋体" w:hint="eastAsia"/>
                <w:lang w:eastAsia="zh-CN"/>
              </w:rPr>
              <w:t>L</w:t>
            </w:r>
            <w:r>
              <w:rPr>
                <w:rFonts w:eastAsia="宋体"/>
                <w:lang w:eastAsia="zh-CN"/>
              </w:rPr>
              <w:t>eave it up to RAN1.</w:t>
            </w:r>
          </w:p>
        </w:tc>
      </w:tr>
      <w:tr w:rsidR="008B66A8" w14:paraId="2EC73870" w14:textId="77777777" w:rsidTr="00857E34">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宋体"/>
                <w:lang w:eastAsia="zh-CN"/>
              </w:rPr>
            </w:pPr>
          </w:p>
        </w:tc>
      </w:tr>
      <w:tr w:rsidR="00161492" w14:paraId="23A9AB01" w14:textId="77777777" w:rsidTr="00857E34">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宋体"/>
                <w:lang w:eastAsia="zh-CN"/>
              </w:rPr>
            </w:pPr>
            <w:r>
              <w:rPr>
                <w:rFonts w:eastAsiaTheme="minorEastAsia"/>
                <w:lang w:eastAsia="ko-KR"/>
              </w:rPr>
              <w:t>Leave it for stage-3 design</w:t>
            </w:r>
          </w:p>
        </w:tc>
      </w:tr>
      <w:tr w:rsidR="00F236BD" w14:paraId="5F78EE1A" w14:textId="77777777" w:rsidTr="00857E34">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宋体"/>
                <w:sz w:val="22"/>
                <w:szCs w:val="22"/>
                <w:lang w:eastAsia="zh-CN"/>
              </w:rPr>
            </w:pPr>
            <w:r>
              <w:rPr>
                <w:rFonts w:eastAsia="宋体"/>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宋体"/>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857E34">
        <w:trPr>
          <w:trHeight w:val="454"/>
        </w:trPr>
        <w:tc>
          <w:tcPr>
            <w:tcW w:w="1256" w:type="dxa"/>
            <w:vAlign w:val="center"/>
          </w:tcPr>
          <w:p w14:paraId="7EACE354" w14:textId="126A045E" w:rsidR="004D34AF" w:rsidRDefault="004D34AF" w:rsidP="00F236B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宋体"/>
                <w:sz w:val="22"/>
                <w:szCs w:val="22"/>
                <w:lang w:eastAsia="zh-CN"/>
              </w:rPr>
            </w:pPr>
          </w:p>
        </w:tc>
      </w:tr>
      <w:tr w:rsidR="005574DA" w14:paraId="56379DA9" w14:textId="77777777" w:rsidTr="00857E34">
        <w:trPr>
          <w:trHeight w:val="454"/>
        </w:trPr>
        <w:tc>
          <w:tcPr>
            <w:tcW w:w="1256" w:type="dxa"/>
            <w:vAlign w:val="center"/>
          </w:tcPr>
          <w:p w14:paraId="2B0C67F3" w14:textId="48374C40"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15FCAAD9" w14:textId="6CE1C6CA"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19330AF2" w14:textId="0C750BD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6C3244" w14:paraId="03A44852" w14:textId="77777777" w:rsidTr="00857E34">
        <w:trPr>
          <w:trHeight w:val="454"/>
        </w:trPr>
        <w:tc>
          <w:tcPr>
            <w:tcW w:w="1256" w:type="dxa"/>
            <w:vAlign w:val="center"/>
          </w:tcPr>
          <w:p w14:paraId="6068EAC6" w14:textId="56D89D35" w:rsidR="006C3244" w:rsidRDefault="006C3244"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3403A824" w14:textId="6E339989" w:rsidR="006C3244" w:rsidRDefault="006C3244" w:rsidP="005574DA">
            <w:pPr>
              <w:spacing w:after="0" w:line="240" w:lineRule="auto"/>
              <w:jc w:val="center"/>
              <w:rPr>
                <w:rFonts w:eastAsia="宋体" w:hint="eastAsia"/>
                <w:lang w:eastAsia="zh-CN"/>
              </w:rPr>
            </w:pPr>
            <w:r>
              <w:rPr>
                <w:rFonts w:eastAsia="宋体" w:hint="eastAsia"/>
                <w:lang w:eastAsia="zh-CN"/>
              </w:rPr>
              <w:t>C</w:t>
            </w:r>
            <w:r>
              <w:rPr>
                <w:rFonts w:eastAsia="宋体"/>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宋体" w:hint="eastAsia"/>
                <w:lang w:eastAsia="zh-CN"/>
              </w:rPr>
            </w:pPr>
            <w:r>
              <w:rPr>
                <w:rFonts w:eastAsia="宋体" w:hint="eastAsia"/>
                <w:lang w:eastAsia="zh-CN"/>
              </w:rPr>
              <w:t>W</w:t>
            </w:r>
            <w:r>
              <w:rPr>
                <w:rFonts w:eastAsia="宋体"/>
                <w:lang w:eastAsia="zh-CN"/>
              </w:rPr>
              <w:t xml:space="preserve">e can ask RAN1 for further input. </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宋体"/>
          <w:sz w:val="22"/>
          <w:szCs w:val="22"/>
          <w:lang w:eastAsia="zh-CN"/>
        </w:rPr>
      </w:pPr>
    </w:p>
    <w:p w14:paraId="655EAECE" w14:textId="77777777" w:rsidR="000628AF" w:rsidRDefault="000628AF">
      <w:pPr>
        <w:adjustRightInd w:val="0"/>
        <w:snapToGrid w:val="0"/>
        <w:spacing w:before="120" w:after="120" w:line="240" w:lineRule="auto"/>
        <w:jc w:val="both"/>
        <w:rPr>
          <w:rFonts w:eastAsia="宋体"/>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宋体"/>
          <w:sz w:val="22"/>
          <w:szCs w:val="22"/>
          <w:lang w:eastAsia="zh-CN"/>
        </w:rPr>
        <w:t>For separate R</w:t>
      </w:r>
      <w:r w:rsidR="00D61F66">
        <w:rPr>
          <w:rFonts w:eastAsia="宋体"/>
          <w:sz w:val="22"/>
          <w:szCs w:val="22"/>
          <w:lang w:eastAsia="zh-CN"/>
        </w:rPr>
        <w:t>o</w:t>
      </w:r>
      <w:r>
        <w:rPr>
          <w:rFonts w:eastAsia="宋体"/>
          <w:sz w:val="22"/>
          <w:szCs w:val="22"/>
          <w:lang w:eastAsia="zh-CN"/>
        </w:rPr>
        <w:t>s configured for SDT, the question comes to how to indicate the separate RACH configuration for SDT. In Rel-16, to configure a separate R</w:t>
      </w:r>
      <w:r w:rsidR="00D61F66">
        <w:rPr>
          <w:rFonts w:eastAsia="宋体"/>
          <w:sz w:val="22"/>
          <w:szCs w:val="22"/>
          <w:lang w:eastAsia="zh-CN"/>
        </w:rPr>
        <w:t>o</w:t>
      </w:r>
      <w:r>
        <w:rPr>
          <w:rFonts w:eastAsia="宋体"/>
          <w:sz w:val="22"/>
          <w:szCs w:val="22"/>
          <w:lang w:eastAsia="zh-CN"/>
        </w:rPr>
        <w:t xml:space="preserve">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w:t>
      </w:r>
      <w:r w:rsidR="00D61F66">
        <w:rPr>
          <w:sz w:val="22"/>
          <w:szCs w:val="21"/>
        </w:rPr>
        <w:t>o</w:t>
      </w:r>
      <w:r>
        <w:rPr>
          <w:sz w:val="22"/>
          <w:szCs w:val="21"/>
        </w:rPr>
        <w:t>s for RA-SDT, RAN2 might consider the following two options (for possible down-selection or combination(s) of these options):</w:t>
      </w:r>
    </w:p>
    <w:p w14:paraId="791E717D" w14:textId="77777777" w:rsidR="000628AF" w:rsidRDefault="003057DE">
      <w:pPr>
        <w:pStyle w:val="af8"/>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af8"/>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109DB0BF" w14:textId="77777777" w:rsidR="000628AF" w:rsidRDefault="003057DE">
      <w:pPr>
        <w:pStyle w:val="4"/>
        <w:rPr>
          <w:rFonts w:eastAsia="华文中宋"/>
          <w:b w:val="0"/>
          <w:sz w:val="22"/>
        </w:rPr>
      </w:pPr>
      <w:r>
        <w:rPr>
          <w:bCs/>
          <w:sz w:val="22"/>
        </w:rPr>
        <w:lastRenderedPageBreak/>
        <w:t>Q5:</w:t>
      </w:r>
      <w:r>
        <w:rPr>
          <w:sz w:val="22"/>
        </w:rPr>
        <w:t xml:space="preserve"> Which option(s) do companies prefer for separate RO configuration for 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rsidTr="00A528D5">
        <w:trPr>
          <w:trHeight w:val="454"/>
        </w:trPr>
        <w:tc>
          <w:tcPr>
            <w:tcW w:w="1256" w:type="dxa"/>
            <w:vAlign w:val="center"/>
          </w:tcPr>
          <w:p w14:paraId="49CA7E7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861B8D9" w14:textId="77777777" w:rsidR="000628AF" w:rsidRDefault="000628AF">
            <w:pPr>
              <w:spacing w:after="0" w:line="240" w:lineRule="auto"/>
              <w:rPr>
                <w:rFonts w:eastAsia="宋体"/>
                <w:sz w:val="22"/>
                <w:szCs w:val="22"/>
                <w:lang w:eastAsia="zh-CN"/>
              </w:rPr>
            </w:pPr>
          </w:p>
        </w:tc>
        <w:tc>
          <w:tcPr>
            <w:tcW w:w="6799" w:type="dxa"/>
            <w:vAlign w:val="center"/>
          </w:tcPr>
          <w:p w14:paraId="57FD4A1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14:paraId="688D41BE" w14:textId="77777777" w:rsidTr="00A528D5">
        <w:trPr>
          <w:trHeight w:val="454"/>
        </w:trPr>
        <w:tc>
          <w:tcPr>
            <w:tcW w:w="1256" w:type="dxa"/>
            <w:vAlign w:val="center"/>
          </w:tcPr>
          <w:p w14:paraId="1498575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35BA5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14:paraId="5DDFAA18" w14:textId="77777777" w:rsidR="000628AF" w:rsidRDefault="000628AF">
            <w:pPr>
              <w:spacing w:after="0" w:line="240" w:lineRule="auto"/>
              <w:jc w:val="both"/>
              <w:rPr>
                <w:rFonts w:eastAsia="宋体"/>
                <w:lang w:eastAsia="zh-CN"/>
              </w:rPr>
            </w:pPr>
          </w:p>
        </w:tc>
      </w:tr>
      <w:tr w:rsidR="000628AF" w14:paraId="1BB5D164" w14:textId="77777777" w:rsidTr="00A528D5">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A528D5">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A528D5">
        <w:trPr>
          <w:trHeight w:val="454"/>
        </w:trPr>
        <w:tc>
          <w:tcPr>
            <w:tcW w:w="1256" w:type="dxa"/>
          </w:tcPr>
          <w:p w14:paraId="446B3169" w14:textId="77777777"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1FA41138" w14:textId="77777777"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14:paraId="031E96D8" w14:textId="77777777" w:rsidTr="00A528D5">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A528D5">
        <w:trPr>
          <w:trHeight w:val="454"/>
        </w:trPr>
        <w:tc>
          <w:tcPr>
            <w:tcW w:w="1256" w:type="dxa"/>
            <w:vAlign w:val="center"/>
          </w:tcPr>
          <w:p w14:paraId="478D85F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A528D5">
        <w:trPr>
          <w:trHeight w:val="454"/>
        </w:trPr>
        <w:tc>
          <w:tcPr>
            <w:tcW w:w="1256" w:type="dxa"/>
          </w:tcPr>
          <w:p w14:paraId="73F2499F" w14:textId="17A425D5"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宋体"/>
                <w:lang w:eastAsia="zh-CN"/>
              </w:rPr>
              <w:t>Option 1, comment</w:t>
            </w:r>
          </w:p>
        </w:tc>
        <w:tc>
          <w:tcPr>
            <w:tcW w:w="6799" w:type="dxa"/>
          </w:tcPr>
          <w:p w14:paraId="4F6F289E" w14:textId="3A0A3FDE" w:rsidR="00CB66A0" w:rsidRDefault="00EA6F22" w:rsidP="00CB66A0">
            <w:pPr>
              <w:spacing w:after="0" w:line="240" w:lineRule="auto"/>
              <w:rPr>
                <w:rFonts w:eastAsia="宋体"/>
                <w:lang w:eastAsia="zh-CN"/>
              </w:rPr>
            </w:pPr>
            <w:r>
              <w:rPr>
                <w:sz w:val="22"/>
                <w:szCs w:val="22"/>
                <w:lang w:eastAsia="zh-CN"/>
              </w:rPr>
              <w:t>Option 1 may be more flexible since it allows different formats.e.g using more preamble formats which give better coverage for SDT, RNTI issues need to be sorted out.</w:t>
            </w:r>
          </w:p>
        </w:tc>
      </w:tr>
      <w:tr w:rsidR="000C13EF" w14:paraId="31A497F9" w14:textId="77777777" w:rsidTr="00A528D5">
        <w:trPr>
          <w:trHeight w:val="454"/>
        </w:trPr>
        <w:tc>
          <w:tcPr>
            <w:tcW w:w="1256" w:type="dxa"/>
            <w:vAlign w:val="center"/>
          </w:tcPr>
          <w:p w14:paraId="2A4787EE" w14:textId="3B4AD0C4" w:rsidR="000C13EF" w:rsidRDefault="000C13EF" w:rsidP="000C13EF">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宋体"/>
                <w:lang w:eastAsia="zh-CN"/>
              </w:rPr>
            </w:pPr>
            <w:r>
              <w:rPr>
                <w:rFonts w:eastAsiaTheme="minorEastAsia"/>
                <w:lang w:eastAsia="ko-KR"/>
              </w:rPr>
              <w:t>This can be discussed in RAN1.</w:t>
            </w:r>
          </w:p>
        </w:tc>
      </w:tr>
      <w:tr w:rsidR="00EE11C6" w14:paraId="5FF9DA86" w14:textId="77777777" w:rsidTr="00A528D5">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A528D5">
        <w:trPr>
          <w:trHeight w:val="454"/>
        </w:trPr>
        <w:tc>
          <w:tcPr>
            <w:tcW w:w="1256" w:type="dxa"/>
          </w:tcPr>
          <w:p w14:paraId="1838FA82" w14:textId="476CA5C5" w:rsidR="00DF2B38" w:rsidRPr="00DF2B38" w:rsidRDefault="00DF2B38" w:rsidP="00DF2B38">
            <w:pPr>
              <w:spacing w:after="0" w:line="240" w:lineRule="auto"/>
              <w:jc w:val="center"/>
              <w:rPr>
                <w:rFonts w:eastAsia="宋体"/>
                <w:lang w:eastAsia="zh-CN"/>
              </w:rPr>
            </w:pPr>
            <w:r w:rsidRPr="00DF2B38">
              <w:rPr>
                <w:rFonts w:eastAsia="宋体"/>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宋体"/>
                <w:lang w:eastAsia="zh-CN"/>
              </w:rPr>
            </w:pPr>
            <w:r w:rsidRPr="00DF2B38">
              <w:rPr>
                <w:rFonts w:eastAsia="宋体"/>
                <w:lang w:eastAsia="zh-CN"/>
              </w:rPr>
              <w:t>Option 1</w:t>
            </w:r>
          </w:p>
        </w:tc>
        <w:tc>
          <w:tcPr>
            <w:tcW w:w="6799" w:type="dxa"/>
          </w:tcPr>
          <w:p w14:paraId="59B57725" w14:textId="26947028" w:rsidR="00DF2B38" w:rsidRPr="00DF2B38" w:rsidRDefault="00DF2B38" w:rsidP="00DF2B38">
            <w:pPr>
              <w:spacing w:after="0" w:line="240" w:lineRule="auto"/>
              <w:rPr>
                <w:rFonts w:eastAsia="宋体"/>
                <w:lang w:eastAsia="zh-CN"/>
              </w:rPr>
            </w:pPr>
            <w:r>
              <w:rPr>
                <w:rFonts w:eastAsia="宋体"/>
                <w:lang w:eastAsia="zh-CN"/>
              </w:rPr>
              <w:t>It is simper to have another configuration for RA-SDT.</w:t>
            </w:r>
          </w:p>
        </w:tc>
      </w:tr>
      <w:tr w:rsidR="00BC0711" w14:paraId="77C72D83" w14:textId="77777777" w:rsidTr="00A528D5">
        <w:trPr>
          <w:trHeight w:val="454"/>
        </w:trPr>
        <w:tc>
          <w:tcPr>
            <w:tcW w:w="1256" w:type="dxa"/>
          </w:tcPr>
          <w:p w14:paraId="0CE57E87" w14:textId="05F6D28B" w:rsidR="00BC0711" w:rsidRPr="00DF2B38" w:rsidRDefault="00BC0711" w:rsidP="00BC0711">
            <w:pPr>
              <w:spacing w:after="0" w:line="240" w:lineRule="auto"/>
              <w:jc w:val="center"/>
              <w:rPr>
                <w:rFonts w:eastAsia="宋体"/>
                <w:lang w:eastAsia="zh-CN"/>
              </w:rPr>
            </w:pPr>
            <w:r>
              <w:rPr>
                <w:rFonts w:eastAsia="PMingLiU" w:hint="eastAsia"/>
                <w:lang w:eastAsia="zh-TW"/>
              </w:rPr>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8E36C86" w14:textId="04C3A034"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2DA69067" w14:textId="77777777" w:rsidTr="00A528D5">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宋体"/>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宋体"/>
                <w:lang w:eastAsia="zh-CN"/>
              </w:rPr>
            </w:pPr>
          </w:p>
        </w:tc>
      </w:tr>
      <w:tr w:rsidR="00161492" w14:paraId="7E84976F" w14:textId="77777777" w:rsidTr="00A528D5">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宋体"/>
                <w:lang w:eastAsia="zh-CN"/>
              </w:rPr>
            </w:pPr>
            <w:r>
              <w:rPr>
                <w:rFonts w:eastAsiaTheme="minorEastAsia"/>
                <w:lang w:eastAsia="ko-KR"/>
              </w:rPr>
              <w:t>RRC signalling details can wait for stage-3</w:t>
            </w:r>
          </w:p>
        </w:tc>
      </w:tr>
      <w:tr w:rsidR="00DE474D" w14:paraId="087601EF" w14:textId="77777777" w:rsidTr="00A528D5">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O</w:t>
            </w:r>
            <w:r>
              <w:rPr>
                <w:rFonts w:eastAsia="宋体"/>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宋体"/>
                <w:sz w:val="22"/>
                <w:szCs w:val="22"/>
                <w:lang w:eastAsia="zh-CN"/>
              </w:rPr>
            </w:pPr>
            <w:r>
              <w:rPr>
                <w:rFonts w:eastAsia="宋体"/>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宋体"/>
                <w:sz w:val="22"/>
                <w:szCs w:val="22"/>
                <w:lang w:eastAsia="zh-CN"/>
              </w:rPr>
              <w:t>The same approach to configure separate RO for 2-step RACH can be reused</w:t>
            </w:r>
          </w:p>
        </w:tc>
      </w:tr>
      <w:tr w:rsidR="00D61F66" w14:paraId="3AE6C56A" w14:textId="77777777" w:rsidTr="00A528D5">
        <w:trPr>
          <w:trHeight w:val="454"/>
        </w:trPr>
        <w:tc>
          <w:tcPr>
            <w:tcW w:w="1256" w:type="dxa"/>
            <w:vAlign w:val="center"/>
          </w:tcPr>
          <w:p w14:paraId="0D7ECB65" w14:textId="0009CDB4" w:rsidR="00D61F66" w:rsidRDefault="00D61F66"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宋体"/>
                <w:sz w:val="22"/>
                <w:szCs w:val="22"/>
                <w:lang w:eastAsia="zh-CN"/>
              </w:rPr>
            </w:pPr>
            <w:r>
              <w:rPr>
                <w:rFonts w:eastAsia="宋体"/>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宋体"/>
                <w:sz w:val="22"/>
                <w:szCs w:val="22"/>
                <w:lang w:eastAsia="zh-CN"/>
              </w:rPr>
            </w:pPr>
          </w:p>
        </w:tc>
      </w:tr>
      <w:tr w:rsidR="005574DA" w14:paraId="379A4F53" w14:textId="77777777" w:rsidTr="005334AD">
        <w:trPr>
          <w:trHeight w:val="454"/>
        </w:trPr>
        <w:tc>
          <w:tcPr>
            <w:tcW w:w="1256" w:type="dxa"/>
            <w:vAlign w:val="center"/>
          </w:tcPr>
          <w:p w14:paraId="371859EB" w14:textId="09EB42AB" w:rsidR="005574DA" w:rsidRDefault="005574DA" w:rsidP="005574DA">
            <w:pPr>
              <w:spacing w:after="0" w:line="240" w:lineRule="auto"/>
              <w:jc w:val="center"/>
              <w:rPr>
                <w:rFonts w:eastAsia="宋体"/>
                <w:sz w:val="22"/>
                <w:szCs w:val="22"/>
                <w:lang w:eastAsia="zh-CN"/>
              </w:rPr>
            </w:pPr>
            <w:r>
              <w:rPr>
                <w:rFonts w:eastAsia="宋体"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宋体"/>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宋体"/>
                <w:sz w:val="22"/>
                <w:szCs w:val="22"/>
                <w:lang w:eastAsia="zh-CN"/>
              </w:rPr>
            </w:pPr>
            <w:r>
              <w:rPr>
                <w:rFonts w:eastAsia="宋体" w:hint="eastAsia"/>
                <w:lang w:eastAsia="zh-CN"/>
              </w:rPr>
              <w:t>L</w:t>
            </w:r>
            <w:r>
              <w:rPr>
                <w:rFonts w:eastAsia="宋体"/>
                <w:lang w:eastAsia="zh-CN"/>
              </w:rPr>
              <w:t>eave it up to RAN1.</w:t>
            </w:r>
          </w:p>
        </w:tc>
      </w:tr>
      <w:tr w:rsidR="00797E95" w14:paraId="07DBFDBA" w14:textId="77777777" w:rsidTr="005334AD">
        <w:trPr>
          <w:trHeight w:val="454"/>
        </w:trPr>
        <w:tc>
          <w:tcPr>
            <w:tcW w:w="1256" w:type="dxa"/>
            <w:vAlign w:val="center"/>
          </w:tcPr>
          <w:p w14:paraId="03702ED4" w14:textId="699B4FF6" w:rsidR="00797E95" w:rsidRDefault="00797E95" w:rsidP="005574DA">
            <w:pPr>
              <w:spacing w:after="0" w:line="240" w:lineRule="auto"/>
              <w:jc w:val="center"/>
              <w:rPr>
                <w:rFonts w:eastAsia="宋体" w:hint="eastAsia"/>
                <w:sz w:val="22"/>
                <w:szCs w:val="22"/>
                <w:lang w:eastAsia="zh-CN"/>
              </w:rPr>
            </w:pPr>
            <w:r>
              <w:rPr>
                <w:rFonts w:eastAsia="宋体" w:hint="eastAsia"/>
                <w:sz w:val="22"/>
                <w:szCs w:val="22"/>
                <w:lang w:eastAsia="zh-CN"/>
              </w:rPr>
              <w:t>v</w:t>
            </w:r>
            <w:r>
              <w:rPr>
                <w:rFonts w:eastAsia="宋体"/>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宋体" w:hint="eastAsia"/>
                <w:lang w:eastAsia="zh-CN"/>
              </w:rPr>
            </w:pPr>
            <w:r>
              <w:rPr>
                <w:rFonts w:eastAsia="宋体" w:hint="eastAsia"/>
                <w:lang w:eastAsia="zh-CN"/>
              </w:rPr>
              <w:t>O</w:t>
            </w:r>
            <w:r>
              <w:rPr>
                <w:rFonts w:eastAsia="宋体"/>
                <w:lang w:eastAsia="zh-CN"/>
              </w:rPr>
              <w:t>ption 1</w:t>
            </w:r>
          </w:p>
        </w:tc>
        <w:tc>
          <w:tcPr>
            <w:tcW w:w="6799" w:type="dxa"/>
            <w:vAlign w:val="center"/>
          </w:tcPr>
          <w:p w14:paraId="69E8178A" w14:textId="2D7589F0" w:rsidR="00797E95" w:rsidRDefault="00A528D5" w:rsidP="005574DA">
            <w:pPr>
              <w:spacing w:after="0" w:line="240" w:lineRule="auto"/>
              <w:jc w:val="both"/>
              <w:rPr>
                <w:rFonts w:eastAsia="宋体" w:hint="eastAsia"/>
                <w:lang w:eastAsia="zh-CN"/>
              </w:rPr>
            </w:pPr>
            <w:r>
              <w:rPr>
                <w:rFonts w:eastAsia="宋体" w:hint="eastAsia"/>
                <w:lang w:eastAsia="zh-CN"/>
              </w:rPr>
              <w:t>F</w:t>
            </w:r>
            <w:r>
              <w:rPr>
                <w:rFonts w:eastAsia="宋体"/>
                <w:lang w:eastAsia="zh-CN"/>
              </w:rPr>
              <w:t>or flexibility, we prefer Option 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宋体"/>
          <w:sz w:val="22"/>
          <w:szCs w:val="22"/>
          <w:lang w:eastAsia="zh-CN"/>
        </w:rPr>
      </w:pPr>
    </w:p>
    <w:p w14:paraId="150D83DE" w14:textId="77777777" w:rsidR="000628AF" w:rsidRDefault="000628AF">
      <w:pPr>
        <w:adjustRightInd w:val="0"/>
        <w:snapToGrid w:val="0"/>
        <w:spacing w:before="120" w:after="120" w:line="240" w:lineRule="auto"/>
        <w:jc w:val="both"/>
        <w:rPr>
          <w:rFonts w:eastAsia="宋体"/>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9457D25"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w:t>
      </w:r>
      <w:r w:rsidR="00B6708C">
        <w:rPr>
          <w:rFonts w:eastAsia="宋体"/>
          <w:sz w:val="22"/>
        </w:rPr>
        <w:t>O</w:t>
      </w:r>
      <w:r>
        <w:rPr>
          <w:rFonts w:eastAsia="宋体"/>
          <w:sz w:val="22"/>
        </w:rPr>
        <w:t>s for SDT and non-SDT are separate</w:t>
      </w:r>
      <w:r>
        <w:rPr>
          <w:sz w:val="22"/>
        </w:rPr>
        <w:t>?</w:t>
      </w:r>
    </w:p>
    <w:tbl>
      <w:tblPr>
        <w:tblStyle w:val="af2"/>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CF2399B"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398AFAD" w14:textId="77777777" w:rsidR="000628AF" w:rsidRDefault="000628AF">
            <w:pPr>
              <w:spacing w:after="0" w:line="240" w:lineRule="auto"/>
              <w:jc w:val="both"/>
              <w:rPr>
                <w:rFonts w:eastAsia="宋体"/>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FB32F57" w14:textId="77777777"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14:paraId="282BFE17" w14:textId="77777777"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宋体"/>
                <w:lang w:eastAsia="zh-CN"/>
              </w:rPr>
            </w:pPr>
            <w:r>
              <w:rPr>
                <w:rFonts w:eastAsia="宋体"/>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宋体"/>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857E34">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857E34">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2ABCD8D7" w14:textId="77777777" w:rsidTr="00857E34">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宋体"/>
                <w:lang w:eastAsia="zh-CN"/>
              </w:rPr>
            </w:pPr>
          </w:p>
        </w:tc>
      </w:tr>
      <w:tr w:rsidR="00161492" w14:paraId="36405152" w14:textId="77777777" w:rsidTr="00857E34">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宋体"/>
                <w:lang w:eastAsia="zh-CN"/>
              </w:rPr>
            </w:pPr>
          </w:p>
        </w:tc>
      </w:tr>
      <w:tr w:rsidR="00DE474D" w14:paraId="36B94A04" w14:textId="77777777" w:rsidTr="00857E34">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宋体"/>
                <w:lang w:eastAsia="zh-CN"/>
              </w:rPr>
            </w:pPr>
            <w:r>
              <w:rPr>
                <w:rFonts w:eastAsia="宋体"/>
                <w:sz w:val="22"/>
                <w:szCs w:val="22"/>
                <w:lang w:eastAsia="zh-CN"/>
              </w:rPr>
              <w:t>If it is separate RO, another independent set of RACH configuration should be provided. We are not sure why this needs to be discussed.</w:t>
            </w:r>
          </w:p>
        </w:tc>
      </w:tr>
      <w:tr w:rsidR="000567FA" w14:paraId="0AB46842" w14:textId="77777777" w:rsidTr="00857E34">
        <w:trPr>
          <w:trHeight w:val="454"/>
        </w:trPr>
        <w:tc>
          <w:tcPr>
            <w:tcW w:w="1256" w:type="dxa"/>
            <w:vAlign w:val="center"/>
          </w:tcPr>
          <w:p w14:paraId="2C94F650" w14:textId="015AEEC2" w:rsidR="000567FA" w:rsidRDefault="000567FA"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宋体"/>
                <w:sz w:val="22"/>
                <w:szCs w:val="22"/>
                <w:lang w:eastAsia="zh-CN"/>
              </w:rPr>
            </w:pPr>
          </w:p>
        </w:tc>
      </w:tr>
      <w:tr w:rsidR="005574DA" w14:paraId="09DCE4AA" w14:textId="77777777" w:rsidTr="00857E34">
        <w:trPr>
          <w:trHeight w:val="454"/>
        </w:trPr>
        <w:tc>
          <w:tcPr>
            <w:tcW w:w="1256" w:type="dxa"/>
            <w:vAlign w:val="center"/>
          </w:tcPr>
          <w:p w14:paraId="7D87E0D0" w14:textId="467F2BCD"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60C87EBA" w14:textId="01F7E757"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7F2B68" w14:paraId="3F19DA31" w14:textId="77777777" w:rsidTr="00857E34">
        <w:trPr>
          <w:trHeight w:val="454"/>
        </w:trPr>
        <w:tc>
          <w:tcPr>
            <w:tcW w:w="1256" w:type="dxa"/>
            <w:vAlign w:val="center"/>
          </w:tcPr>
          <w:p w14:paraId="6260DF2D" w14:textId="07D19034" w:rsidR="007F2B68" w:rsidRDefault="007F2B68"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7E9F44A8" w14:textId="4CA6A1FD" w:rsidR="007F2B68" w:rsidRPr="00CB550F" w:rsidRDefault="00CB550F" w:rsidP="005574DA">
            <w:pPr>
              <w:spacing w:after="0" w:line="240" w:lineRule="auto"/>
              <w:rPr>
                <w:rFonts w:eastAsia="宋体" w:hint="eastAsia"/>
                <w:lang w:eastAsia="zh-CN"/>
              </w:rPr>
            </w:pPr>
            <w:r>
              <w:rPr>
                <w:rFonts w:eastAsia="宋体" w:hint="eastAsia"/>
                <w:lang w:eastAsia="zh-CN"/>
              </w:rPr>
              <w:t>D</w:t>
            </w:r>
            <w:r>
              <w:rPr>
                <w:rFonts w:eastAsia="宋体"/>
                <w:lang w:eastAsia="zh-CN"/>
              </w:rPr>
              <w:t>etails can be discussed by RAN1.</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宋体"/>
          <w:sz w:val="22"/>
          <w:szCs w:val="22"/>
          <w:lang w:eastAsia="zh-CN"/>
        </w:rPr>
      </w:pPr>
    </w:p>
    <w:p w14:paraId="4F4260E6" w14:textId="77777777" w:rsidR="000628AF" w:rsidRDefault="000628AF">
      <w:pPr>
        <w:adjustRightInd w:val="0"/>
        <w:snapToGrid w:val="0"/>
        <w:spacing w:before="120" w:after="120" w:line="240" w:lineRule="auto"/>
        <w:jc w:val="both"/>
        <w:rPr>
          <w:rFonts w:eastAsia="宋体"/>
          <w:b/>
          <w:sz w:val="22"/>
          <w:szCs w:val="22"/>
          <w:lang w:eastAsia="zh-CN"/>
        </w:rPr>
      </w:pPr>
    </w:p>
    <w:p w14:paraId="408C32F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8"/>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59F9F932" w:rsidR="000628AF" w:rsidRDefault="003057DE">
      <w:pPr>
        <w:pStyle w:val="af8"/>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E07BD6">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af8"/>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95CB5">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3.1pt;height:193.45pt;mso-width-percent:0;mso-height-percent:0;mso-width-percent:0;mso-height-percent:0" o:ole="">
            <v:imagedata r:id="rId17" o:title=""/>
          </v:shape>
          <o:OLEObject Type="Embed" ProgID="Visio.Drawing.15" ShapeID="_x0000_i1027" DrawAspect="Content" ObjectID="_1681891126" r:id="rId18"/>
        </w:object>
      </w:r>
    </w:p>
    <w:p w14:paraId="52E5772C"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2"/>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宋体"/>
                <w:sz w:val="22"/>
                <w:szCs w:val="22"/>
                <w:lang w:eastAsia="zh-CN"/>
              </w:rPr>
            </w:pPr>
            <w:r>
              <w:rPr>
                <w:rFonts w:eastAsia="宋体"/>
                <w:sz w:val="22"/>
                <w:szCs w:val="22"/>
                <w:lang w:eastAsia="zh-CN"/>
              </w:rPr>
              <w:t>As already agreed, the RO + preamble combination can be unique for SDT vs non-SDT. This means R</w:t>
            </w:r>
            <w:r w:rsidR="00846DD9">
              <w:rPr>
                <w:rFonts w:eastAsia="宋体"/>
                <w:sz w:val="22"/>
                <w:szCs w:val="22"/>
                <w:lang w:eastAsia="zh-CN"/>
              </w:rPr>
              <w:t>o</w:t>
            </w:r>
            <w:r>
              <w:rPr>
                <w:rFonts w:eastAsia="宋体"/>
                <w:sz w:val="22"/>
                <w:szCs w:val="22"/>
                <w:lang w:eastAsia="zh-CN"/>
              </w:rPr>
              <w:t>s can be either separate (with shared preambles) or R</w:t>
            </w:r>
            <w:r w:rsidR="00846DD9">
              <w:rPr>
                <w:rFonts w:eastAsia="宋体"/>
                <w:sz w:val="22"/>
                <w:szCs w:val="22"/>
                <w:lang w:eastAsia="zh-CN"/>
              </w:rPr>
              <w:t>o</w:t>
            </w:r>
            <w:r>
              <w:rPr>
                <w:rFonts w:eastAsia="宋体"/>
                <w:sz w:val="22"/>
                <w:szCs w:val="22"/>
                <w:lang w:eastAsia="zh-CN"/>
              </w:rPr>
              <w:t xml:space="preserve">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787D603"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129EDEE" w14:textId="77777777" w:rsidR="000628AF" w:rsidRDefault="000628AF">
            <w:pPr>
              <w:spacing w:after="0" w:line="240" w:lineRule="auto"/>
              <w:jc w:val="both"/>
              <w:rPr>
                <w:rFonts w:eastAsia="宋体"/>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0B9EC6E0" w14:textId="77777777"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54042BC" w14:textId="77777777"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宋体"/>
                <w:lang w:eastAsia="zh-CN"/>
              </w:rPr>
            </w:pPr>
            <w:r>
              <w:rPr>
                <w:rFonts w:eastAsia="宋体"/>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宋体"/>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857E34">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857E34">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37993E28" w14:textId="77777777" w:rsidTr="00857E34">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宋体"/>
                <w:lang w:eastAsia="zh-CN"/>
              </w:rPr>
            </w:pPr>
            <w:r>
              <w:rPr>
                <w:rFonts w:hint="eastAsia"/>
                <w:lang w:val="en-US" w:eastAsia="zh-CN"/>
              </w:rPr>
              <w:t>T</w:t>
            </w:r>
            <w:r>
              <w:rPr>
                <w:lang w:val="en-US" w:eastAsia="zh-CN"/>
              </w:rPr>
              <w:t>his has been agreed in RAN2#112 to be the baseline.</w:t>
            </w:r>
          </w:p>
        </w:tc>
      </w:tr>
      <w:tr w:rsidR="00161492" w14:paraId="472CA213" w14:textId="77777777" w:rsidTr="00857E34">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857E34">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宋体"/>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question is a bit confusing. Preamble is transmitted on PRACH occaions and it only makes sense to discusses seprated/shared preamble when transmitted on the same RO. </w:t>
            </w:r>
          </w:p>
          <w:p w14:paraId="3EE56E48" w14:textId="77777777" w:rsidR="00EB2702" w:rsidRDefault="00EB2702" w:rsidP="00EB2702">
            <w:pPr>
              <w:spacing w:after="0" w:line="240" w:lineRule="auto"/>
              <w:jc w:val="both"/>
              <w:rPr>
                <w:rFonts w:eastAsia="宋体"/>
                <w:sz w:val="22"/>
                <w:szCs w:val="22"/>
                <w:lang w:eastAsia="zh-CN"/>
              </w:rPr>
            </w:pPr>
          </w:p>
          <w:p w14:paraId="02C48CE3" w14:textId="77777777" w:rsidR="00EB2702" w:rsidRDefault="00EB2702" w:rsidP="00EB2702">
            <w:pPr>
              <w:spacing w:after="0" w:line="240" w:lineRule="auto"/>
              <w:jc w:val="both"/>
              <w:rPr>
                <w:rFonts w:eastAsia="宋体"/>
                <w:sz w:val="22"/>
                <w:szCs w:val="22"/>
                <w:lang w:eastAsia="zh-CN"/>
              </w:rPr>
            </w:pPr>
            <w:r>
              <w:rPr>
                <w:rFonts w:eastAsia="宋体"/>
                <w:sz w:val="22"/>
                <w:szCs w:val="22"/>
                <w:lang w:eastAsia="zh-CN"/>
              </w:rPr>
              <w:lastRenderedPageBreak/>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宋体"/>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857E34">
        <w:trPr>
          <w:trHeight w:val="454"/>
        </w:trPr>
        <w:tc>
          <w:tcPr>
            <w:tcW w:w="1256" w:type="dxa"/>
            <w:vAlign w:val="center"/>
          </w:tcPr>
          <w:p w14:paraId="51191D41" w14:textId="4C1DF492" w:rsidR="00846DD9" w:rsidRDefault="00846DD9" w:rsidP="00EB2702">
            <w:pPr>
              <w:spacing w:after="0" w:line="240" w:lineRule="auto"/>
              <w:jc w:val="center"/>
              <w:rPr>
                <w:rFonts w:eastAsia="宋体"/>
                <w:sz w:val="22"/>
                <w:szCs w:val="22"/>
                <w:lang w:eastAsia="zh-CN"/>
              </w:rPr>
            </w:pPr>
            <w:r>
              <w:rPr>
                <w:rFonts w:eastAsia="宋体"/>
                <w:sz w:val="22"/>
                <w:szCs w:val="22"/>
                <w:lang w:eastAsia="zh-CN"/>
              </w:rPr>
              <w:lastRenderedPageBreak/>
              <w:t>Apple</w:t>
            </w:r>
          </w:p>
        </w:tc>
        <w:tc>
          <w:tcPr>
            <w:tcW w:w="1574" w:type="dxa"/>
            <w:vAlign w:val="center"/>
          </w:tcPr>
          <w:p w14:paraId="4B84149D" w14:textId="18837914" w:rsidR="00846DD9" w:rsidRDefault="00846DD9" w:rsidP="00EB2702">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宋体"/>
                <w:sz w:val="22"/>
                <w:szCs w:val="22"/>
                <w:lang w:eastAsia="zh-CN"/>
              </w:rPr>
            </w:pPr>
          </w:p>
        </w:tc>
      </w:tr>
      <w:tr w:rsidR="005574DA" w14:paraId="590FFB18" w14:textId="77777777" w:rsidTr="00857E34">
        <w:trPr>
          <w:trHeight w:val="454"/>
        </w:trPr>
        <w:tc>
          <w:tcPr>
            <w:tcW w:w="1256" w:type="dxa"/>
            <w:vAlign w:val="center"/>
          </w:tcPr>
          <w:p w14:paraId="1ACEBCA9" w14:textId="6D4911B3"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082861DC" w14:textId="120C67E7" w:rsidR="005574DA" w:rsidRDefault="005574DA" w:rsidP="005574DA">
            <w:pPr>
              <w:spacing w:after="0" w:line="240" w:lineRule="auto"/>
              <w:jc w:val="center"/>
              <w:rPr>
                <w:rFonts w:eastAsia="宋体"/>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5B270F" w14:paraId="060EE1EC" w14:textId="77777777" w:rsidTr="00857E34">
        <w:trPr>
          <w:trHeight w:val="454"/>
        </w:trPr>
        <w:tc>
          <w:tcPr>
            <w:tcW w:w="1256" w:type="dxa"/>
            <w:vAlign w:val="center"/>
          </w:tcPr>
          <w:p w14:paraId="1CBC7720" w14:textId="4CEC64D9" w:rsidR="005B270F" w:rsidRDefault="005B270F"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宋体" w:hint="eastAsia"/>
                <w:lang w:eastAsia="zh-CN"/>
              </w:rPr>
            </w:pPr>
            <w:r>
              <w:rPr>
                <w:rFonts w:eastAsia="宋体" w:hint="eastAsia"/>
                <w:lang w:eastAsia="zh-CN"/>
              </w:rPr>
              <w:t>A</w:t>
            </w:r>
            <w:r>
              <w:rPr>
                <w:rFonts w:eastAsia="宋体"/>
                <w:lang w:eastAsia="zh-CN"/>
              </w:rPr>
              <w:t>gree with ZTE.</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宋体"/>
          <w:b/>
          <w:sz w:val="22"/>
          <w:szCs w:val="22"/>
          <w:lang w:eastAsia="zh-CN"/>
        </w:rPr>
      </w:pPr>
    </w:p>
    <w:p w14:paraId="7D48644D" w14:textId="77777777" w:rsidR="000628AF" w:rsidRDefault="000628AF">
      <w:pPr>
        <w:adjustRightInd w:val="0"/>
        <w:snapToGrid w:val="0"/>
        <w:spacing w:before="120" w:after="120" w:line="240" w:lineRule="auto"/>
        <w:jc w:val="both"/>
        <w:rPr>
          <w:rFonts w:eastAsia="宋体"/>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196E5D55"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002F97">
        <w:rPr>
          <w:sz w:val="22"/>
          <w:szCs w:val="22"/>
        </w:rPr>
        <w:t>O</w:t>
      </w:r>
      <w:r>
        <w:rPr>
          <w:sz w:val="22"/>
          <w:szCs w:val="22"/>
        </w:rPr>
        <w:t>s 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af2"/>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2"/>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14:paraId="54A31C9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14:paraId="108B9DE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2"/>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宋体"/>
                <w:sz w:val="22"/>
                <w:szCs w:val="22"/>
                <w:lang w:eastAsia="zh-CN"/>
              </w:rPr>
            </w:pPr>
          </w:p>
          <w:p w14:paraId="4585A1C3"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宋体"/>
                <w:sz w:val="22"/>
                <w:szCs w:val="22"/>
                <w:lang w:eastAsia="zh-CN"/>
              </w:rPr>
            </w:pPr>
          </w:p>
          <w:p w14:paraId="12B0713C"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宋体"/>
                <w:sz w:val="22"/>
                <w:szCs w:val="22"/>
                <w:lang w:eastAsia="zh-CN"/>
              </w:rPr>
            </w:pPr>
          </w:p>
          <w:p w14:paraId="69739241"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宋体"/>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2D99D8FB" w14:textId="77777777"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宋体"/>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宋体"/>
                <w:lang w:eastAsia="zh-CN"/>
              </w:rPr>
            </w:pPr>
            <w:r>
              <w:rPr>
                <w:rFonts w:eastAsia="宋体"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14:paraId="09B3A44A" w14:textId="77777777" w:rsidR="001B0366" w:rsidRDefault="00B85997" w:rsidP="00B85997">
            <w:pPr>
              <w:spacing w:after="0" w:line="240" w:lineRule="auto"/>
              <w:rPr>
                <w:rFonts w:eastAsia="宋体"/>
                <w:lang w:eastAsia="zh-CN"/>
              </w:rPr>
            </w:pPr>
            <w:r>
              <w:rPr>
                <w:rFonts w:eastAsia="宋体"/>
                <w:lang w:eastAsia="zh-CN"/>
              </w:rPr>
              <w:t>Without any enhancements, its not clear how the c</w:t>
            </w:r>
            <w:r>
              <w:rPr>
                <w:rFonts w:eastAsia="宋体" w:hint="eastAsia"/>
                <w:lang w:eastAsia="zh-CN"/>
              </w:rPr>
              <w:t xml:space="preserve">ommon </w:t>
            </w:r>
            <w:r>
              <w:rPr>
                <w:rFonts w:eastAsia="宋体"/>
                <w:lang w:eastAsia="zh-CN"/>
              </w:rPr>
              <w:t>RACH resources (i.e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宋体"/>
                <w:lang w:eastAsia="zh-CN"/>
              </w:rPr>
            </w:pPr>
            <w:r>
              <w:rPr>
                <w:rFonts w:eastAsia="宋体" w:hint="eastAsia"/>
                <w:lang w:eastAsia="zh-CN"/>
              </w:rPr>
              <w:t xml:space="preserve">We share the same opionion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宋体"/>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宋体"/>
                <w:lang w:eastAsia="zh-CN"/>
              </w:rPr>
            </w:pPr>
            <w:r>
              <w:rPr>
                <w:rFonts w:eastAsiaTheme="minorEastAsia"/>
                <w:lang w:eastAsia="ko-KR"/>
              </w:rPr>
              <w:t>We should confirm RAN2 has agreed that common RACH resource configuration is allowed. RAN2 should further study to have a common solution considering the RACH partitioning across multiple W</w:t>
            </w:r>
            <w:r w:rsidR="0072389C">
              <w:rPr>
                <w:rFonts w:eastAsiaTheme="minorEastAsia"/>
                <w:lang w:eastAsia="ko-KR"/>
              </w:rPr>
              <w:t>i</w:t>
            </w:r>
            <w:r>
              <w:rPr>
                <w:rFonts w:eastAsiaTheme="minorEastAsia"/>
                <w:lang w:eastAsia="ko-KR"/>
              </w:rPr>
              <w:t xml:space="preserve">s, such as SDT, RedCap, RAN slicing and etc..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857E34">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宋体"/>
                <w:lang w:eastAsia="zh-CN"/>
              </w:rPr>
              <w:t>From our understanding RACH common resource is allowed via implemention. There should be no impact on spec.</w:t>
            </w:r>
          </w:p>
        </w:tc>
      </w:tr>
      <w:tr w:rsidR="00BC0711" w14:paraId="537E5EFA" w14:textId="77777777" w:rsidTr="00857E34">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宋体"/>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857E34">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to indicate the RA is for SDT. Since SDT already supports the subsequent data transmission, we don’t think we should restrict the payload size of Msg3/MagA.</w:t>
            </w:r>
          </w:p>
        </w:tc>
      </w:tr>
      <w:tr w:rsidR="00161492" w14:paraId="08232FC7" w14:textId="77777777" w:rsidTr="00857E34">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r>
              <w:rPr>
                <w:rFonts w:eastAsia="宋体"/>
                <w:lang w:eastAsia="zh-CN"/>
              </w:rPr>
              <w:t>InterDigital</w:t>
            </w:r>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r>
              <w:rPr>
                <w:rFonts w:eastAsia="宋体"/>
                <w:lang w:eastAsia="zh-CN"/>
              </w:rPr>
              <w:t>Partioning for every single usecase results in limited RACH capacity for legacy U</w:t>
            </w:r>
            <w:r w:rsidR="0072389C">
              <w:rPr>
                <w:rFonts w:eastAsia="宋体"/>
                <w:lang w:eastAsia="zh-CN"/>
              </w:rPr>
              <w:t>e</w:t>
            </w:r>
            <w:r>
              <w:rPr>
                <w:rFonts w:eastAsia="宋体"/>
                <w:lang w:eastAsia="zh-CN"/>
              </w:rPr>
              <w:t>s. Agree with the rapporteur’s view that the UE should initiate an SDT procedure if there are R</w:t>
            </w:r>
            <w:r w:rsidR="0072389C">
              <w:rPr>
                <w:rFonts w:eastAsia="宋体"/>
                <w:lang w:eastAsia="zh-CN"/>
              </w:rPr>
              <w:t>o</w:t>
            </w:r>
            <w:r>
              <w:rPr>
                <w:rFonts w:eastAsia="宋体"/>
                <w:lang w:eastAsia="zh-CN"/>
              </w:rPr>
              <w:t xml:space="preserve">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r w:rsidR="004A2694" w14:paraId="1D74982E" w14:textId="77777777" w:rsidTr="00857E34">
        <w:trPr>
          <w:trHeight w:val="454"/>
        </w:trPr>
        <w:tc>
          <w:tcPr>
            <w:tcW w:w="1256" w:type="dxa"/>
          </w:tcPr>
          <w:p w14:paraId="6F29F90F" w14:textId="00C4F45E" w:rsidR="004A2694" w:rsidRDefault="004A2694" w:rsidP="00161492">
            <w:pPr>
              <w:spacing w:after="0" w:line="240" w:lineRule="auto"/>
              <w:jc w:val="center"/>
              <w:rPr>
                <w:rFonts w:eastAsia="宋体"/>
                <w:lang w:eastAsia="zh-CN"/>
              </w:rPr>
            </w:pPr>
            <w:r>
              <w:rPr>
                <w:rFonts w:eastAsia="宋体"/>
                <w:lang w:eastAsia="zh-CN"/>
              </w:rPr>
              <w:t>Huawei, HiSilicon</w:t>
            </w:r>
          </w:p>
        </w:tc>
        <w:tc>
          <w:tcPr>
            <w:tcW w:w="1574" w:type="dxa"/>
          </w:tcPr>
          <w:p w14:paraId="3844B3C1" w14:textId="445CF040" w:rsidR="004A2694" w:rsidRPr="004A2694" w:rsidRDefault="004A2694" w:rsidP="00161492">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53A3B728" w14:textId="77777777" w:rsidR="004A2694" w:rsidRDefault="00C80403" w:rsidP="00161492">
            <w:pPr>
              <w:spacing w:after="0" w:line="240" w:lineRule="auto"/>
              <w:rPr>
                <w:rFonts w:eastAsia="宋体"/>
                <w:lang w:eastAsia="zh-CN"/>
              </w:rPr>
            </w:pPr>
            <w:r>
              <w:rPr>
                <w:rFonts w:eastAsia="宋体"/>
                <w:lang w:eastAsia="zh-CN"/>
              </w:rPr>
              <w:t xml:space="preserve">Since flexible TBS is not supported, there isn’t much motivation left for supporting separate RACH resoruces for SDT and non-SDT. The only remaining motivation is to let the network distinguish between the size of the msg3/msgA for SDT and non-SDT. </w:t>
            </w:r>
          </w:p>
          <w:p w14:paraId="3EB0BDF8" w14:textId="3EA27034" w:rsidR="000A2B17" w:rsidRDefault="000A2B17" w:rsidP="00161492">
            <w:pPr>
              <w:spacing w:after="0" w:line="240" w:lineRule="auto"/>
              <w:rPr>
                <w:rFonts w:eastAsia="宋体"/>
                <w:lang w:eastAsia="zh-CN"/>
              </w:rPr>
            </w:pPr>
            <w:r>
              <w:rPr>
                <w:rFonts w:eastAsia="宋体"/>
                <w:lang w:eastAsia="zh-CN"/>
              </w:rPr>
              <w:t>We thinik it is important that we also support shared RACH resources between SDT and non-SDT</w:t>
            </w:r>
          </w:p>
        </w:tc>
      </w:tr>
      <w:tr w:rsidR="0072389C" w14:paraId="4FB6267F" w14:textId="77777777" w:rsidTr="00857E34">
        <w:trPr>
          <w:trHeight w:val="454"/>
        </w:trPr>
        <w:tc>
          <w:tcPr>
            <w:tcW w:w="1256" w:type="dxa"/>
          </w:tcPr>
          <w:p w14:paraId="5A461DDB" w14:textId="261EF502" w:rsidR="0072389C" w:rsidRDefault="0072389C" w:rsidP="00161492">
            <w:pPr>
              <w:spacing w:after="0" w:line="240" w:lineRule="auto"/>
              <w:jc w:val="center"/>
              <w:rPr>
                <w:rFonts w:eastAsia="宋体"/>
                <w:lang w:eastAsia="zh-CN"/>
              </w:rPr>
            </w:pPr>
            <w:r>
              <w:rPr>
                <w:rFonts w:eastAsia="宋体"/>
                <w:lang w:eastAsia="zh-CN"/>
              </w:rPr>
              <w:t>Apple</w:t>
            </w:r>
          </w:p>
        </w:tc>
        <w:tc>
          <w:tcPr>
            <w:tcW w:w="1574" w:type="dxa"/>
          </w:tcPr>
          <w:p w14:paraId="4EF43CF0" w14:textId="7D433E68" w:rsidR="0072389C" w:rsidRDefault="0072389C" w:rsidP="00161492">
            <w:pPr>
              <w:spacing w:after="0" w:line="240" w:lineRule="auto"/>
              <w:jc w:val="center"/>
              <w:rPr>
                <w:rFonts w:eastAsia="宋体"/>
                <w:lang w:eastAsia="zh-CN"/>
              </w:rPr>
            </w:pPr>
            <w:r>
              <w:rPr>
                <w:rFonts w:eastAsia="宋体"/>
                <w:lang w:eastAsia="zh-CN"/>
              </w:rPr>
              <w:t>Yes</w:t>
            </w:r>
          </w:p>
        </w:tc>
        <w:tc>
          <w:tcPr>
            <w:tcW w:w="6799" w:type="dxa"/>
          </w:tcPr>
          <w:p w14:paraId="0AD2AFFD" w14:textId="665CFF0D" w:rsidR="0072389C" w:rsidRDefault="000E50F1" w:rsidP="00161492">
            <w:pPr>
              <w:spacing w:after="0" w:line="240" w:lineRule="auto"/>
              <w:rPr>
                <w:rFonts w:eastAsia="宋体"/>
                <w:lang w:eastAsia="zh-CN"/>
              </w:rPr>
            </w:pPr>
            <w:r>
              <w:rPr>
                <w:rFonts w:eastAsia="宋体"/>
                <w:lang w:eastAsia="zh-CN"/>
              </w:rPr>
              <w:t xml:space="preserve">Based on current agreements, our understanding is that it’s up to NW implementation to configure separate or shared RACH resource for SDT and non-SDT. </w:t>
            </w:r>
          </w:p>
        </w:tc>
      </w:tr>
      <w:tr w:rsidR="005574DA" w14:paraId="0407D41B" w14:textId="77777777" w:rsidTr="00857E34">
        <w:trPr>
          <w:trHeight w:val="454"/>
        </w:trPr>
        <w:tc>
          <w:tcPr>
            <w:tcW w:w="1256" w:type="dxa"/>
          </w:tcPr>
          <w:p w14:paraId="0198018C" w14:textId="5E52D2C3"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74" w:type="dxa"/>
          </w:tcPr>
          <w:p w14:paraId="3F801573" w14:textId="2A6C7BDA" w:rsidR="005574DA" w:rsidRDefault="005574DA" w:rsidP="005574DA">
            <w:pPr>
              <w:spacing w:after="0" w:line="240" w:lineRule="auto"/>
              <w:jc w:val="center"/>
              <w:rPr>
                <w:rFonts w:eastAsia="宋体"/>
                <w:lang w:eastAsia="zh-CN"/>
              </w:rPr>
            </w:pPr>
            <w:r>
              <w:rPr>
                <w:rFonts w:eastAsia="宋体"/>
                <w:lang w:eastAsia="zh-CN"/>
              </w:rPr>
              <w:t>C</w:t>
            </w:r>
            <w:r>
              <w:rPr>
                <w:rFonts w:eastAsia="宋体" w:hint="eastAsia"/>
                <w:lang w:eastAsia="zh-CN"/>
              </w:rPr>
              <w:t>omments</w:t>
            </w:r>
          </w:p>
        </w:tc>
        <w:tc>
          <w:tcPr>
            <w:tcW w:w="6799" w:type="dxa"/>
          </w:tcPr>
          <w:p w14:paraId="2FC3C275" w14:textId="1ED81B16" w:rsidR="005574DA" w:rsidRDefault="005574DA" w:rsidP="005574DA">
            <w:pPr>
              <w:spacing w:after="0" w:line="240" w:lineRule="auto"/>
              <w:rPr>
                <w:rFonts w:eastAsia="宋体"/>
                <w:lang w:eastAsia="zh-CN"/>
              </w:rPr>
            </w:pPr>
            <w:r>
              <w:rPr>
                <w:rFonts w:eastAsia="宋体"/>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857E34">
        <w:trPr>
          <w:trHeight w:val="454"/>
        </w:trPr>
        <w:tc>
          <w:tcPr>
            <w:tcW w:w="1256" w:type="dxa"/>
          </w:tcPr>
          <w:p w14:paraId="07363F63" w14:textId="39BAAD46" w:rsidR="003917DC" w:rsidRDefault="003917DC"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tcPr>
          <w:p w14:paraId="472A6B77" w14:textId="22DA13B5" w:rsidR="003917DC" w:rsidRDefault="003917D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1699E67" w14:textId="2FA13416" w:rsidR="003917DC" w:rsidRDefault="00B415FC" w:rsidP="005574DA">
            <w:pPr>
              <w:spacing w:after="0" w:line="240" w:lineRule="auto"/>
              <w:rPr>
                <w:rFonts w:eastAsia="宋体" w:hint="eastAsia"/>
                <w:lang w:eastAsia="zh-CN"/>
              </w:rPr>
            </w:pPr>
            <w:r>
              <w:rPr>
                <w:rFonts w:eastAsia="宋体" w:hint="eastAsia"/>
                <w:lang w:eastAsia="zh-CN"/>
              </w:rPr>
              <w:t>As</w:t>
            </w:r>
            <w:r>
              <w:rPr>
                <w:rFonts w:eastAsia="宋体"/>
                <w:lang w:eastAsia="zh-CN"/>
              </w:rPr>
              <w:t xml:space="preserve"> per the achieved agreement, i</w:t>
            </w:r>
            <w:r w:rsidR="003917DC">
              <w:rPr>
                <w:rFonts w:eastAsia="宋体"/>
                <w:lang w:eastAsia="zh-CN"/>
              </w:rPr>
              <w:t xml:space="preserve">n our understanding, the </w:t>
            </w:r>
            <w:r w:rsidR="003917DC">
              <w:rPr>
                <w:rFonts w:eastAsia="宋体" w:hint="eastAsia"/>
                <w:lang w:eastAsia="zh-CN"/>
              </w:rPr>
              <w:t>NW</w:t>
            </w:r>
            <w:r w:rsidR="003917DC">
              <w:rPr>
                <w:rFonts w:eastAsia="宋体"/>
                <w:lang w:eastAsia="zh-CN"/>
              </w:rPr>
              <w:t xml:space="preserve"> </w:t>
            </w:r>
            <w:r w:rsidR="003917DC">
              <w:rPr>
                <w:rFonts w:eastAsia="宋体" w:hint="eastAsia"/>
                <w:lang w:eastAsia="zh-CN"/>
              </w:rPr>
              <w:t>c</w:t>
            </w:r>
            <w:r w:rsidR="003917DC">
              <w:rPr>
                <w:rFonts w:eastAsia="宋体"/>
                <w:lang w:eastAsia="zh-CN"/>
              </w:rPr>
              <w:t>an configure the legacy 4-step</w:t>
            </w:r>
            <w:r w:rsidR="003917DC">
              <w:rPr>
                <w:rFonts w:eastAsia="宋体" w:hint="eastAsia"/>
                <w:lang w:eastAsia="zh-CN"/>
              </w:rPr>
              <w:t>/2</w:t>
            </w:r>
            <w:r w:rsidR="003917DC">
              <w:rPr>
                <w:rFonts w:eastAsia="宋体"/>
                <w:lang w:eastAsia="zh-CN"/>
              </w:rPr>
              <w:t>-</w:t>
            </w:r>
            <w:r w:rsidR="003917DC">
              <w:rPr>
                <w:rFonts w:eastAsia="宋体" w:hint="eastAsia"/>
                <w:lang w:eastAsia="zh-CN"/>
              </w:rPr>
              <w:t>step</w:t>
            </w:r>
            <w:r w:rsidR="003917DC">
              <w:rPr>
                <w:rFonts w:eastAsia="宋体"/>
                <w:lang w:eastAsia="zh-CN"/>
              </w:rPr>
              <w:t xml:space="preserve"> PRACH resource as RA-SDT resource (i.e. common resource between SDT and non-SDT)</w:t>
            </w:r>
            <w:r w:rsidR="00E82FCF">
              <w:rPr>
                <w:rFonts w:eastAsia="宋体"/>
                <w:lang w:eastAsia="zh-CN"/>
              </w:rPr>
              <w:t xml:space="preserve">, then the UE may trigger SDT procedure and finish the data transmission with </w:t>
            </w:r>
            <w:r w:rsidR="00423786">
              <w:rPr>
                <w:rFonts w:eastAsia="宋体"/>
                <w:lang w:eastAsia="zh-CN"/>
              </w:rPr>
              <w:t xml:space="preserve">the </w:t>
            </w:r>
            <w:r w:rsidR="00371A02">
              <w:rPr>
                <w:rFonts w:eastAsia="宋体"/>
                <w:lang w:eastAsia="zh-CN"/>
              </w:rPr>
              <w:t>p</w:t>
            </w:r>
            <w:r w:rsidR="00E82FCF">
              <w:rPr>
                <w:rFonts w:eastAsia="宋体"/>
                <w:lang w:eastAsia="zh-CN"/>
              </w:rPr>
              <w:t xml:space="preserve">otential subsequent transmission. No further enhancement is needed. </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宋体"/>
          <w:b/>
          <w:sz w:val="22"/>
          <w:szCs w:val="22"/>
          <w:lang w:eastAsia="zh-CN"/>
        </w:rPr>
      </w:pPr>
    </w:p>
    <w:p w14:paraId="2EC5344F" w14:textId="77777777" w:rsidR="000628AF" w:rsidRDefault="000628AF">
      <w:pPr>
        <w:adjustRightInd w:val="0"/>
        <w:snapToGrid w:val="0"/>
        <w:spacing w:before="120" w:after="120" w:line="240" w:lineRule="auto"/>
        <w:jc w:val="both"/>
        <w:rPr>
          <w:rFonts w:eastAsia="宋体"/>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2"/>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lastRenderedPageBreak/>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2" w:type="dxa"/>
            <w:vAlign w:val="center"/>
          </w:tcPr>
          <w:p w14:paraId="27A6ED14" w14:textId="77777777"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14:paraId="49E1E12C"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14:paraId="798824B4" w14:textId="77777777"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2" w:type="dxa"/>
          </w:tcPr>
          <w:p w14:paraId="5BED4519" w14:textId="77777777"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tcPr>
          <w:p w14:paraId="3880A86C" w14:textId="77777777"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宋体"/>
                <w:lang w:eastAsia="zh-CN"/>
              </w:rPr>
            </w:pPr>
            <w:r>
              <w:rPr>
                <w:rFonts w:eastAsia="宋体"/>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宋体"/>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宋体"/>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宋体"/>
                <w:lang w:eastAsia="zh-CN"/>
              </w:rPr>
            </w:pPr>
          </w:p>
        </w:tc>
      </w:tr>
      <w:tr w:rsidR="00A92B99" w14:paraId="70C7FB9A" w14:textId="77777777" w:rsidTr="00857E34">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857E34">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2"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857E34">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2"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857E34">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2"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6"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857E34">
        <w:trPr>
          <w:trHeight w:val="454"/>
        </w:trPr>
        <w:tc>
          <w:tcPr>
            <w:tcW w:w="1251" w:type="dxa"/>
          </w:tcPr>
          <w:p w14:paraId="7ABB4906" w14:textId="4D2BC506" w:rsidR="00161492" w:rsidRDefault="00161492" w:rsidP="00BC0711">
            <w:pPr>
              <w:spacing w:after="0" w:line="240" w:lineRule="auto"/>
              <w:jc w:val="center"/>
              <w:rPr>
                <w:lang w:val="en-US" w:eastAsia="zh-CN"/>
              </w:rPr>
            </w:pPr>
            <w:r>
              <w:rPr>
                <w:lang w:val="en-US" w:eastAsia="zh-CN"/>
              </w:rPr>
              <w:t>InterDigital</w:t>
            </w:r>
          </w:p>
        </w:tc>
        <w:tc>
          <w:tcPr>
            <w:tcW w:w="1862"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6"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857E34">
        <w:trPr>
          <w:trHeight w:val="454"/>
        </w:trPr>
        <w:tc>
          <w:tcPr>
            <w:tcW w:w="1251" w:type="dxa"/>
          </w:tcPr>
          <w:p w14:paraId="6E7F46AA" w14:textId="6C1FC4DA" w:rsidR="0071534F" w:rsidRPr="0071534F" w:rsidRDefault="0071534F" w:rsidP="00BC0711">
            <w:pPr>
              <w:spacing w:after="0" w:line="240" w:lineRule="auto"/>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862" w:type="dxa"/>
          </w:tcPr>
          <w:p w14:paraId="23C6E291" w14:textId="7448E554" w:rsidR="0071534F" w:rsidRPr="0071534F" w:rsidRDefault="0071534F" w:rsidP="00BC0711">
            <w:pPr>
              <w:spacing w:after="0" w:line="240" w:lineRule="auto"/>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SS</w:t>
            </w:r>
          </w:p>
        </w:tc>
        <w:tc>
          <w:tcPr>
            <w:tcW w:w="6516"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857E34">
        <w:trPr>
          <w:trHeight w:val="454"/>
        </w:trPr>
        <w:tc>
          <w:tcPr>
            <w:tcW w:w="1251" w:type="dxa"/>
          </w:tcPr>
          <w:p w14:paraId="03073B9C" w14:textId="7DE1A531" w:rsidR="009C4509" w:rsidRDefault="009C4509" w:rsidP="00BC0711">
            <w:pPr>
              <w:spacing w:after="0" w:line="240" w:lineRule="auto"/>
              <w:jc w:val="center"/>
              <w:rPr>
                <w:rFonts w:eastAsia="宋体"/>
                <w:lang w:val="en-US" w:eastAsia="zh-CN"/>
              </w:rPr>
            </w:pPr>
            <w:r>
              <w:rPr>
                <w:rFonts w:eastAsia="宋体"/>
                <w:lang w:val="en-US" w:eastAsia="zh-CN"/>
              </w:rPr>
              <w:t>Apple</w:t>
            </w:r>
          </w:p>
        </w:tc>
        <w:tc>
          <w:tcPr>
            <w:tcW w:w="1862" w:type="dxa"/>
          </w:tcPr>
          <w:p w14:paraId="478679A2" w14:textId="223081C4" w:rsidR="009C4509" w:rsidRDefault="009C4509" w:rsidP="00BC0711">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7248D6">
        <w:trPr>
          <w:trHeight w:val="454"/>
        </w:trPr>
        <w:tc>
          <w:tcPr>
            <w:tcW w:w="1251" w:type="dxa"/>
            <w:vAlign w:val="center"/>
          </w:tcPr>
          <w:p w14:paraId="65E9A520" w14:textId="01AE58E1" w:rsidR="005574DA" w:rsidRDefault="005574DA" w:rsidP="005574DA">
            <w:pPr>
              <w:spacing w:after="0" w:line="240" w:lineRule="auto"/>
              <w:jc w:val="center"/>
              <w:rPr>
                <w:rFonts w:eastAsia="宋体"/>
                <w:lang w:val="en-US" w:eastAsia="zh-CN"/>
              </w:rPr>
            </w:pPr>
            <w:r>
              <w:rPr>
                <w:rFonts w:eastAsia="宋体" w:hint="eastAsia"/>
                <w:lang w:eastAsia="zh-CN"/>
              </w:rPr>
              <w:t>N</w:t>
            </w:r>
            <w:r>
              <w:rPr>
                <w:rFonts w:eastAsia="宋体"/>
                <w:lang w:eastAsia="zh-CN"/>
              </w:rPr>
              <w:t>EC</w:t>
            </w:r>
          </w:p>
        </w:tc>
        <w:tc>
          <w:tcPr>
            <w:tcW w:w="1862" w:type="dxa"/>
            <w:vAlign w:val="center"/>
          </w:tcPr>
          <w:p w14:paraId="4F70A706" w14:textId="18945A00"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SS</w:t>
            </w:r>
          </w:p>
        </w:tc>
        <w:tc>
          <w:tcPr>
            <w:tcW w:w="6516" w:type="dxa"/>
            <w:vAlign w:val="center"/>
          </w:tcPr>
          <w:p w14:paraId="2FC46853" w14:textId="295C3BAE" w:rsidR="005574DA" w:rsidRDefault="005574DA" w:rsidP="005574DA">
            <w:pPr>
              <w:spacing w:after="0" w:line="240" w:lineRule="auto"/>
              <w:rPr>
                <w:rFonts w:eastAsia="MS Mincho"/>
                <w:lang w:eastAsia="ja-JP"/>
              </w:rPr>
            </w:pPr>
            <w:r>
              <w:rPr>
                <w:rFonts w:eastAsia="宋体"/>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7248D6">
        <w:trPr>
          <w:trHeight w:val="454"/>
        </w:trPr>
        <w:tc>
          <w:tcPr>
            <w:tcW w:w="1251" w:type="dxa"/>
            <w:vAlign w:val="center"/>
          </w:tcPr>
          <w:p w14:paraId="63C33C42" w14:textId="5075EA62" w:rsidR="00C26686" w:rsidRDefault="00C26686"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862" w:type="dxa"/>
            <w:vAlign w:val="center"/>
          </w:tcPr>
          <w:p w14:paraId="53EB97C0" w14:textId="677E65A8" w:rsidR="00C26686" w:rsidRDefault="0089596B" w:rsidP="005574DA">
            <w:pPr>
              <w:spacing w:after="0" w:line="240" w:lineRule="auto"/>
              <w:jc w:val="center"/>
              <w:rPr>
                <w:rFonts w:eastAsia="宋体" w:hint="eastAsia"/>
                <w:lang w:eastAsia="zh-CN"/>
              </w:rPr>
            </w:pPr>
            <w:r>
              <w:rPr>
                <w:rFonts w:eastAsia="宋体"/>
                <w:lang w:eastAsia="zh-CN"/>
              </w:rPr>
              <w:t>USS</w:t>
            </w:r>
            <w:r w:rsidR="0065340C">
              <w:rPr>
                <w:rFonts w:eastAsia="宋体"/>
                <w:lang w:eastAsia="zh-CN"/>
              </w:rPr>
              <w:t xml:space="preserve"> and CSS</w:t>
            </w:r>
          </w:p>
        </w:tc>
        <w:tc>
          <w:tcPr>
            <w:tcW w:w="6516" w:type="dxa"/>
            <w:vAlign w:val="center"/>
          </w:tcPr>
          <w:p w14:paraId="1029908C" w14:textId="0DA3BC66" w:rsidR="00C26686" w:rsidRDefault="001C0C42" w:rsidP="005574DA">
            <w:pPr>
              <w:spacing w:after="0" w:line="240" w:lineRule="auto"/>
              <w:rPr>
                <w:rFonts w:eastAsia="宋体"/>
                <w:lang w:eastAsia="zh-CN"/>
              </w:rPr>
            </w:pPr>
            <w:r>
              <w:rPr>
                <w:rFonts w:eastAsia="宋体"/>
                <w:lang w:eastAsia="zh-CN"/>
              </w:rPr>
              <w:t>If the UE initiates the RA-SDT procedure in the same cell where the UE was released to INACTIVE, then USS can be used. Otherwise, the UE can use separate CSS or the legacy type-1 CSS</w:t>
            </w:r>
            <w:r w:rsidR="00AD5188">
              <w:rPr>
                <w:rFonts w:eastAsia="宋体"/>
                <w:lang w:eastAsia="zh-CN"/>
              </w:rPr>
              <w:t xml:space="preserve">. </w:t>
            </w:r>
            <w:bookmarkStart w:id="7" w:name="_GoBack"/>
            <w:bookmarkEnd w:id="7"/>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宋体"/>
          <w:sz w:val="22"/>
          <w:szCs w:val="22"/>
          <w:lang w:eastAsia="zh-CN"/>
        </w:rPr>
      </w:pPr>
    </w:p>
    <w:p w14:paraId="6B0CC62D" w14:textId="77777777" w:rsidR="000628AF" w:rsidRDefault="000628AF">
      <w:pPr>
        <w:adjustRightInd w:val="0"/>
        <w:snapToGrid w:val="0"/>
        <w:spacing w:before="120" w:after="120" w:line="240" w:lineRule="auto"/>
        <w:jc w:val="both"/>
        <w:rPr>
          <w:rFonts w:eastAsia="宋体"/>
          <w:b/>
          <w:sz w:val="22"/>
          <w:szCs w:val="22"/>
          <w:lang w:eastAsia="zh-CN"/>
        </w:rPr>
      </w:pPr>
    </w:p>
    <w:p w14:paraId="641B96AB" w14:textId="77777777" w:rsidR="000628AF" w:rsidRDefault="003057DE">
      <w:pPr>
        <w:pStyle w:val="1"/>
        <w:spacing w:line="240" w:lineRule="auto"/>
      </w:pPr>
      <w:r>
        <w:rPr>
          <w:lang w:eastAsia="ko-KR"/>
        </w:rPr>
        <w:lastRenderedPageBreak/>
        <w:t>4</w:t>
      </w:r>
      <w:r>
        <w:t xml:space="preserve"> Resource configuration for CG-SDT</w:t>
      </w:r>
    </w:p>
    <w:p w14:paraId="117014BC" w14:textId="77777777"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8" w:name="_Toc68204924"/>
      <w:r>
        <w:rPr>
          <w:sz w:val="22"/>
          <w:szCs w:val="22"/>
        </w:rPr>
        <w:t>process configuration and HARQ process ID determination are the same as Rel-16 NR</w:t>
      </w:r>
      <w:bookmarkEnd w:id="8"/>
      <w:r>
        <w:rPr>
          <w:rFonts w:eastAsia="宋体"/>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2"/>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14:paraId="4FDF9D45" w14:textId="77777777" w:rsidR="000628AF" w:rsidRDefault="003057DE">
            <w:pPr>
              <w:spacing w:after="120" w:line="240" w:lineRule="auto"/>
              <w:jc w:val="both"/>
              <w:rPr>
                <w:rFonts w:eastAsia="宋体"/>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8"/>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8"/>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2"/>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3233077" w14:textId="77777777" w:rsidR="000628AF" w:rsidRDefault="000628AF">
            <w:pPr>
              <w:spacing w:after="0" w:line="240" w:lineRule="auto"/>
              <w:jc w:val="both"/>
              <w:rPr>
                <w:rFonts w:eastAsia="宋体"/>
                <w:sz w:val="22"/>
                <w:szCs w:val="22"/>
                <w:lang w:val="en-US" w:eastAsia="zh-CN"/>
              </w:rPr>
            </w:pPr>
          </w:p>
          <w:p w14:paraId="0807302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宋体"/>
                <w:b/>
                <w:bCs/>
                <w:sz w:val="22"/>
                <w:szCs w:val="22"/>
                <w:u w:val="single"/>
                <w:lang w:val="en-US" w:eastAsia="zh-CN"/>
              </w:rPr>
            </w:pPr>
          </w:p>
          <w:p w14:paraId="24808B14" w14:textId="77777777"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宋体"/>
                <w:sz w:val="22"/>
                <w:szCs w:val="22"/>
                <w:lang w:val="en-US" w:eastAsia="zh-CN"/>
              </w:rPr>
            </w:pPr>
          </w:p>
          <w:p w14:paraId="0E24BA87" w14:textId="77777777" w:rsidR="000628AF" w:rsidRDefault="000628AF">
            <w:pPr>
              <w:spacing w:after="0" w:line="240" w:lineRule="auto"/>
              <w:jc w:val="both"/>
              <w:rPr>
                <w:rFonts w:eastAsia="宋体"/>
                <w:sz w:val="22"/>
                <w:szCs w:val="22"/>
                <w:lang w:val="en-US" w:eastAsia="zh-CN"/>
              </w:rPr>
            </w:pPr>
          </w:p>
          <w:p w14:paraId="3214876A" w14:textId="77777777"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2E0778DB" w14:textId="77777777"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6FB4243A" w14:textId="77777777"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14:paraId="2ADD8174" w14:textId="77777777"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configrm the FFS fisrt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宋体"/>
                <w:lang w:eastAsia="zh-CN"/>
              </w:rPr>
            </w:pPr>
            <w:r>
              <w:rPr>
                <w:rFonts w:eastAsia="宋体" w:hint="eastAsia"/>
                <w:lang w:eastAsia="zh-CN"/>
              </w:rPr>
              <w:t xml:space="preserve">Agree with OPPO. </w:t>
            </w:r>
            <w:r>
              <w:rPr>
                <w:rFonts w:eastAsia="宋体"/>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宋体"/>
                <w:lang w:eastAsia="zh-CN"/>
              </w:rPr>
            </w:pPr>
            <w:r>
              <w:rPr>
                <w:sz w:val="22"/>
                <w:szCs w:val="22"/>
                <w:lang w:eastAsia="zh-CN"/>
              </w:rPr>
              <w:t>Not clear if any restrictions are needed as in Opt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宋体"/>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宋体"/>
                <w:lang w:val="en-US" w:eastAsia="zh-CN"/>
              </w:rPr>
              <w:t>common search space configuration issue.</w:t>
            </w:r>
          </w:p>
          <w:p w14:paraId="459BAD54" w14:textId="77777777" w:rsidR="00E13B14" w:rsidRPr="00F5423E" w:rsidRDefault="00E13B14" w:rsidP="00E13B14">
            <w:pPr>
              <w:spacing w:after="0" w:line="240" w:lineRule="auto"/>
              <w:rPr>
                <w:rFonts w:eastAsia="宋体"/>
                <w:lang w:val="en-US" w:eastAsia="zh-CN"/>
              </w:rPr>
            </w:pPr>
            <w:r w:rsidRPr="00F5423E">
              <w:rPr>
                <w:rFonts w:eastAsia="宋体"/>
                <w:lang w:val="en-US" w:eastAsia="zh-CN"/>
              </w:rPr>
              <w:t>In addition,</w:t>
            </w:r>
            <w:r>
              <w:rPr>
                <w:rFonts w:eastAsia="宋体"/>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宋体"/>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RedCap, there is a parallel discussion in RedCap WI on configuring initial or dedicated BWP for RedCap. We think the BWP configuration should be aligned</w:t>
            </w:r>
            <w:r>
              <w:rPr>
                <w:rFonts w:eastAsiaTheme="minorEastAsia"/>
                <w:lang w:eastAsia="ko-KR"/>
              </w:rPr>
              <w:t xml:space="preserve"> between two features.</w:t>
            </w:r>
          </w:p>
        </w:tc>
      </w:tr>
      <w:tr w:rsidR="00A92B99" w14:paraId="200C6F77" w14:textId="77777777" w:rsidTr="00857E34">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 xml:space="preserve">We should first discuss whether paging is really an issue or not. In our view, it may work if CG-SDT resources are configured an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857E34">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e should configrm the FFS fisrt</w:t>
            </w:r>
            <w:r>
              <w:rPr>
                <w:rFonts w:eastAsia="PMingLiU"/>
                <w:lang w:eastAsia="zh-TW"/>
              </w:rPr>
              <w:t>.</w:t>
            </w:r>
          </w:p>
        </w:tc>
      </w:tr>
      <w:tr w:rsidR="008E5BE6" w14:paraId="19E40A60" w14:textId="77777777" w:rsidTr="00857E34">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9" w:name="OLE_LINK113"/>
            <w:bookmarkStart w:id="10" w:name="OLE_LINK114"/>
            <w:r w:rsidRPr="00AC6C9F">
              <w:rPr>
                <w:rFonts w:eastAsiaTheme="minorEastAsia"/>
                <w:lang w:eastAsia="ko-KR"/>
              </w:rPr>
              <w:t>R2-2103533</w:t>
            </w:r>
            <w:bookmarkEnd w:id="9"/>
            <w:bookmarkEnd w:id="10"/>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857E34">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r>
              <w:rPr>
                <w:rFonts w:eastAsiaTheme="minorEastAsia"/>
                <w:lang w:eastAsia="ko-KR"/>
              </w:rPr>
              <w:lastRenderedPageBreak/>
              <w:t>InterDigital</w:t>
            </w:r>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857E34">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宋体"/>
                <w:sz w:val="22"/>
                <w:szCs w:val="22"/>
                <w:lang w:eastAsia="zh-CN"/>
              </w:rPr>
            </w:pPr>
          </w:p>
          <w:p w14:paraId="4C917D72"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 xml:space="preserve">For TDD operation, the paging/SI will also not be  impacted if </w:t>
            </w:r>
            <w:r w:rsidRPr="00957CF5">
              <w:rPr>
                <w:rFonts w:eastAsia="宋体"/>
                <w:sz w:val="22"/>
                <w:szCs w:val="22"/>
                <w:lang w:eastAsia="zh-CN"/>
              </w:rPr>
              <w:t xml:space="preserve">SDT BWP fully contains the initial </w:t>
            </w:r>
            <w:r>
              <w:rPr>
                <w:rFonts w:eastAsia="宋体"/>
                <w:sz w:val="22"/>
                <w:szCs w:val="22"/>
                <w:lang w:eastAsia="zh-CN"/>
              </w:rPr>
              <w:t xml:space="preserve">DL </w:t>
            </w:r>
            <w:r w:rsidRPr="00957CF5">
              <w:rPr>
                <w:rFonts w:eastAsia="宋体"/>
                <w:sz w:val="22"/>
                <w:szCs w:val="22"/>
                <w:lang w:eastAsia="zh-CN"/>
              </w:rPr>
              <w:t>BWP</w:t>
            </w:r>
            <w:r>
              <w:rPr>
                <w:rFonts w:eastAsia="宋体"/>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宋体"/>
                <w:sz w:val="22"/>
                <w:szCs w:val="22"/>
                <w:lang w:eastAsia="zh-CN"/>
              </w:rPr>
            </w:pPr>
          </w:p>
          <w:p w14:paraId="34196313"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Nevetherless, it should be noted that for TDD, the only requirement is that the center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857E34">
        <w:trPr>
          <w:trHeight w:val="454"/>
        </w:trPr>
        <w:tc>
          <w:tcPr>
            <w:tcW w:w="1256" w:type="dxa"/>
            <w:vAlign w:val="center"/>
          </w:tcPr>
          <w:p w14:paraId="06BA10E8" w14:textId="76987128" w:rsidR="004A47B1" w:rsidRDefault="004A47B1" w:rsidP="00AA12D7">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宋体"/>
                <w:sz w:val="22"/>
                <w:szCs w:val="22"/>
                <w:lang w:val="en-US" w:eastAsia="zh-CN"/>
              </w:rPr>
            </w:pPr>
            <w:r>
              <w:rPr>
                <w:rFonts w:eastAsia="宋体"/>
                <w:sz w:val="22"/>
                <w:szCs w:val="22"/>
                <w:lang w:val="en-US" w:eastAsia="zh-CN"/>
              </w:rPr>
              <w:t xml:space="preserve">SDT is designed for small data transmission, </w:t>
            </w:r>
            <w:r w:rsidR="00151E4E">
              <w:rPr>
                <w:rFonts w:eastAsia="宋体"/>
                <w:sz w:val="22"/>
                <w:szCs w:val="22"/>
                <w:lang w:val="en-US" w:eastAsia="zh-CN"/>
              </w:rPr>
              <w:t xml:space="preserve">so </w:t>
            </w:r>
            <w:r>
              <w:rPr>
                <w:rFonts w:eastAsia="宋体"/>
                <w:sz w:val="22"/>
                <w:szCs w:val="22"/>
                <w:lang w:val="en-US" w:eastAsia="zh-CN"/>
              </w:rPr>
              <w:t>we donot expect the</w:t>
            </w:r>
            <w:r w:rsidR="00151E4E">
              <w:rPr>
                <w:rFonts w:eastAsia="宋体"/>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宋体"/>
                <w:sz w:val="22"/>
                <w:szCs w:val="22"/>
                <w:lang w:val="en-US" w:eastAsia="zh-CN"/>
              </w:rPr>
            </w:pPr>
          </w:p>
          <w:p w14:paraId="3107D3FE" w14:textId="77777777" w:rsidR="00330411"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We can understanding the the capacity of the initial BWP may be the concern. But for Option 2, we donot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 </w:t>
            </w:r>
          </w:p>
        </w:tc>
      </w:tr>
      <w:tr w:rsidR="005574DA" w14:paraId="1851E5C1" w14:textId="77777777" w:rsidTr="00857E34">
        <w:trPr>
          <w:trHeight w:val="454"/>
        </w:trPr>
        <w:tc>
          <w:tcPr>
            <w:tcW w:w="1256" w:type="dxa"/>
            <w:vAlign w:val="center"/>
          </w:tcPr>
          <w:p w14:paraId="66B12535" w14:textId="120BABF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宋体"/>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857E34">
        <w:trPr>
          <w:trHeight w:val="454"/>
        </w:trPr>
        <w:tc>
          <w:tcPr>
            <w:tcW w:w="1256" w:type="dxa"/>
            <w:vAlign w:val="center"/>
          </w:tcPr>
          <w:p w14:paraId="27967A91" w14:textId="04810E49" w:rsidR="00C8203B" w:rsidRPr="00C8203B" w:rsidRDefault="00C8203B"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r w:rsidR="000402A9">
              <w:rPr>
                <w:rFonts w:eastAsia="宋体"/>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宋体" w:hint="eastAsia"/>
                <w:lang w:eastAsia="zh-CN"/>
              </w:rPr>
            </w:pPr>
            <w:r>
              <w:rPr>
                <w:rFonts w:eastAsia="宋体"/>
                <w:lang w:eastAsia="zh-CN"/>
              </w:rPr>
              <w:t>If the separate SDT BWP is used, the network should also configure the paging/RACH configuration</w:t>
            </w:r>
            <w:r w:rsidR="00617CA5">
              <w:rPr>
                <w:rFonts w:eastAsia="宋体"/>
                <w:lang w:eastAsia="zh-CN"/>
              </w:rPr>
              <w:t xml:space="preserve"> (for </w:t>
            </w:r>
            <w:proofErr w:type="spellStart"/>
            <w:r w:rsidR="00617CA5">
              <w:rPr>
                <w:rFonts w:eastAsia="宋体"/>
                <w:lang w:eastAsia="zh-CN"/>
              </w:rPr>
              <w:t>fallback</w:t>
            </w:r>
            <w:proofErr w:type="spellEnd"/>
            <w:r w:rsidR="00617CA5">
              <w:rPr>
                <w:rFonts w:eastAsia="宋体"/>
                <w:lang w:eastAsia="zh-CN"/>
              </w:rPr>
              <w:t xml:space="preserve"> to non-SDT)</w:t>
            </w:r>
            <w:r>
              <w:rPr>
                <w:rFonts w:eastAsia="宋体"/>
                <w:lang w:eastAsia="zh-CN"/>
              </w:rPr>
              <w:t xml:space="preserve"> in th</w:t>
            </w:r>
            <w:r>
              <w:rPr>
                <w:rFonts w:eastAsia="宋体" w:hint="eastAsia"/>
                <w:lang w:eastAsia="zh-CN"/>
              </w:rPr>
              <w:t>i</w:t>
            </w:r>
            <w:r>
              <w:rPr>
                <w:rFonts w:eastAsia="宋体"/>
                <w:lang w:eastAsia="zh-CN"/>
              </w:rPr>
              <w:t>s BWP.</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2"/>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lastRenderedPageBreak/>
              <w:t xml:space="preserve">totalNumberOfRA-Preambles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宋体"/>
              </w:rPr>
            </w:pPr>
            <w:r>
              <w:rPr>
                <w:sz w:val="16"/>
                <w:szCs w:val="16"/>
              </w:rPr>
              <w:t>}</w:t>
            </w:r>
          </w:p>
        </w:tc>
      </w:tr>
    </w:tbl>
    <w:p w14:paraId="63D88B98" w14:textId="77777777" w:rsidR="000628AF" w:rsidRDefault="003057DE">
      <w:pPr>
        <w:spacing w:before="120" w:after="120" w:line="240" w:lineRule="auto"/>
        <w:jc w:val="both"/>
        <w:rPr>
          <w:rFonts w:eastAsia="宋体"/>
          <w:sz w:val="22"/>
        </w:rPr>
      </w:pPr>
      <w:r>
        <w:rPr>
          <w:rFonts w:eastAsia="宋体"/>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宋体"/>
                <w:lang w:eastAsia="zh-CN"/>
              </w:rPr>
            </w:pPr>
            <w:r>
              <w:rPr>
                <w:rFonts w:eastAsia="宋体"/>
                <w:highlight w:val="green"/>
                <w:lang w:eastAsia="zh-CN"/>
              </w:rPr>
              <w:t>RAN1#103bis-e agreement:</w:t>
            </w:r>
          </w:p>
          <w:p w14:paraId="3A56C7F1" w14:textId="77777777" w:rsidR="000628AF" w:rsidRDefault="003057DE">
            <w:pPr>
              <w:pStyle w:val="af8"/>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af8"/>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25E3452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2"/>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0E70E16B" w14:textId="77777777"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1B848989" w14:textId="77777777"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7E104BF" w14:textId="77777777"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4E7FD7F2" w14:textId="77777777"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宋体"/>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宋体"/>
                <w:lang w:eastAsia="zh-CN"/>
              </w:rPr>
            </w:pPr>
            <w:r>
              <w:rPr>
                <w:rFonts w:eastAsia="宋体"/>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宋体"/>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宋体" w:hint="eastAsia"/>
                <w:lang w:eastAsia="zh-CN"/>
              </w:rPr>
              <w:t>W</w:t>
            </w:r>
            <w:r>
              <w:rPr>
                <w:rFonts w:eastAsia="宋体"/>
                <w:lang w:eastAsia="zh-CN"/>
              </w:rPr>
              <w:t>ait for RAN1 input.</w:t>
            </w:r>
          </w:p>
        </w:tc>
      </w:tr>
      <w:tr w:rsidR="00DF2B38" w14:paraId="436EB4AA" w14:textId="77777777">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宋体"/>
                <w:lang w:eastAsia="zh-CN"/>
              </w:rPr>
            </w:pPr>
          </w:p>
        </w:tc>
      </w:tr>
      <w:tr w:rsidR="00BC0711" w14:paraId="6002A603" w14:textId="77777777" w:rsidTr="00857E34">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lastRenderedPageBreak/>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宋体"/>
                <w:lang w:eastAsia="zh-CN"/>
              </w:rPr>
            </w:pPr>
            <w:r>
              <w:rPr>
                <w:rFonts w:eastAsiaTheme="minorEastAsia" w:hint="eastAsia"/>
                <w:lang w:eastAsia="ko-KR"/>
              </w:rPr>
              <w:t>Leave it up to RAN1.</w:t>
            </w:r>
          </w:p>
        </w:tc>
      </w:tr>
      <w:tr w:rsidR="008E5BE6" w14:paraId="12A807FF" w14:textId="77777777" w:rsidTr="00857E34">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he configuration on explicit singnalling for a set of SSB(s) has been agreed in RAN1 while the details on the configuration or spec change, i.e., how to map the SSB to PUSCH, is FFS in RNA1. Thus, RAN2 can wait further inputs from RAN1.</w:t>
            </w:r>
          </w:p>
        </w:tc>
      </w:tr>
      <w:tr w:rsidR="00161492" w14:paraId="74DA2653" w14:textId="77777777" w:rsidTr="00857E34">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857E34">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宋体"/>
                <w:sz w:val="22"/>
                <w:szCs w:val="22"/>
                <w:lang w:eastAsia="zh-CN"/>
              </w:rPr>
            </w:pPr>
            <w:r>
              <w:rPr>
                <w:rFonts w:eastAsia="宋体"/>
                <w:sz w:val="22"/>
                <w:szCs w:val="22"/>
                <w:lang w:eastAsia="zh-CN"/>
              </w:rPr>
              <w:t xml:space="preserve">According to RAN1’s agreement, the set of SSB(s) is configured per CG configuration by explicit signalling. It is a </w:t>
            </w:r>
            <w:r w:rsidRPr="00957CF5">
              <w:rPr>
                <w:rFonts w:eastAsia="宋体"/>
                <w:sz w:val="22"/>
                <w:szCs w:val="22"/>
                <w:lang w:eastAsia="zh-CN"/>
              </w:rPr>
              <w:t>straightforward</w:t>
            </w:r>
            <w:r>
              <w:rPr>
                <w:rFonts w:eastAsia="宋体"/>
                <w:sz w:val="22"/>
                <w:szCs w:val="22"/>
                <w:lang w:eastAsia="zh-CN"/>
              </w:rPr>
              <w:t xml:space="preserve"> logic to support </w:t>
            </w:r>
            <w:r w:rsidRPr="00957CF5">
              <w:rPr>
                <w:rFonts w:eastAsia="宋体"/>
                <w:sz w:val="22"/>
                <w:szCs w:val="22"/>
                <w:lang w:eastAsia="zh-CN"/>
              </w:rPr>
              <w:t>explicitly signaling a set of SSB(s) associated with a CG configuration via RRC Release</w:t>
            </w:r>
            <w:r>
              <w:rPr>
                <w:rFonts w:eastAsia="宋体"/>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宋体"/>
                <w:sz w:val="22"/>
                <w:szCs w:val="22"/>
                <w:lang w:eastAsia="zh-CN"/>
              </w:rPr>
            </w:pPr>
          </w:p>
          <w:p w14:paraId="0A262940" w14:textId="765B002D" w:rsidR="002C2D1C" w:rsidRDefault="002C2D1C" w:rsidP="002C2D1C">
            <w:pPr>
              <w:spacing w:after="0" w:line="240" w:lineRule="auto"/>
              <w:jc w:val="both"/>
              <w:rPr>
                <w:rFonts w:eastAsia="宋体"/>
                <w:sz w:val="22"/>
                <w:szCs w:val="22"/>
                <w:lang w:eastAsia="zh-CN"/>
              </w:rPr>
            </w:pPr>
            <w:r>
              <w:rPr>
                <w:rFonts w:eastAsia="宋体"/>
                <w:sz w:val="22"/>
                <w:szCs w:val="22"/>
                <w:lang w:eastAsia="zh-CN"/>
              </w:rPr>
              <w:t>Just to clarify, is the intention of the question just to confirm the RAN1 agreement “</w:t>
            </w:r>
            <w:r w:rsidRPr="0062099E">
              <w:rPr>
                <w:rFonts w:eastAsia="宋体"/>
                <w:sz w:val="22"/>
                <w:szCs w:val="22"/>
                <w:lang w:eastAsia="zh-CN"/>
              </w:rPr>
              <w:t>CG resources per CG configuration are associated with a set of SSB(s) configured by explicit signalling.</w:t>
            </w:r>
            <w:r>
              <w:rPr>
                <w:rFonts w:eastAsia="宋体"/>
                <w:sz w:val="22"/>
                <w:szCs w:val="22"/>
                <w:lang w:eastAsia="zh-CN"/>
              </w:rPr>
              <w:t>”</w:t>
            </w:r>
            <w:r w:rsidR="00E00F2D">
              <w:rPr>
                <w:rFonts w:eastAsia="宋体"/>
                <w:sz w:val="22"/>
                <w:szCs w:val="22"/>
                <w:lang w:eastAsia="zh-CN"/>
              </w:rPr>
              <w:t>?</w:t>
            </w:r>
          </w:p>
          <w:p w14:paraId="75092AED" w14:textId="77777777" w:rsidR="002C2D1C" w:rsidRDefault="002C2D1C" w:rsidP="002C2D1C">
            <w:pPr>
              <w:spacing w:after="0" w:line="240" w:lineRule="auto"/>
              <w:jc w:val="both"/>
              <w:rPr>
                <w:rFonts w:eastAsia="宋体"/>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宋体"/>
                <w:sz w:val="22"/>
                <w:szCs w:val="22"/>
                <w:lang w:eastAsia="zh-CN"/>
              </w:rPr>
              <w:t>For the rest, since it is FFS in RAN1, RAN1 should continue to work on them</w:t>
            </w:r>
          </w:p>
        </w:tc>
      </w:tr>
      <w:tr w:rsidR="008C2260" w14:paraId="0D25F6A9" w14:textId="77777777" w:rsidTr="00857E34">
        <w:trPr>
          <w:trHeight w:val="454"/>
        </w:trPr>
        <w:tc>
          <w:tcPr>
            <w:tcW w:w="1256" w:type="dxa"/>
            <w:vAlign w:val="center"/>
          </w:tcPr>
          <w:p w14:paraId="133A8D5E" w14:textId="354966FB" w:rsidR="008C2260" w:rsidRDefault="008C2260" w:rsidP="002C2D1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宋体"/>
                <w:sz w:val="22"/>
                <w:szCs w:val="22"/>
                <w:lang w:eastAsia="zh-CN"/>
              </w:rPr>
            </w:pPr>
          </w:p>
        </w:tc>
      </w:tr>
      <w:tr w:rsidR="005574DA" w14:paraId="33C3A9B2" w14:textId="77777777" w:rsidTr="00857E34">
        <w:trPr>
          <w:trHeight w:val="454"/>
        </w:trPr>
        <w:tc>
          <w:tcPr>
            <w:tcW w:w="1256" w:type="dxa"/>
            <w:vAlign w:val="center"/>
          </w:tcPr>
          <w:p w14:paraId="73185169" w14:textId="5E0861FC"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宋体"/>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857E34">
        <w:trPr>
          <w:trHeight w:val="454"/>
        </w:trPr>
        <w:tc>
          <w:tcPr>
            <w:tcW w:w="1256" w:type="dxa"/>
            <w:vAlign w:val="center"/>
          </w:tcPr>
          <w:p w14:paraId="569E36BF" w14:textId="0ED75DF3" w:rsidR="00B54EB2" w:rsidRPr="00B54EB2" w:rsidRDefault="00B54EB2"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宋体" w:hint="eastAsia"/>
                <w:lang w:eastAsia="zh-CN"/>
              </w:rPr>
            </w:pPr>
            <w:r>
              <w:rPr>
                <w:rFonts w:eastAsia="宋体"/>
                <w:lang w:eastAsia="zh-CN"/>
              </w:rPr>
              <w:t xml:space="preserve">From RAN2 perspective, we could confirm the RAN1 agreement that </w:t>
            </w:r>
            <w:r w:rsidRPr="0062099E">
              <w:rPr>
                <w:rFonts w:eastAsia="宋体"/>
                <w:sz w:val="22"/>
                <w:szCs w:val="22"/>
                <w:lang w:eastAsia="zh-CN"/>
              </w:rPr>
              <w:t>CG resources per CG configuration are associated with a set of SSB(s) configured by explicit signalling</w:t>
            </w:r>
            <w:r w:rsidR="00AF5A37">
              <w:rPr>
                <w:rFonts w:eastAsia="宋体"/>
                <w:sz w:val="22"/>
                <w:szCs w:val="22"/>
                <w:lang w:eastAsia="zh-CN"/>
              </w:rPr>
              <w:t>.</w:t>
            </w:r>
            <w:r w:rsidR="00E23753">
              <w:rPr>
                <w:rFonts w:eastAsia="宋体"/>
                <w:sz w:val="22"/>
                <w:szCs w:val="22"/>
                <w:lang w:eastAsia="zh-CN"/>
              </w:rPr>
              <w:t xml:space="preserve"> The signalling details can be discussed with more RAN1 input. </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宋体"/>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2"/>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宋体"/>
                <w:b/>
                <w:sz w:val="22"/>
                <w:lang w:eastAsia="zh-CN"/>
              </w:rPr>
            </w:pPr>
            <w:r>
              <w:rPr>
                <w:rFonts w:eastAsia="宋体"/>
                <w:b/>
                <w:sz w:val="22"/>
                <w:lang w:eastAsia="zh-CN"/>
              </w:rPr>
              <w:t>TS 36.213 sub-clause 9.1.5:</w:t>
            </w:r>
          </w:p>
          <w:p w14:paraId="7706EBF0" w14:textId="77777777"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2"/>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14:paraId="63CD678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97F065"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3EE48B5" w14:textId="77777777" w:rsidR="000628AF" w:rsidRDefault="000628AF">
            <w:pPr>
              <w:spacing w:after="0" w:line="240" w:lineRule="auto"/>
              <w:jc w:val="both"/>
              <w:rPr>
                <w:rFonts w:eastAsia="宋体"/>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r w:rsidR="00ED3CDA">
              <w:rPr>
                <w:rFonts w:eastAsiaTheme="minorEastAsia"/>
                <w:lang w:eastAsia="ko-KR"/>
              </w:rPr>
              <w:t>egacy</w:t>
            </w:r>
            <w:r>
              <w:rPr>
                <w:rFonts w:eastAsiaTheme="minorEastAsia" w:hint="eastAsia"/>
                <w:lang w:eastAsia="ko-KR"/>
              </w:rPr>
              <w:t xml:space="preserve">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54A501A" w14:textId="77777777"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EEFDE45" w14:textId="77777777"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宋体"/>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宋体"/>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宋体"/>
                <w:lang w:eastAsia="zh-CN"/>
              </w:rPr>
            </w:pPr>
            <w:r>
              <w:rPr>
                <w:rFonts w:eastAsiaTheme="minorEastAsia"/>
                <w:lang w:eastAsia="ko-KR"/>
              </w:rPr>
              <w:t xml:space="preserve">We prefer to CSS. There might be an issue for TCI state configuration for the CORESET associated to USS. Network can not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QCLed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857E34">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857E34">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857E34">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宋体"/>
                <w:sz w:val="22"/>
                <w:szCs w:val="22"/>
                <w:lang w:eastAsia="zh-CN"/>
              </w:rPr>
            </w:pPr>
            <w:r>
              <w:rPr>
                <w:rFonts w:eastAsia="宋体"/>
                <w:sz w:val="22"/>
                <w:szCs w:val="22"/>
                <w:lang w:eastAsia="zh-CN"/>
              </w:rPr>
              <w:t>In PUR, dedicated PDCCH configuration is provided in the RRCConnectionRelease message and the same principle can be reused for CG-SDT.</w:t>
            </w:r>
          </w:p>
          <w:p w14:paraId="427E9A9A" w14:textId="77777777" w:rsidR="0010477A" w:rsidRDefault="0010477A" w:rsidP="0010477A">
            <w:pPr>
              <w:spacing w:after="0" w:line="240" w:lineRule="auto"/>
              <w:jc w:val="both"/>
              <w:rPr>
                <w:rFonts w:eastAsia="宋体"/>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宋体"/>
                <w:sz w:val="22"/>
                <w:szCs w:val="22"/>
                <w:lang w:eastAsia="zh-CN"/>
              </w:rPr>
              <w:t xml:space="preserve">For the gNB implementation convenience, if USS is not configured, CSS (e.g. separate CSS for RA-SDT or </w:t>
            </w:r>
            <w:r w:rsidRPr="00F516BE">
              <w:rPr>
                <w:rFonts w:eastAsia="宋体"/>
                <w:sz w:val="22"/>
                <w:szCs w:val="22"/>
                <w:lang w:eastAsia="zh-CN"/>
              </w:rPr>
              <w:t>type-1 CSS</w:t>
            </w:r>
            <w:r>
              <w:rPr>
                <w:rFonts w:eastAsia="宋体"/>
                <w:sz w:val="22"/>
                <w:szCs w:val="22"/>
                <w:lang w:eastAsia="zh-CN"/>
              </w:rPr>
              <w:t>) can be also used.</w:t>
            </w:r>
          </w:p>
        </w:tc>
      </w:tr>
      <w:tr w:rsidR="00ED3CDA" w14:paraId="6D5C737C" w14:textId="77777777" w:rsidTr="00857E34">
        <w:trPr>
          <w:trHeight w:val="454"/>
        </w:trPr>
        <w:tc>
          <w:tcPr>
            <w:tcW w:w="1256" w:type="dxa"/>
            <w:vAlign w:val="center"/>
          </w:tcPr>
          <w:p w14:paraId="7BA03A80" w14:textId="08EE3D11" w:rsidR="00ED3CDA" w:rsidRDefault="00ED3CDA" w:rsidP="0010477A">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宋体"/>
                <w:sz w:val="22"/>
                <w:szCs w:val="22"/>
                <w:lang w:eastAsia="zh-CN"/>
              </w:rPr>
            </w:pPr>
            <w:r>
              <w:rPr>
                <w:rFonts w:eastAsia="宋体"/>
                <w:sz w:val="22"/>
                <w:szCs w:val="22"/>
                <w:lang w:eastAsia="zh-CN"/>
              </w:rPr>
              <w:t>CSS should be the baseline. About the USS configuration, it should check with RAN1 first.</w:t>
            </w:r>
          </w:p>
        </w:tc>
      </w:tr>
      <w:tr w:rsidR="005574DA" w14:paraId="5709F345" w14:textId="77777777" w:rsidTr="00857E34">
        <w:trPr>
          <w:trHeight w:val="454"/>
        </w:trPr>
        <w:tc>
          <w:tcPr>
            <w:tcW w:w="1256" w:type="dxa"/>
            <w:vAlign w:val="center"/>
          </w:tcPr>
          <w:p w14:paraId="011EB536" w14:textId="44E2D19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宋体"/>
                <w:sz w:val="22"/>
                <w:szCs w:val="22"/>
                <w:lang w:eastAsia="zh-CN"/>
              </w:rPr>
            </w:pPr>
          </w:p>
        </w:tc>
      </w:tr>
      <w:tr w:rsidR="00A10A22" w14:paraId="747C7583" w14:textId="77777777" w:rsidTr="00857E34">
        <w:trPr>
          <w:trHeight w:val="454"/>
        </w:trPr>
        <w:tc>
          <w:tcPr>
            <w:tcW w:w="1256" w:type="dxa"/>
            <w:vAlign w:val="center"/>
          </w:tcPr>
          <w:p w14:paraId="4533F64C" w14:textId="4E440538" w:rsidR="00A10A22" w:rsidRPr="00A10A22" w:rsidRDefault="00A10A22"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宋体"/>
                <w:sz w:val="22"/>
                <w:szCs w:val="22"/>
                <w:lang w:eastAsia="zh-CN"/>
              </w:rPr>
            </w:pPr>
            <w:r w:rsidRPr="00D9788D">
              <w:rPr>
                <w:rFonts w:eastAsia="宋体"/>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w:t>
            </w:r>
            <w:r w:rsidR="00C200CC" w:rsidRPr="00D9788D">
              <w:rPr>
                <w:sz w:val="22"/>
                <w:szCs w:val="22"/>
              </w:rPr>
              <w:t xml:space="preserve">the UE may assume </w:t>
            </w:r>
            <w:r w:rsidR="00D9788D" w:rsidRPr="00D9788D">
              <w:rPr>
                <w:sz w:val="22"/>
                <w:szCs w:val="22"/>
              </w:rPr>
              <w:t xml:space="preserve">the </w:t>
            </w:r>
            <w:r w:rsidR="00C200CC" w:rsidRPr="00D9788D">
              <w:rPr>
                <w:sz w:val="22"/>
                <w:szCs w:val="22"/>
              </w:rPr>
              <w:t xml:space="preserve">same DM-RS antenna port quasi co-location properties as for a SS/PBCH block </w:t>
            </w:r>
            <w:r w:rsidR="00C200CC" w:rsidRPr="00D9788D">
              <w:rPr>
                <w:sz w:val="22"/>
                <w:szCs w:val="22"/>
              </w:rPr>
              <w:t>selected during CG PUSCH transmission.</w:t>
            </w: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w:t>
      </w:r>
      <w:r>
        <w:rPr>
          <w:rFonts w:eastAsia="宋体"/>
          <w:sz w:val="22"/>
          <w:lang w:eastAsia="zh-CN"/>
        </w:rPr>
        <w:lastRenderedPageBreak/>
        <w:t xml:space="preserve">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2"/>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5F90AFB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64CFAF52"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E85D461" w14:textId="77777777"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r w:rsidRPr="00B5268E">
              <w:rPr>
                <w:i/>
                <w:color w:val="000000" w:themeColor="text1"/>
                <w:sz w:val="22"/>
              </w:rPr>
              <w:t>RRCRelease</w:t>
            </w:r>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419D8E0B" w14:textId="77777777"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宋体"/>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宋体"/>
                <w:lang w:eastAsia="zh-CN"/>
              </w:rPr>
            </w:pPr>
            <w:r>
              <w:rPr>
                <w:rFonts w:eastAsia="宋体"/>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宋体"/>
                <w:lang w:eastAsia="zh-CN"/>
              </w:rPr>
            </w:pPr>
            <w:r>
              <w:rPr>
                <w:rFonts w:eastAsiaTheme="minorEastAsia" w:hint="eastAsia"/>
                <w:lang w:eastAsia="ko-KR"/>
              </w:rPr>
              <w:t>Can be discussed later in stage-3</w:t>
            </w:r>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宋体"/>
                <w:lang w:eastAsia="zh-CN"/>
              </w:rPr>
              <w:t>It is simpler to use a new RNTI instead of C-RNTI or CS-RNTI.</w:t>
            </w:r>
          </w:p>
        </w:tc>
      </w:tr>
      <w:tr w:rsidR="00BC0711" w14:paraId="0465F027" w14:textId="77777777">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宋体"/>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857E34">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宋体" w:hint="eastAsia"/>
                <w:lang w:eastAsia="zh-CN"/>
              </w:rPr>
              <w:t>Y</w:t>
            </w:r>
            <w:r>
              <w:rPr>
                <w:rFonts w:eastAsia="宋体"/>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ased on current 38.321, C-RNTI can not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857E34">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24C7CACD" w14:textId="6EDE3AD1" w:rsidR="00161492" w:rsidRDefault="00161492" w:rsidP="00161492">
            <w:pPr>
              <w:spacing w:after="0" w:line="240" w:lineRule="auto"/>
              <w:jc w:val="center"/>
              <w:rPr>
                <w:rFonts w:eastAsia="宋体"/>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857E34">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lastRenderedPageBreak/>
              <w:t>H</w:t>
            </w:r>
            <w:r>
              <w:rPr>
                <w:rFonts w:eastAsia="宋体"/>
                <w:sz w:val="22"/>
                <w:szCs w:val="22"/>
                <w:lang w:eastAsia="zh-CN"/>
              </w:rPr>
              <w:t>uawei, HiSilicon</w:t>
            </w:r>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宋体"/>
                <w:sz w:val="22"/>
                <w:lang w:eastAsia="zh-CN"/>
              </w:rPr>
            </w:pPr>
            <w:r>
              <w:rPr>
                <w:rFonts w:eastAsia="宋体"/>
                <w:sz w:val="22"/>
                <w:lang w:eastAsia="zh-CN"/>
              </w:rPr>
              <w:t>T</w:t>
            </w:r>
            <w:r w:rsidRPr="00292E1D">
              <w:rPr>
                <w:rFonts w:eastAsia="宋体"/>
                <w:sz w:val="22"/>
                <w:lang w:eastAsia="zh-CN"/>
              </w:rPr>
              <w:t xml:space="preserve">he legacy </w:t>
            </w:r>
            <w:r>
              <w:rPr>
                <w:rFonts w:eastAsia="宋体"/>
                <w:sz w:val="22"/>
                <w:lang w:eastAsia="zh-CN"/>
              </w:rPr>
              <w:t>CS</w:t>
            </w:r>
            <w:r>
              <w:rPr>
                <w:rFonts w:eastAsia="宋体" w:hint="eastAsia"/>
                <w:sz w:val="22"/>
                <w:lang w:eastAsia="zh-CN"/>
              </w:rPr>
              <w:t>-</w:t>
            </w:r>
            <w:r>
              <w:rPr>
                <w:rFonts w:eastAsia="宋体"/>
                <w:sz w:val="22"/>
                <w:lang w:eastAsia="zh-CN"/>
              </w:rPr>
              <w:t>RNTI based retransmission</w:t>
            </w:r>
            <w:r w:rsidRPr="00292E1D">
              <w:rPr>
                <w:rFonts w:eastAsia="宋体"/>
                <w:sz w:val="22"/>
                <w:lang w:eastAsia="zh-CN"/>
              </w:rPr>
              <w:t xml:space="preserve"> mechanism </w:t>
            </w:r>
            <w:r>
              <w:rPr>
                <w:rFonts w:eastAsia="宋体"/>
                <w:sz w:val="22"/>
                <w:lang w:eastAsia="zh-CN"/>
              </w:rPr>
              <w:t xml:space="preserve">can </w:t>
            </w:r>
            <w:r w:rsidRPr="00292E1D">
              <w:rPr>
                <w:rFonts w:eastAsia="宋体"/>
                <w:sz w:val="22"/>
                <w:lang w:eastAsia="zh-CN"/>
              </w:rPr>
              <w:t>be reused for CG-SDT.</w:t>
            </w:r>
            <w:r>
              <w:rPr>
                <w:rFonts w:eastAsia="宋体"/>
                <w:sz w:val="22"/>
                <w:lang w:eastAsia="zh-CN"/>
              </w:rPr>
              <w:t xml:space="preserve"> </w:t>
            </w:r>
          </w:p>
          <w:p w14:paraId="2AEA235F" w14:textId="77777777" w:rsidR="00874F0C" w:rsidRDefault="00874F0C" w:rsidP="00874F0C">
            <w:pPr>
              <w:spacing w:after="0" w:line="240" w:lineRule="auto"/>
              <w:jc w:val="both"/>
              <w:rPr>
                <w:rFonts w:eastAsia="宋体"/>
                <w:sz w:val="22"/>
                <w:lang w:eastAsia="zh-CN"/>
              </w:rPr>
            </w:pPr>
          </w:p>
          <w:p w14:paraId="2AE622AA" w14:textId="735BC3AF" w:rsidR="00874F0C" w:rsidRDefault="00874F0C" w:rsidP="00874F0C">
            <w:pPr>
              <w:spacing w:after="0" w:line="240" w:lineRule="auto"/>
              <w:rPr>
                <w:rFonts w:eastAsiaTheme="minorEastAsia"/>
                <w:lang w:eastAsia="ko-KR"/>
              </w:rPr>
            </w:pPr>
            <w:r>
              <w:rPr>
                <w:rFonts w:eastAsia="宋体"/>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857E34">
        <w:trPr>
          <w:trHeight w:val="454"/>
        </w:trPr>
        <w:tc>
          <w:tcPr>
            <w:tcW w:w="1256" w:type="dxa"/>
            <w:vAlign w:val="center"/>
          </w:tcPr>
          <w:p w14:paraId="61EB23C4" w14:textId="3D2723CD" w:rsidR="009D1371" w:rsidRDefault="009D1371" w:rsidP="00874F0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宋体"/>
                <w:sz w:val="22"/>
                <w:szCs w:val="22"/>
                <w:lang w:eastAsia="zh-CN"/>
              </w:rPr>
            </w:pPr>
            <w:r>
              <w:rPr>
                <w:rFonts w:eastAsia="宋体"/>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宋体"/>
                <w:sz w:val="22"/>
                <w:lang w:eastAsia="zh-CN"/>
              </w:rPr>
            </w:pPr>
            <w:r>
              <w:rPr>
                <w:rFonts w:eastAsia="宋体"/>
                <w:sz w:val="22"/>
                <w:lang w:eastAsia="zh-CN"/>
              </w:rPr>
              <w:t>It can be discussed in stage-3.</w:t>
            </w:r>
          </w:p>
        </w:tc>
      </w:tr>
      <w:tr w:rsidR="005574DA" w14:paraId="7FAB389A" w14:textId="77777777" w:rsidTr="00857E34">
        <w:trPr>
          <w:trHeight w:val="454"/>
        </w:trPr>
        <w:tc>
          <w:tcPr>
            <w:tcW w:w="1256" w:type="dxa"/>
            <w:vAlign w:val="center"/>
          </w:tcPr>
          <w:p w14:paraId="5E4DCF65" w14:textId="38101CC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宋体"/>
                <w:sz w:val="22"/>
                <w:lang w:eastAsia="zh-CN"/>
              </w:rPr>
            </w:pPr>
            <w:r>
              <w:rPr>
                <w:rFonts w:eastAsiaTheme="minorEastAsia"/>
                <w:lang w:eastAsia="ko-KR"/>
              </w:rPr>
              <w:t>We agree to reuse the CS-RNTI.</w:t>
            </w:r>
          </w:p>
        </w:tc>
      </w:tr>
      <w:tr w:rsidR="00134CD3" w14:paraId="406A0FDB" w14:textId="77777777" w:rsidTr="00857E34">
        <w:trPr>
          <w:trHeight w:val="454"/>
        </w:trPr>
        <w:tc>
          <w:tcPr>
            <w:tcW w:w="1256" w:type="dxa"/>
            <w:vAlign w:val="center"/>
          </w:tcPr>
          <w:p w14:paraId="40E4BD3E" w14:textId="061A0FC8" w:rsidR="00134CD3" w:rsidRPr="00134CD3" w:rsidRDefault="00134CD3" w:rsidP="005574DA">
            <w:pPr>
              <w:spacing w:after="0" w:line="240" w:lineRule="auto"/>
              <w:jc w:val="center"/>
              <w:rPr>
                <w:rFonts w:eastAsia="宋体" w:hint="eastAsia"/>
                <w:lang w:eastAsia="zh-CN"/>
              </w:rPr>
            </w:pPr>
            <w:r>
              <w:rPr>
                <w:rFonts w:eastAsia="宋体" w:hint="eastAsia"/>
                <w:lang w:eastAsia="zh-CN"/>
              </w:rPr>
              <w:t>v</w:t>
            </w:r>
            <w:r>
              <w:rPr>
                <w:rFonts w:eastAsia="宋体"/>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宋体" w:hint="eastAsia"/>
                <w:lang w:eastAsia="zh-CN"/>
              </w:rPr>
            </w:pPr>
            <w:r>
              <w:rPr>
                <w:rFonts w:eastAsia="宋体" w:hint="eastAsia"/>
                <w:lang w:eastAsia="zh-CN"/>
              </w:rPr>
              <w:t>T</w:t>
            </w:r>
            <w:r>
              <w:rPr>
                <w:rFonts w:eastAsia="宋体"/>
                <w:lang w:eastAsia="zh-CN"/>
              </w:rPr>
              <w:t>he CS-RNTI n</w:t>
            </w:r>
            <w:r w:rsidR="00D7481E">
              <w:rPr>
                <w:rFonts w:eastAsia="宋体"/>
                <w:lang w:eastAsia="zh-CN"/>
              </w:rPr>
              <w:t>e</w:t>
            </w:r>
            <w:r>
              <w:rPr>
                <w:rFonts w:eastAsia="宋体"/>
                <w:lang w:eastAsia="zh-CN"/>
              </w:rPr>
              <w:t xml:space="preserve">eds to be assigned so that the legacy CS-RNTI based retransmission mechanism </w:t>
            </w:r>
            <w:r w:rsidR="00D7481E">
              <w:rPr>
                <w:rFonts w:eastAsia="宋体"/>
                <w:lang w:eastAsia="zh-CN"/>
              </w:rPr>
              <w:t>can be reused for CG-SDT.</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af8"/>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0256674C"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bookmarkStart w:id="11" w:name="_Ref481486326"/>
      <w:bookmarkStart w:id="12" w:name="_Ref488061725"/>
      <w:bookmarkStart w:id="13" w:name="_Ref189809556"/>
      <w:bookmarkStart w:id="14" w:name="_Ref521659446"/>
      <w:bookmarkStart w:id="15" w:name="_Ref534127550"/>
      <w:bookmarkStart w:id="16" w:name="_Ref174151459"/>
      <w:bookmarkStart w:id="17"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1"/>
      <w:bookmarkEnd w:id="12"/>
      <w:bookmarkEnd w:id="13"/>
      <w:bookmarkEnd w:id="14"/>
      <w:bookmarkEnd w:id="15"/>
      <w:bookmarkEnd w:id="16"/>
      <w:bookmarkEnd w:id="17"/>
    </w:p>
    <w:p w14:paraId="47C58588"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345400">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345400">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345400">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345400">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345400">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345400">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345400">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345400">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345400">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345400">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345400">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345400">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345400">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345400">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345400">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345400">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345400">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345400">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345400">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345400">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345400">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345400">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4"/>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9773" w14:textId="77777777" w:rsidR="00345400" w:rsidRDefault="00345400">
      <w:pPr>
        <w:spacing w:after="0" w:line="240" w:lineRule="auto"/>
      </w:pPr>
      <w:r>
        <w:separator/>
      </w:r>
    </w:p>
  </w:endnote>
  <w:endnote w:type="continuationSeparator" w:id="0">
    <w:p w14:paraId="683C7A14" w14:textId="77777777" w:rsidR="00345400" w:rsidRDefault="0034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49D9C" w14:textId="77777777" w:rsidR="00345400" w:rsidRDefault="00345400">
      <w:pPr>
        <w:spacing w:after="0" w:line="240" w:lineRule="auto"/>
      </w:pPr>
      <w:r>
        <w:separator/>
      </w:r>
    </w:p>
  </w:footnote>
  <w:footnote w:type="continuationSeparator" w:id="0">
    <w:p w14:paraId="1876AA31" w14:textId="77777777" w:rsidR="00345400" w:rsidRDefault="0034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988" w14:textId="77777777" w:rsidR="00EE11C6" w:rsidRDefault="00EE11C6">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0628AF"/>
    <w:rsid w:val="000005DB"/>
    <w:rsid w:val="00002F97"/>
    <w:rsid w:val="0001560C"/>
    <w:rsid w:val="00033A58"/>
    <w:rsid w:val="000402A9"/>
    <w:rsid w:val="000567FA"/>
    <w:rsid w:val="000628AF"/>
    <w:rsid w:val="000A2B17"/>
    <w:rsid w:val="000A694F"/>
    <w:rsid w:val="000C13EF"/>
    <w:rsid w:val="000C3772"/>
    <w:rsid w:val="000E50F1"/>
    <w:rsid w:val="000E5D21"/>
    <w:rsid w:val="0010477A"/>
    <w:rsid w:val="00110517"/>
    <w:rsid w:val="0013271D"/>
    <w:rsid w:val="00134CD3"/>
    <w:rsid w:val="00151E4E"/>
    <w:rsid w:val="00161492"/>
    <w:rsid w:val="00176F90"/>
    <w:rsid w:val="00192796"/>
    <w:rsid w:val="001B0366"/>
    <w:rsid w:val="001B32F5"/>
    <w:rsid w:val="001C0C42"/>
    <w:rsid w:val="001C68B6"/>
    <w:rsid w:val="001E6FFB"/>
    <w:rsid w:val="002036A7"/>
    <w:rsid w:val="002136C7"/>
    <w:rsid w:val="0023231B"/>
    <w:rsid w:val="00251ECF"/>
    <w:rsid w:val="002743A7"/>
    <w:rsid w:val="002B2C1E"/>
    <w:rsid w:val="002C2D1C"/>
    <w:rsid w:val="002D31E7"/>
    <w:rsid w:val="003022B5"/>
    <w:rsid w:val="003057DE"/>
    <w:rsid w:val="00313EE2"/>
    <w:rsid w:val="00324839"/>
    <w:rsid w:val="00330411"/>
    <w:rsid w:val="00345400"/>
    <w:rsid w:val="003605A3"/>
    <w:rsid w:val="003712ED"/>
    <w:rsid w:val="00371A02"/>
    <w:rsid w:val="00386096"/>
    <w:rsid w:val="003917DC"/>
    <w:rsid w:val="003D062A"/>
    <w:rsid w:val="003D4E06"/>
    <w:rsid w:val="00407A34"/>
    <w:rsid w:val="0041575C"/>
    <w:rsid w:val="00423786"/>
    <w:rsid w:val="00433A4B"/>
    <w:rsid w:val="00494666"/>
    <w:rsid w:val="004A0622"/>
    <w:rsid w:val="004A2694"/>
    <w:rsid w:val="004A47B1"/>
    <w:rsid w:val="004B3CE9"/>
    <w:rsid w:val="004B7FFD"/>
    <w:rsid w:val="004D34AF"/>
    <w:rsid w:val="004D39BF"/>
    <w:rsid w:val="004E3B46"/>
    <w:rsid w:val="004E7ED8"/>
    <w:rsid w:val="004F43C0"/>
    <w:rsid w:val="005334AD"/>
    <w:rsid w:val="005574DA"/>
    <w:rsid w:val="005B270F"/>
    <w:rsid w:val="00604E3A"/>
    <w:rsid w:val="00617CA5"/>
    <w:rsid w:val="00647B0A"/>
    <w:rsid w:val="0065340C"/>
    <w:rsid w:val="006C3244"/>
    <w:rsid w:val="006C6E4E"/>
    <w:rsid w:val="006E74F3"/>
    <w:rsid w:val="006F2412"/>
    <w:rsid w:val="0071534F"/>
    <w:rsid w:val="0072389C"/>
    <w:rsid w:val="00724399"/>
    <w:rsid w:val="007516D7"/>
    <w:rsid w:val="00760398"/>
    <w:rsid w:val="00782374"/>
    <w:rsid w:val="00783552"/>
    <w:rsid w:val="00797379"/>
    <w:rsid w:val="00797E95"/>
    <w:rsid w:val="007B6D88"/>
    <w:rsid w:val="007C6F4D"/>
    <w:rsid w:val="007C7D18"/>
    <w:rsid w:val="007E2E26"/>
    <w:rsid w:val="007E7C61"/>
    <w:rsid w:val="007F2B68"/>
    <w:rsid w:val="00800C01"/>
    <w:rsid w:val="00812CC2"/>
    <w:rsid w:val="008333FA"/>
    <w:rsid w:val="00846DD9"/>
    <w:rsid w:val="00857E34"/>
    <w:rsid w:val="00861EE7"/>
    <w:rsid w:val="00874F0C"/>
    <w:rsid w:val="00884847"/>
    <w:rsid w:val="00894BD1"/>
    <w:rsid w:val="0089596B"/>
    <w:rsid w:val="008A145E"/>
    <w:rsid w:val="008B1F6E"/>
    <w:rsid w:val="008B66A8"/>
    <w:rsid w:val="008C2260"/>
    <w:rsid w:val="008C5F71"/>
    <w:rsid w:val="008E5BE6"/>
    <w:rsid w:val="0093200E"/>
    <w:rsid w:val="00945198"/>
    <w:rsid w:val="00956B37"/>
    <w:rsid w:val="00982B80"/>
    <w:rsid w:val="009A0789"/>
    <w:rsid w:val="009A1E8A"/>
    <w:rsid w:val="009C387E"/>
    <w:rsid w:val="009C4509"/>
    <w:rsid w:val="009D1371"/>
    <w:rsid w:val="009E7F0C"/>
    <w:rsid w:val="009F7B1E"/>
    <w:rsid w:val="00A01F30"/>
    <w:rsid w:val="00A10A22"/>
    <w:rsid w:val="00A2512A"/>
    <w:rsid w:val="00A4428B"/>
    <w:rsid w:val="00A51324"/>
    <w:rsid w:val="00A528D5"/>
    <w:rsid w:val="00A92B99"/>
    <w:rsid w:val="00A939D4"/>
    <w:rsid w:val="00A95CB5"/>
    <w:rsid w:val="00AA12D7"/>
    <w:rsid w:val="00AB2419"/>
    <w:rsid w:val="00AB2C25"/>
    <w:rsid w:val="00AD5188"/>
    <w:rsid w:val="00AF0728"/>
    <w:rsid w:val="00AF5A37"/>
    <w:rsid w:val="00B415FC"/>
    <w:rsid w:val="00B4191A"/>
    <w:rsid w:val="00B54EB2"/>
    <w:rsid w:val="00B64E7D"/>
    <w:rsid w:val="00B6708C"/>
    <w:rsid w:val="00B85997"/>
    <w:rsid w:val="00B96322"/>
    <w:rsid w:val="00BB3FBA"/>
    <w:rsid w:val="00BB7F92"/>
    <w:rsid w:val="00BC0711"/>
    <w:rsid w:val="00BC4395"/>
    <w:rsid w:val="00BC6D12"/>
    <w:rsid w:val="00BD0EFE"/>
    <w:rsid w:val="00BD3328"/>
    <w:rsid w:val="00C050E6"/>
    <w:rsid w:val="00C075C5"/>
    <w:rsid w:val="00C200CC"/>
    <w:rsid w:val="00C20C9A"/>
    <w:rsid w:val="00C21786"/>
    <w:rsid w:val="00C26686"/>
    <w:rsid w:val="00C476B9"/>
    <w:rsid w:val="00C57CC0"/>
    <w:rsid w:val="00C80403"/>
    <w:rsid w:val="00C8203B"/>
    <w:rsid w:val="00CA2413"/>
    <w:rsid w:val="00CA7EB6"/>
    <w:rsid w:val="00CB27CF"/>
    <w:rsid w:val="00CB550F"/>
    <w:rsid w:val="00CB66A0"/>
    <w:rsid w:val="00D044D3"/>
    <w:rsid w:val="00D05E7C"/>
    <w:rsid w:val="00D145C6"/>
    <w:rsid w:val="00D52001"/>
    <w:rsid w:val="00D61F66"/>
    <w:rsid w:val="00D7481E"/>
    <w:rsid w:val="00D9788D"/>
    <w:rsid w:val="00DA35FB"/>
    <w:rsid w:val="00DC52D0"/>
    <w:rsid w:val="00DD0513"/>
    <w:rsid w:val="00DD392C"/>
    <w:rsid w:val="00DE474D"/>
    <w:rsid w:val="00DF1F1F"/>
    <w:rsid w:val="00DF2B38"/>
    <w:rsid w:val="00E00F2D"/>
    <w:rsid w:val="00E07BD6"/>
    <w:rsid w:val="00E13B14"/>
    <w:rsid w:val="00E23753"/>
    <w:rsid w:val="00E4288C"/>
    <w:rsid w:val="00E522D0"/>
    <w:rsid w:val="00E82FCF"/>
    <w:rsid w:val="00E87FB3"/>
    <w:rsid w:val="00E9218C"/>
    <w:rsid w:val="00EA6F22"/>
    <w:rsid w:val="00EB23E0"/>
    <w:rsid w:val="00EB2702"/>
    <w:rsid w:val="00ED3CDA"/>
    <w:rsid w:val="00EE11C6"/>
    <w:rsid w:val="00EE4A3E"/>
    <w:rsid w:val="00F04638"/>
    <w:rsid w:val="00F10FE3"/>
    <w:rsid w:val="00F236BD"/>
    <w:rsid w:val="00F70903"/>
    <w:rsid w:val="00F837E5"/>
    <w:rsid w:val="00FB35F5"/>
    <w:rsid w:val="00FC45B7"/>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 w:type="character" w:styleId="af9">
    <w:name w:val="Unresolved Mention"/>
    <w:basedOn w:val="a0"/>
    <w:uiPriority w:val="99"/>
    <w:semiHidden/>
    <w:unhideWhenUsed/>
    <w:rsid w:val="00F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FF25A990-03DD-4450-9CF0-63C9F844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23</Pages>
  <Words>8665</Words>
  <Characters>49397</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莫毅韬</cp:lastModifiedBy>
  <cp:revision>107</cp:revision>
  <cp:lastPrinted>1900-12-31T23:00:00Z</cp:lastPrinted>
  <dcterms:created xsi:type="dcterms:W3CDTF">2021-05-06T14:48:00Z</dcterms:created>
  <dcterms:modified xsi:type="dcterms:W3CDTF">2021-05-07T03:09:00Z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