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222][</w:t>
      </w:r>
      <w:proofErr w:type="gramEnd"/>
      <w:r w:rsidR="00F90E38" w:rsidRPr="00F90E38">
        <w:rPr>
          <w:rFonts w:ascii="Arial" w:hAnsi="Arial" w:cs="Arial"/>
          <w:b/>
          <w:bCs/>
          <w:sz w:val="24"/>
        </w:rPr>
        <w:t>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w:t>
      </w:r>
      <w:proofErr w:type="gramStart"/>
      <w:r>
        <w:t>222][</w:t>
      </w:r>
      <w:proofErr w:type="gramEnd"/>
      <w:r>
        <w:t>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w:t>
            </w:r>
            <w:proofErr w:type="spellStart"/>
            <w:r>
              <w:rPr>
                <w:rFonts w:eastAsia="Malgun Gothic" w:hint="eastAsia"/>
                <w:lang w:eastAsia="ko-KR"/>
              </w:rPr>
              <w:t>Jeong</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proofErr w:type="spellStart"/>
            <w:r>
              <w:rPr>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 xml:space="preserve">Katsunari </w:t>
            </w:r>
            <w:proofErr w:type="spellStart"/>
            <w:r>
              <w:rPr>
                <w:rFonts w:hint="eastAsia"/>
                <w:lang w:eastAsia="ja-JP"/>
              </w:rPr>
              <w:t>Uemura</w:t>
            </w:r>
            <w:proofErr w:type="spellEnd"/>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proofErr w:type="spellStart"/>
            <w:proofErr w:type="gramStart"/>
            <w:r>
              <w:rPr>
                <w:rFonts w:hint="eastAsia"/>
                <w:lang w:eastAsia="ja-JP"/>
              </w:rPr>
              <w:t>katsunari.uemura</w:t>
            </w:r>
            <w:proofErr w:type="spellEnd"/>
            <w:proofErr w:type="gramEnd"/>
            <w:r>
              <w:rPr>
                <w:rFonts w:hint="eastAsia"/>
                <w:lang w:eastAsia="ja-JP"/>
              </w:rPr>
              <w:t xml:space="preserve"> at g.softbank.co.jp</w:t>
            </w:r>
          </w:p>
        </w:tc>
      </w:tr>
      <w:tr w:rsidR="009A4C1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9A4C1F" w:rsidRDefault="009A4C1F" w:rsidP="009A4C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9A4C1F" w:rsidRDefault="009A4C1F" w:rsidP="009A4C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9A4C1F" w:rsidRDefault="009A4C1F" w:rsidP="009A4C1F">
            <w:pPr>
              <w:pStyle w:val="TAC"/>
              <w:spacing w:before="20" w:after="20"/>
              <w:ind w:left="57" w:right="57"/>
              <w:jc w:val="left"/>
              <w:rPr>
                <w:lang w:eastAsia="zh-CN"/>
              </w:rPr>
            </w:pPr>
          </w:p>
        </w:tc>
      </w:tr>
      <w:tr w:rsidR="009A4C1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9A4C1F" w:rsidRDefault="009A4C1F" w:rsidP="009A4C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9A4C1F" w:rsidRDefault="009A4C1F" w:rsidP="009A4C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9A4C1F" w:rsidRDefault="009A4C1F" w:rsidP="009A4C1F">
            <w:pPr>
              <w:pStyle w:val="TAC"/>
              <w:spacing w:before="20" w:after="20"/>
              <w:ind w:left="57" w:right="57"/>
              <w:jc w:val="left"/>
              <w:rPr>
                <w:lang w:eastAsia="zh-CN"/>
              </w:rPr>
            </w:pPr>
          </w:p>
        </w:tc>
      </w:tr>
      <w:tr w:rsidR="009A4C1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9A4C1F" w:rsidRDefault="009A4C1F" w:rsidP="009A4C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9A4C1F" w:rsidRDefault="009A4C1F" w:rsidP="009A4C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9A4C1F" w:rsidRDefault="009A4C1F" w:rsidP="009A4C1F">
            <w:pPr>
              <w:pStyle w:val="TAC"/>
              <w:spacing w:before="20" w:after="20"/>
              <w:ind w:left="57" w:right="57"/>
              <w:jc w:val="left"/>
              <w:rPr>
                <w:lang w:eastAsia="zh-CN"/>
              </w:rPr>
            </w:pPr>
          </w:p>
        </w:tc>
      </w:tr>
      <w:tr w:rsidR="009A4C1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9A4C1F" w:rsidRDefault="009A4C1F" w:rsidP="009A4C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9A4C1F" w:rsidRDefault="009A4C1F" w:rsidP="009A4C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9A4C1F" w:rsidRDefault="009A4C1F" w:rsidP="009A4C1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3"/>
        <w:rPr>
          <w:rFonts w:eastAsia="ＭＳ 明朝"/>
          <w:i/>
          <w:iCs/>
        </w:rPr>
      </w:pPr>
      <w:r w:rsidRPr="006B62F9">
        <w:rPr>
          <w:rFonts w:eastAsia="ＭＳ 明朝"/>
          <w:i/>
          <w:iCs/>
        </w:rPr>
        <w:lastRenderedPageBreak/>
        <w:t>3.6</w:t>
      </w:r>
      <w:r w:rsidRPr="006B62F9">
        <w:rPr>
          <w:rFonts w:eastAsia="ＭＳ 明朝"/>
          <w:i/>
          <w:iCs/>
        </w:rPr>
        <w:tab/>
        <w:t>Summary from Final Round</w:t>
      </w:r>
    </w:p>
    <w:p w14:paraId="0C42DBD8" w14:textId="77777777" w:rsidR="00A14854" w:rsidRPr="006B62F9" w:rsidRDefault="00A14854" w:rsidP="00A14854">
      <w:pPr>
        <w:rPr>
          <w:rFonts w:eastAsia="ＭＳ 明朝"/>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ab"/>
        <w:numPr>
          <w:ilvl w:val="0"/>
          <w:numId w:val="10"/>
        </w:numPr>
        <w:rPr>
          <w:i/>
          <w:iCs/>
        </w:rPr>
      </w:pPr>
      <w:r w:rsidRPr="006B62F9">
        <w:rPr>
          <w:i/>
          <w:iCs/>
        </w:rPr>
        <w:t>The RAN2 endorsed CRs (</w:t>
      </w:r>
      <w:hyperlink r:id="rId10" w:history="1">
        <w:r>
          <w:rPr>
            <w:rStyle w:val="a6"/>
            <w:i/>
            <w:iCs/>
          </w:rPr>
          <w:t>R2-2102210</w:t>
        </w:r>
      </w:hyperlink>
      <w:r>
        <w:rPr>
          <w:i/>
          <w:iCs/>
        </w:rPr>
        <w:t xml:space="preserve"> </w:t>
      </w:r>
      <w:r w:rsidRPr="006B62F9">
        <w:rPr>
          <w:i/>
          <w:iCs/>
        </w:rPr>
        <w:t xml:space="preserve">and </w:t>
      </w:r>
      <w:hyperlink r:id="rId11" w:history="1">
        <w:r>
          <w:rPr>
            <w:rStyle w:val="a6"/>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ab"/>
        <w:numPr>
          <w:ilvl w:val="0"/>
          <w:numId w:val="10"/>
        </w:numPr>
        <w:rPr>
          <w:i/>
          <w:iCs/>
        </w:rPr>
      </w:pPr>
      <w:r w:rsidRPr="006B62F9">
        <w:rPr>
          <w:i/>
          <w:iCs/>
        </w:rPr>
        <w:t xml:space="preserve">RAN4 are tasked to consider this topic (as described in RAN2 LS </w:t>
      </w:r>
      <w:hyperlink r:id="rId12" w:history="1">
        <w:r>
          <w:rPr>
            <w:rStyle w:val="a6"/>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ab"/>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a6"/>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w:t>
      </w:r>
      <w:proofErr w:type="gramStart"/>
      <w:r w:rsidRPr="006916E8">
        <w:rPr>
          <w:rFonts w:ascii="Arial" w:hAnsi="Arial" w:cs="Arial"/>
          <w:i/>
          <w:iCs/>
          <w:color w:val="000000"/>
          <w:lang w:eastAsia="ko-KR"/>
        </w:rPr>
        <w:t>are able to</w:t>
      </w:r>
      <w:proofErr w:type="gramEnd"/>
      <w:r w:rsidRPr="006916E8">
        <w:rPr>
          <w:rFonts w:ascii="Arial" w:hAnsi="Arial" w:cs="Arial"/>
          <w:i/>
          <w:iCs/>
          <w:color w:val="000000"/>
          <w:lang w:eastAsia="ko-KR"/>
        </w:rPr>
        <w:t xml:space="preserve">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w:t>
            </w:r>
            <w:proofErr w:type="gramStart"/>
            <w:r>
              <w:rPr>
                <w:lang w:eastAsia="zh-CN"/>
              </w:rPr>
              <w:t>manner</w:t>
            </w:r>
            <w:proofErr w:type="gramEnd"/>
            <w:r>
              <w:rPr>
                <w:lang w:eastAsia="zh-CN"/>
              </w:rPr>
              <w:t xml:space="preserve">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 xml:space="preserve">The RAN4 LS clearly indicates that we can expect the need to support &gt;5 bands </w:t>
            </w:r>
            <w:proofErr w:type="gramStart"/>
            <w:r>
              <w:rPr>
                <w:lang w:eastAsia="zh-CN"/>
              </w:rPr>
              <w:t>in the near future</w:t>
            </w:r>
            <w:proofErr w:type="gramEnd"/>
            <w:r>
              <w:rPr>
                <w:lang w:eastAsia="zh-CN"/>
              </w:rPr>
              <w:t>.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w:t>
            </w:r>
            <w:proofErr w:type="gramStart"/>
            <w:r>
              <w:rPr>
                <w:lang w:eastAsia="zh-CN"/>
              </w:rPr>
              <w:t>definitely needed</w:t>
            </w:r>
            <w:proofErr w:type="gramEnd"/>
            <w:r>
              <w:rPr>
                <w:lang w:eastAsia="zh-CN"/>
              </w:rPr>
              <w:t xml:space="preserve">.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w:t>
            </w:r>
            <w:proofErr w:type="gramStart"/>
            <w:r w:rsidR="00C50250">
              <w:rPr>
                <w:lang w:eastAsia="zh-CN"/>
              </w:rPr>
              <w:t>is</w:t>
            </w:r>
            <w:proofErr w:type="gramEnd"/>
            <w:r w:rsidR="00C50250">
              <w:rPr>
                <w:lang w:eastAsia="zh-CN"/>
              </w:rPr>
              <w:t xml:space="preserve"> already supported for FR1+FR2 NR-DC</w:t>
            </w:r>
            <w:r w:rsidR="00EE2E91">
              <w:rPr>
                <w:lang w:eastAsia="zh-CN"/>
              </w:rPr>
              <w:t xml:space="preserve">. </w:t>
            </w:r>
            <w:proofErr w:type="gramStart"/>
            <w:r w:rsidR="00EE2E91">
              <w:rPr>
                <w:lang w:eastAsia="zh-CN"/>
              </w:rPr>
              <w:t>So</w:t>
            </w:r>
            <w:proofErr w:type="gramEnd"/>
            <w:r w:rsidR="00EE2E91">
              <w:rPr>
                <w:lang w:eastAsia="zh-CN"/>
              </w:rPr>
              <w:t xml:space="preserve">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 xml:space="preserve">the </w:t>
            </w:r>
            <w:proofErr w:type="spellStart"/>
            <w:r>
              <w:rPr>
                <w:lang w:val="en-US" w:eastAsia="ja-JP"/>
              </w:rPr>
              <w:t>refarming</w:t>
            </w:r>
            <w:proofErr w:type="spellEnd"/>
            <w:r>
              <w:rPr>
                <w:lang w:val="en-US" w:eastAsia="ja-JP"/>
              </w:rPr>
              <w:t xml:space="preserve"> band from LTE, it would be important to use more than 5 bands NR-DC combination in the very near-term. Therefore, it is preferred the UE capability related to band combination should be defined as release independent manner.</w:t>
            </w: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 xml:space="preserve">So </w:t>
      </w:r>
      <w:proofErr w:type="gramStart"/>
      <w:r>
        <w:rPr>
          <w:rFonts w:ascii="Arial" w:hAnsi="Arial" w:cs="Arial"/>
          <w:color w:val="000000"/>
          <w:lang w:eastAsia="ko-KR"/>
        </w:rPr>
        <w:t>basically</w:t>
      </w:r>
      <w:proofErr w:type="gramEnd"/>
      <w:r>
        <w:rPr>
          <w:rFonts w:ascii="Arial" w:hAnsi="Arial" w:cs="Arial"/>
          <w:color w:val="000000"/>
          <w:lang w:eastAsia="ko-KR"/>
        </w:rPr>
        <w:t xml:space="preserve">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lastRenderedPageBreak/>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w:t>
            </w:r>
            <w:proofErr w:type="gramStart"/>
            <w:r w:rsidR="00323E08">
              <w:rPr>
                <w:lang w:eastAsia="zh-CN"/>
              </w:rPr>
              <w:t>revis</w:t>
            </w:r>
            <w:r w:rsidR="0003619D">
              <w:rPr>
                <w:lang w:eastAsia="zh-CN"/>
              </w:rPr>
              <w:t>ion</w:t>
            </w:r>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 xml:space="preserve">it is not clear how to indicate cell grouping within one frequency band, </w:t>
            </w:r>
            <w:proofErr w:type="gramStart"/>
            <w:r w:rsidRPr="00B67EB4">
              <w:rPr>
                <w:lang w:eastAsia="zh-CN"/>
              </w:rPr>
              <w:t>e.g.</w:t>
            </w:r>
            <w:proofErr w:type="gramEnd"/>
            <w:r w:rsidRPr="00B67EB4">
              <w:rPr>
                <w:lang w:eastAsia="zh-CN"/>
              </w:rPr>
              <w:t xml:space="preserve">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 xml:space="preserve">to indicate the cell grouping capability </w:t>
            </w:r>
            <w:proofErr w:type="gramStart"/>
            <w:r w:rsidRPr="00063DC8">
              <w:rPr>
                <w:rFonts w:cs="Arial"/>
                <w:bCs/>
                <w:i/>
                <w:iCs/>
                <w:lang w:val="en-US" w:eastAsia="zh-CN"/>
              </w:rPr>
              <w:t>explicitly</w:t>
            </w:r>
            <w:r w:rsidRPr="006916E8">
              <w:rPr>
                <w:rFonts w:cs="Arial"/>
                <w:bCs/>
                <w:i/>
                <w:iCs/>
                <w:lang w:val="en-US" w:eastAsia="zh-CN"/>
              </w:rPr>
              <w:t>.</w:t>
            </w:r>
            <w:r w:rsidRPr="006916E8">
              <w:rPr>
                <w:b/>
                <w:i/>
                <w:iCs/>
                <w:lang w:val="en-US" w:eastAsia="zh-CN"/>
              </w:rPr>
              <w:t xml:space="preserve">  </w:t>
            </w:r>
            <w:r>
              <w:rPr>
                <w:lang w:eastAsia="zh-CN"/>
              </w:rPr>
              <w:t>”</w:t>
            </w:r>
            <w:proofErr w:type="gramEnd"/>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 xml:space="preserve">Question </w:t>
      </w:r>
      <w:proofErr w:type="gramStart"/>
      <w:r>
        <w:rPr>
          <w:b/>
          <w:bCs/>
        </w:rPr>
        <w:t>3</w:t>
      </w:r>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proofErr w:type="gramStart"/>
            <w:r w:rsidR="005F5D29">
              <w:rPr>
                <w:lang w:eastAsia="zh-CN"/>
              </w:rPr>
              <w:t>In order to</w:t>
            </w:r>
            <w:proofErr w:type="gramEnd"/>
            <w:r w:rsidR="005F5D29">
              <w:rPr>
                <w:lang w:eastAsia="zh-CN"/>
              </w:rPr>
              <w:t xml:space="preserve">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w:t>
            </w:r>
            <w:proofErr w:type="gramStart"/>
            <w:r>
              <w:rPr>
                <w:lang w:eastAsia="zh-CN"/>
              </w:rPr>
              <w:t>in order to</w:t>
            </w:r>
            <w:proofErr w:type="gramEnd"/>
            <w:r>
              <w:rPr>
                <w:lang w:eastAsia="zh-CN"/>
              </w:rPr>
              <w:t xml:space="preserve">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w:t>
            </w:r>
            <w:proofErr w:type="gramStart"/>
            <w:r>
              <w:rPr>
                <w:lang w:eastAsia="zh-CN"/>
              </w:rPr>
              <w:t>supported</w:t>
            </w:r>
            <w:proofErr w:type="gramEnd"/>
            <w:r>
              <w:rPr>
                <w:lang w:eastAsia="zh-CN"/>
              </w:rPr>
              <w:t xml:space="preserve">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w:t>
            </w:r>
            <w:proofErr w:type="gramStart"/>
            <w:r w:rsidR="0087794B">
              <w:rPr>
                <w:lang w:eastAsia="zh-CN"/>
              </w:rPr>
              <w:t>Thus</w:t>
            </w:r>
            <w:proofErr w:type="gramEnd"/>
            <w:r w:rsidR="0087794B">
              <w:rPr>
                <w:lang w:eastAsia="zh-CN"/>
              </w:rPr>
              <w:t xml:space="preserve">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w:t>
            </w:r>
            <w:proofErr w:type="gramStart"/>
            <w:r w:rsidR="000C19BC">
              <w:rPr>
                <w:lang w:eastAsia="zh-CN"/>
              </w:rPr>
              <w:t>e.g.</w:t>
            </w:r>
            <w:proofErr w:type="gramEnd"/>
            <w:r w:rsidR="000C19BC">
              <w:rPr>
                <w:lang w:eastAsia="zh-CN"/>
              </w:rPr>
              <w:t xml:space="preserve"> as described in </w:t>
            </w:r>
            <w:hyperlink r:id="rId14" w:history="1">
              <w:r w:rsidR="0041499C">
                <w:rPr>
                  <w:rStyle w:val="a6"/>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a6"/>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a6"/>
                  <w:lang w:eastAsia="zh-CN"/>
                </w:rPr>
                <w:t>R2-2103273</w:t>
              </w:r>
            </w:hyperlink>
            <w:r>
              <w:rPr>
                <w:rStyle w:val="a6"/>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a6"/>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w:t>
            </w:r>
            <w:proofErr w:type="gramStart"/>
            <w:r>
              <w:rPr>
                <w:lang w:eastAsia="zh-CN"/>
              </w:rPr>
              <w:t>cell</w:t>
            </w:r>
            <w:proofErr w:type="gramEnd"/>
            <w:r>
              <w:rPr>
                <w:lang w:eastAsia="zh-CN"/>
              </w:rPr>
              <w:t xml:space="preserve">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 xml:space="preserve">it is still not possible for UE to indicate which cell group it </w:t>
            </w:r>
            <w:proofErr w:type="gramStart"/>
            <w:r w:rsidR="00240EFA">
              <w:rPr>
                <w:lang w:eastAsia="zh-CN"/>
              </w:rPr>
              <w:t>support</w:t>
            </w:r>
            <w:proofErr w:type="gramEnd"/>
            <w:r w:rsidR="00240EFA">
              <w:rPr>
                <w:lang w:eastAsia="zh-CN"/>
              </w:rPr>
              <w:t xml:space="preserve">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a6"/>
                  <w:lang w:eastAsia="zh-CN"/>
                </w:rPr>
                <w:t>R2-2101091</w:t>
              </w:r>
            </w:hyperlink>
            <w:r>
              <w:rPr>
                <w:color w:val="2E74B5" w:themeColor="accent1" w:themeShade="BF"/>
                <w:lang w:eastAsia="zh-CN"/>
              </w:rPr>
              <w:t>, network filtering could be either cell group agnostic or cell group specific (</w:t>
            </w:r>
            <w:proofErr w:type="gramStart"/>
            <w:r>
              <w:rPr>
                <w:color w:val="2E74B5" w:themeColor="accent1" w:themeShade="BF"/>
                <w:lang w:eastAsia="zh-CN"/>
              </w:rPr>
              <w:t>i.e.</w:t>
            </w:r>
            <w:proofErr w:type="gramEnd"/>
            <w:r>
              <w:rPr>
                <w:color w:val="2E74B5" w:themeColor="accent1" w:themeShade="BF"/>
                <w:lang w:eastAsia="zh-CN"/>
              </w:rPr>
              <w:t xml:space="preserv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ad"/>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w:t>
            </w:r>
          </w:p>
          <w:p w14:paraId="65457BD5"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w:t>
            </w:r>
          </w:p>
          <w:p w14:paraId="176DCC5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p>
          <w:p w14:paraId="049E2B1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w:t>
            </w:r>
          </w:p>
          <w:p w14:paraId="42E737E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w:t>
            </w:r>
          </w:p>
          <w:p w14:paraId="32502E5C"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w:t>
            </w:r>
          </w:p>
          <w:p w14:paraId="68DDFF2E"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n78}</w:t>
            </w:r>
          </w:p>
          <w:p w14:paraId="27936E8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n78}</w:t>
            </w:r>
          </w:p>
          <w:p w14:paraId="4659CCAA"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w:t>
            </w:r>
            <w:proofErr w:type="gramStart"/>
            <w:r w:rsidR="00897AF2">
              <w:rPr>
                <w:lang w:eastAsia="zh-CN"/>
              </w:rPr>
              <w:t>indicates</w:t>
            </w:r>
            <w:proofErr w:type="gramEnd"/>
            <w:r w:rsidR="00897AF2">
              <w:rPr>
                <w:lang w:eastAsia="zh-CN"/>
              </w:rPr>
              <w:t xml:space="preserve">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proofErr w:type="gramStart"/>
            <w:r w:rsidR="00897AF2">
              <w:rPr>
                <w:lang w:eastAsia="zh-CN"/>
              </w:rPr>
              <w:t>loose</w:t>
            </w:r>
            <w:proofErr w:type="spellEnd"/>
            <w:proofErr w:type="gram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19" w:history="1">
              <w:r w:rsidRPr="00FC4F14">
                <w:rPr>
                  <w:rStyle w:val="a6"/>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ad"/>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 n257, n258, n260, n261}</w:t>
            </w:r>
          </w:p>
          <w:p w14:paraId="735C59C6"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 n257, n258, n260, n261}</w:t>
            </w:r>
          </w:p>
          <w:p w14:paraId="68AA05AA"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n257, n258, n260, n261}</w:t>
            </w:r>
          </w:p>
          <w:p w14:paraId="12F2AD97" w14:textId="41C2A7DB" w:rsidR="00223ABA" w:rsidRPr="00223ABA" w:rsidRDefault="00223ABA" w:rsidP="00223ABA">
            <w:pPr>
              <w:pStyle w:val="ad"/>
              <w:rPr>
                <w:color w:val="2E74B5" w:themeColor="accent1" w:themeShade="BF"/>
                <w:sz w:val="18"/>
                <w:szCs w:val="18"/>
              </w:rPr>
            </w:pPr>
            <w:r w:rsidRPr="00223ABA">
              <w:rPr>
                <w:color w:val="2E74B5" w:themeColor="accent1" w:themeShade="BF"/>
                <w:sz w:val="18"/>
                <w:szCs w:val="18"/>
              </w:rPr>
              <w:t xml:space="preserve">For each reported band combination supporting NR-DC, the UE then indicates which of the </w:t>
            </w:r>
            <w:proofErr w:type="spellStart"/>
            <w:r w:rsidRPr="00223ABA">
              <w:rPr>
                <w:color w:val="2E74B5" w:themeColor="accent1" w:themeShade="BF"/>
                <w:sz w:val="18"/>
                <w:szCs w:val="18"/>
              </w:rPr>
              <w:t>requestedCellGroupings</w:t>
            </w:r>
            <w:proofErr w:type="spellEnd"/>
            <w:r w:rsidRPr="00223ABA">
              <w:rPr>
                <w:color w:val="2E74B5" w:themeColor="accent1" w:themeShade="BF"/>
                <w:sz w:val="18"/>
                <w:szCs w:val="18"/>
              </w:rPr>
              <w:t xml:space="preserve">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a6"/>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w:t>
            </w:r>
            <w:proofErr w:type="gramStart"/>
            <w:r w:rsidR="005F301C">
              <w:rPr>
                <w:color w:val="2E74B5" w:themeColor="accent1" w:themeShade="BF"/>
                <w:sz w:val="18"/>
                <w:szCs w:val="18"/>
              </w:rPr>
              <w:t>network</w:t>
            </w:r>
            <w:proofErr w:type="gramEnd"/>
            <w:r w:rsidR="005F301C">
              <w:rPr>
                <w:color w:val="2E74B5" w:themeColor="accent1" w:themeShade="BF"/>
                <w:sz w:val="18"/>
                <w:szCs w:val="18"/>
              </w:rPr>
              <w:t xml:space="preserve">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 xml:space="preserve">Alike ZTE, we think the RAN2 endorsed CRs are sufficient, at least for R16. We furthermore think that there is no good solution available for the cases that may need to be supported in future. </w:t>
            </w:r>
            <w:proofErr w:type="gramStart"/>
            <w:r>
              <w:rPr>
                <w:lang w:eastAsia="ja-JP"/>
              </w:rPr>
              <w:t>Hence</w:t>
            </w:r>
            <w:proofErr w:type="gramEnd"/>
            <w:r>
              <w:rPr>
                <w:lang w:eastAsia="ja-JP"/>
              </w:rPr>
              <w:t xml:space="preserv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w:t>
            </w:r>
            <w:proofErr w:type="gramStart"/>
            <w:r w:rsidRPr="00C478AD">
              <w:rPr>
                <w:rFonts w:ascii="Arial" w:eastAsia="Malgun Gothic" w:hAnsi="Arial"/>
                <w:sz w:val="18"/>
                <w:szCs w:val="20"/>
                <w:lang w:val="en-GB"/>
              </w:rPr>
              <w:t>i.e.</w:t>
            </w:r>
            <w:proofErr w:type="gramEnd"/>
            <w:r w:rsidRPr="00C478AD">
              <w:rPr>
                <w:rFonts w:ascii="Arial" w:eastAsia="Malgun Gothic" w:hAnsi="Arial"/>
                <w:sz w:val="18"/>
                <w:szCs w:val="20"/>
                <w:lang w:val="en-GB"/>
              </w:rPr>
              <w:t xml:space="preserv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w:t>
            </w:r>
            <w:proofErr w:type="gramStart"/>
            <w:r w:rsidR="007E3F4A">
              <w:rPr>
                <w:rFonts w:ascii="Arial" w:eastAsia="Malgun Gothic" w:hAnsi="Arial"/>
                <w:sz w:val="18"/>
                <w:szCs w:val="20"/>
                <w:lang w:val="en-GB"/>
              </w:rPr>
              <w:t>in the near future</w:t>
            </w:r>
            <w:proofErr w:type="gramEnd"/>
            <w:r w:rsidR="007E3F4A">
              <w:rPr>
                <w:rFonts w:ascii="Arial" w:eastAsia="Malgun Gothic" w:hAnsi="Arial"/>
                <w:sz w:val="18"/>
                <w:szCs w:val="20"/>
                <w:lang w:val="en-GB"/>
              </w:rPr>
              <w:t xml:space="preserv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w:t>
            </w:r>
            <w:proofErr w:type="gramStart"/>
            <w:r>
              <w:rPr>
                <w:lang w:eastAsia="zh-CN"/>
              </w:rPr>
              <w:t>i.e.</w:t>
            </w:r>
            <w:proofErr w:type="gramEnd"/>
            <w:r>
              <w:rPr>
                <w:lang w:eastAsia="zh-CN"/>
              </w:rPr>
              <w:t xml:space="preserv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 xml:space="preserve">2, network filtering: well, this solution can help reduce reported number of </w:t>
            </w:r>
            <w:proofErr w:type="gramStart"/>
            <w:r>
              <w:rPr>
                <w:lang w:eastAsia="zh-CN"/>
              </w:rPr>
              <w:t>group</w:t>
            </w:r>
            <w:proofErr w:type="gramEnd"/>
            <w:r>
              <w:rPr>
                <w:lang w:eastAsia="zh-CN"/>
              </w:rPr>
              <w:t xml:space="preserve">, but like </w:t>
            </w:r>
            <w:proofErr w:type="spellStart"/>
            <w:r>
              <w:rPr>
                <w:lang w:eastAsia="zh-CN"/>
              </w:rPr>
              <w:t>Mediatek</w:t>
            </w:r>
            <w:proofErr w:type="spellEnd"/>
            <w:r>
              <w:rPr>
                <w:lang w:eastAsia="zh-CN"/>
              </w:rPr>
              <w:t xml:space="preserve"> point it out, UE still need report detail grouping information. From signalling point of view solution should get ready for the worst case </w:t>
            </w:r>
            <w:proofErr w:type="gramStart"/>
            <w:r>
              <w:rPr>
                <w:lang w:eastAsia="zh-CN"/>
              </w:rPr>
              <w:t>i.e.</w:t>
            </w:r>
            <w:proofErr w:type="gramEnd"/>
            <w:r>
              <w:rPr>
                <w:lang w:eastAsia="zh-CN"/>
              </w:rPr>
              <w:t xml:space="preserve"> without any filtering. </w:t>
            </w:r>
            <w:proofErr w:type="gramStart"/>
            <w:r>
              <w:rPr>
                <w:lang w:eastAsia="zh-CN"/>
              </w:rPr>
              <w:t>So</w:t>
            </w:r>
            <w:proofErr w:type="gramEnd"/>
            <w:r>
              <w:rPr>
                <w:lang w:eastAsia="zh-CN"/>
              </w:rPr>
              <w:t xml:space="preserve">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a6"/>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it is</w:t>
            </w:r>
            <w:r w:rsidR="00000D58">
              <w:rPr>
                <w:lang w:eastAsia="zh-CN"/>
              </w:rPr>
              <w:t xml:space="preserve"> up to RAN4 decision</w:t>
            </w:r>
            <w:r w:rsidR="00000D58">
              <w:rPr>
                <w:lang w:eastAsia="zh-CN"/>
              </w:rPr>
              <w:t xml:space="preserve">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Pr="009A4C1F"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3BDED" w14:textId="77777777" w:rsidR="00303D00" w:rsidRDefault="00303D00">
      <w:r>
        <w:separator/>
      </w:r>
    </w:p>
  </w:endnote>
  <w:endnote w:type="continuationSeparator" w:id="0">
    <w:p w14:paraId="53137D95" w14:textId="77777777" w:rsidR="00303D00" w:rsidRDefault="00303D00">
      <w:r>
        <w:continuationSeparator/>
      </w:r>
    </w:p>
  </w:endnote>
  <w:endnote w:type="continuationNotice" w:id="1">
    <w:p w14:paraId="138A93BF" w14:textId="77777777" w:rsidR="00303D00" w:rsidRDefault="00303D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A7C11" w14:textId="77777777" w:rsidR="00303D00" w:rsidRDefault="00303D00">
      <w:r>
        <w:separator/>
      </w:r>
    </w:p>
  </w:footnote>
  <w:footnote w:type="continuationSeparator" w:id="0">
    <w:p w14:paraId="5BD700B1" w14:textId="77777777" w:rsidR="00303D00" w:rsidRDefault="00303D00">
      <w:r>
        <w:continuationSeparator/>
      </w:r>
    </w:p>
  </w:footnote>
  <w:footnote w:type="continuationNotice" w:id="1">
    <w:p w14:paraId="278615B8" w14:textId="77777777" w:rsidR="00303D00" w:rsidRDefault="00303D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D58"/>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03D00"/>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43D"/>
    <w:rsid w:val="00893C9D"/>
    <w:rsid w:val="00897AF2"/>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8A9"/>
    <w:rsid w:val="009A0AF3"/>
    <w:rsid w:val="009A4C1F"/>
    <w:rsid w:val="009B07CD"/>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6F69"/>
    <w:rsid w:val="00A9671C"/>
    <w:rsid w:val="00AA1553"/>
    <w:rsid w:val="00AB0A33"/>
    <w:rsid w:val="00AB0D5D"/>
    <w:rsid w:val="00AC44C4"/>
    <w:rsid w:val="00AF4CCE"/>
    <w:rsid w:val="00AF5211"/>
    <w:rsid w:val="00B05380"/>
    <w:rsid w:val="00B05962"/>
    <w:rsid w:val="00B06756"/>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locked/>
    <w:rsid w:val="00D53829"/>
    <w:rPr>
      <w:rFonts w:ascii="Arial" w:eastAsia="ＭＳ 明朝" w:hAnsi="Arial" w:cs="Arial"/>
      <w:szCs w:val="24"/>
    </w:rPr>
  </w:style>
  <w:style w:type="paragraph" w:customStyle="1" w:styleId="Doc-text2">
    <w:name w:val="Doc-text2"/>
    <w:basedOn w:val="a"/>
    <w:link w:val="Doc-text2Char"/>
    <w:qFormat/>
    <w:rsid w:val="00D53829"/>
    <w:pPr>
      <w:tabs>
        <w:tab w:val="left" w:pos="1622"/>
      </w:tabs>
      <w:spacing w:after="0"/>
      <w:ind w:left="1622" w:hanging="363"/>
    </w:pPr>
    <w:rPr>
      <w:rFonts w:ascii="Arial" w:eastAsia="ＭＳ 明朝" w:hAnsi="Arial" w:cs="Arial"/>
      <w:szCs w:val="24"/>
      <w:lang w:eastAsia="en-GB"/>
    </w:rPr>
  </w:style>
  <w:style w:type="character" w:customStyle="1" w:styleId="30">
    <w:name w:val="見出し 3 (文字)"/>
    <w:basedOn w:val="a0"/>
    <w:link w:val="3"/>
    <w:rsid w:val="00A14854"/>
    <w:rPr>
      <w:rFonts w:ascii="Arial" w:hAnsi="Arial"/>
      <w:sz w:val="28"/>
      <w:lang w:eastAsia="en-US"/>
    </w:rPr>
  </w:style>
  <w:style w:type="paragraph" w:styleId="ab">
    <w:name w:val="List Paragraph"/>
    <w:basedOn w:val="a"/>
    <w:uiPriority w:val="34"/>
    <w:qFormat/>
    <w:rsid w:val="00A14854"/>
    <w:pPr>
      <w:spacing w:after="0"/>
      <w:ind w:left="720"/>
      <w:contextualSpacing/>
    </w:pPr>
    <w:rPr>
      <w:rFonts w:eastAsia="ＭＳ 明朝"/>
    </w:rPr>
  </w:style>
  <w:style w:type="character" w:styleId="ac">
    <w:name w:val="FollowedHyperlink"/>
    <w:basedOn w:val="a0"/>
    <w:rsid w:val="0031484F"/>
    <w:rPr>
      <w:color w:val="954F72" w:themeColor="followedHyperlink"/>
      <w:u w:val="single"/>
    </w:rPr>
  </w:style>
  <w:style w:type="character" w:customStyle="1" w:styleId="normaltextrun">
    <w:name w:val="normaltextrun"/>
    <w:basedOn w:val="a0"/>
    <w:rsid w:val="00C478AD"/>
  </w:style>
  <w:style w:type="character" w:customStyle="1" w:styleId="eop">
    <w:name w:val="eop"/>
    <w:basedOn w:val="a0"/>
    <w:rsid w:val="00C478AD"/>
  </w:style>
  <w:style w:type="paragraph" w:customStyle="1" w:styleId="paragraph">
    <w:name w:val="paragraph"/>
    <w:basedOn w:val="a"/>
    <w:rsid w:val="00C478AD"/>
    <w:pPr>
      <w:spacing w:before="100" w:beforeAutospacing="1" w:after="100" w:afterAutospacing="1"/>
    </w:pPr>
    <w:rPr>
      <w:rFonts w:eastAsia="Times New Roman"/>
      <w:sz w:val="24"/>
      <w:szCs w:val="24"/>
      <w:lang w:val="en-US" w:eastAsia="ko-KR"/>
    </w:rPr>
  </w:style>
  <w:style w:type="paragraph" w:styleId="ad">
    <w:name w:val="Body Text"/>
    <w:basedOn w:val="a"/>
    <w:link w:val="ae"/>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e">
    <w:name w:val="本文 (文字)"/>
    <w:basedOn w:val="a0"/>
    <w:link w:val="ad"/>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3751</Words>
  <Characters>21384</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25085</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SoftBank</cp:lastModifiedBy>
  <cp:revision>5</cp:revision>
  <dcterms:created xsi:type="dcterms:W3CDTF">2021-05-06T07:26:00Z</dcterms:created>
  <dcterms:modified xsi:type="dcterms:W3CDTF">2021-05-06T07:30:00Z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