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Jeong</w:t>
            </w:r>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A8203E" w:rsidRDefault="00A8203E" w:rsidP="00A8203E">
            <w:pPr>
              <w:pStyle w:val="TAC"/>
              <w:spacing w:before="20" w:after="20"/>
              <w:ind w:left="57" w:right="57"/>
              <w:jc w:val="left"/>
              <w:rPr>
                <w:lang w:eastAsia="zh-CN"/>
              </w:rPr>
            </w:pPr>
          </w:p>
        </w:tc>
      </w:tr>
      <w:tr w:rsidR="00A8203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A8203E" w:rsidRDefault="00A8203E" w:rsidP="00A8203E">
            <w:pPr>
              <w:pStyle w:val="TAC"/>
              <w:spacing w:before="20" w:after="20"/>
              <w:ind w:left="57" w:right="57"/>
              <w:jc w:val="left"/>
              <w:rPr>
                <w:lang w:eastAsia="zh-CN"/>
              </w:rPr>
            </w:pPr>
          </w:p>
        </w:tc>
      </w:tr>
      <w:tr w:rsidR="00A8203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A8203E" w:rsidRDefault="00A8203E" w:rsidP="00A8203E">
            <w:pPr>
              <w:pStyle w:val="TAC"/>
              <w:spacing w:before="20" w:after="20"/>
              <w:ind w:left="57" w:right="57"/>
              <w:jc w:val="left"/>
              <w:rPr>
                <w:lang w:eastAsia="zh-CN"/>
              </w:rPr>
            </w:pPr>
          </w:p>
        </w:tc>
      </w:tr>
      <w:tr w:rsidR="00A8203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A8203E" w:rsidRDefault="00A8203E" w:rsidP="00A8203E">
            <w:pPr>
              <w:pStyle w:val="TAC"/>
              <w:spacing w:before="20" w:after="20"/>
              <w:ind w:left="57" w:right="57"/>
              <w:jc w:val="left"/>
              <w:rPr>
                <w:lang w:eastAsia="zh-CN"/>
              </w:rPr>
            </w:pPr>
          </w:p>
        </w:tc>
      </w:tr>
      <w:tr w:rsidR="00A8203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A8203E" w:rsidRDefault="00A8203E" w:rsidP="00A8203E">
            <w:pPr>
              <w:pStyle w:val="TAC"/>
              <w:spacing w:before="20" w:after="20"/>
              <w:ind w:left="57" w:right="57"/>
              <w:jc w:val="left"/>
              <w:rPr>
                <w:lang w:eastAsia="zh-CN"/>
              </w:rPr>
            </w:pPr>
          </w:p>
        </w:tc>
      </w:tr>
      <w:tr w:rsidR="00A8203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A8203E" w:rsidRDefault="00A8203E" w:rsidP="00A8203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moderators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is already supported for FR1+FR2 NR-DC</w:t>
            </w:r>
            <w:r w:rsidR="00EE2E91">
              <w:rPr>
                <w:lang w:eastAsia="zh-CN"/>
              </w:rPr>
              <w:t xml:space="preserve">. So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w:t>
            </w:r>
            <w:proofErr w:type="spellStart"/>
            <w:r w:rsidRPr="00C478AD">
              <w:rPr>
                <w:rFonts w:eastAsia="Malgun Gothic"/>
                <w:lang w:eastAsia="ko-KR"/>
              </w:rPr>
              <w:t>signaling</w:t>
            </w:r>
            <w:proofErr w:type="spellEnd"/>
            <w:r w:rsidRPr="00C478AD">
              <w:rPr>
                <w:rFonts w:eastAsia="Malgun Gothic"/>
                <w:lang w:eastAsia="ko-KR"/>
              </w:rPr>
              <w:t> design, “in the near future” would be a good motivation that Rel-16 </w:t>
            </w:r>
            <w:proofErr w:type="spellStart"/>
            <w:r w:rsidRPr="00C478AD">
              <w:rPr>
                <w:rFonts w:eastAsia="Malgun Gothic"/>
                <w:lang w:eastAsia="ko-KR"/>
              </w:rPr>
              <w:t>signaling</w:t>
            </w:r>
            <w:proofErr w:type="spellEnd"/>
            <w:r w:rsidRPr="00C478AD">
              <w:rPr>
                <w:rFonts w:eastAsia="Malgun Gothic"/>
                <w:lang w:eastAsia="ko-KR"/>
              </w:rPr>
              <w:t> should support more than 5 band NR-DC.  </w:t>
            </w:r>
          </w:p>
        </w:tc>
      </w:tr>
      <w:tr w:rsidR="00AB0D5D"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AB0D5D" w:rsidRDefault="00AB0D5D" w:rsidP="00AB0D5D">
            <w:pPr>
              <w:pStyle w:val="TAC"/>
              <w:spacing w:before="20" w:after="20"/>
              <w:ind w:left="57" w:right="57"/>
              <w:jc w:val="left"/>
              <w:rPr>
                <w:lang w:eastAsia="zh-CN"/>
              </w:rPr>
            </w:pPr>
          </w:p>
        </w:tc>
      </w:tr>
      <w:tr w:rsidR="00AB0D5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AB0D5D" w:rsidRDefault="00AB0D5D" w:rsidP="00AB0D5D">
            <w:pPr>
              <w:pStyle w:val="TAC"/>
              <w:spacing w:before="20" w:after="20"/>
              <w:ind w:left="57" w:right="57"/>
              <w:jc w:val="left"/>
              <w:rPr>
                <w:lang w:eastAsia="zh-CN"/>
              </w:rPr>
            </w:pPr>
          </w:p>
        </w:tc>
      </w:tr>
      <w:tr w:rsidR="00AB0D5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AB0D5D" w:rsidRDefault="00AB0D5D" w:rsidP="00AB0D5D">
            <w:pPr>
              <w:pStyle w:val="TAC"/>
              <w:spacing w:before="20" w:after="20"/>
              <w:ind w:left="57" w:right="57"/>
              <w:jc w:val="left"/>
              <w:rPr>
                <w:lang w:eastAsia="zh-CN"/>
              </w:rPr>
            </w:pPr>
          </w:p>
        </w:tc>
      </w:tr>
      <w:tr w:rsidR="00AB0D5D"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AB0D5D" w:rsidRDefault="00AB0D5D" w:rsidP="00AB0D5D">
            <w:pPr>
              <w:pStyle w:val="TAC"/>
              <w:spacing w:before="20" w:after="20"/>
              <w:ind w:left="57" w:right="57"/>
              <w:jc w:val="left"/>
              <w:rPr>
                <w:lang w:eastAsia="zh-CN"/>
              </w:rPr>
            </w:pPr>
          </w:p>
        </w:tc>
      </w:tr>
      <w:tr w:rsidR="00AB0D5D"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AB0D5D" w:rsidRDefault="00AB0D5D" w:rsidP="00AB0D5D">
            <w:pPr>
              <w:pStyle w:val="TAC"/>
              <w:spacing w:before="20" w:after="20"/>
              <w:ind w:left="57" w:right="57"/>
              <w:jc w:val="left"/>
              <w:rPr>
                <w:lang w:eastAsia="zh-CN"/>
              </w:rPr>
            </w:pPr>
          </w:p>
        </w:tc>
      </w:tr>
      <w:tr w:rsidR="00AB0D5D"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AB0D5D" w:rsidRDefault="00AB0D5D" w:rsidP="00AB0D5D">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revis</w:t>
            </w:r>
            <w:r w:rsidR="0003619D">
              <w:rPr>
                <w:lang w:eastAsia="zh-CN"/>
              </w:rPr>
              <w:t>ion</w:t>
            </w:r>
            <w:r w:rsidR="00323E08">
              <w:rPr>
                <w:lang w:eastAsia="zh-CN"/>
              </w:rPr>
              <w:t>.</w:t>
            </w:r>
            <w:r w:rsidR="009D0E8D">
              <w:rPr>
                <w:lang w:eastAsia="zh-CN"/>
              </w:rPr>
              <w:t>.</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rsidRPr="006916E8">
              <w:rPr>
                <w:b/>
                <w:i/>
                <w:iCs/>
                <w:lang w:val="en-US" w:eastAsia="zh-CN"/>
              </w:rPr>
              <w:t xml:space="preserve">  </w:t>
            </w:r>
            <w:r>
              <w:rPr>
                <w:lang w:eastAsia="zh-CN"/>
              </w:rPr>
              <w:t>”</w:t>
            </w:r>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 xml:space="preserve">from </w:t>
            </w:r>
            <w:proofErr w:type="spellStart"/>
            <w:r>
              <w:rPr>
                <w:rFonts w:ascii="Arial" w:eastAsia="Malgun Gothic" w:hAnsi="Arial"/>
                <w:sz w:val="18"/>
                <w:szCs w:val="20"/>
                <w:lang w:val="en-GB"/>
              </w:rPr>
              <w:t>signaling</w:t>
            </w:r>
            <w:proofErr w:type="spellEnd"/>
            <w:r>
              <w:rPr>
                <w:rFonts w:ascii="Arial" w:eastAsia="Malgun Gothic" w:hAnsi="Arial"/>
                <w:sz w:val="18"/>
                <w:szCs w:val="20"/>
                <w:lang w:val="en-GB"/>
              </w:rPr>
              <w:t xml:space="preserve">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6A6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5F6A6F" w:rsidRDefault="005F6A6F" w:rsidP="005F6A6F">
            <w:pPr>
              <w:pStyle w:val="TAC"/>
              <w:spacing w:before="20" w:after="20"/>
              <w:ind w:left="57" w:right="57"/>
              <w:jc w:val="left"/>
              <w:rPr>
                <w:lang w:eastAsia="zh-CN"/>
              </w:rPr>
            </w:pPr>
          </w:p>
        </w:tc>
      </w:tr>
      <w:tr w:rsidR="005F6A6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5F6A6F" w:rsidRDefault="005F6A6F" w:rsidP="005F6A6F">
            <w:pPr>
              <w:pStyle w:val="TAC"/>
              <w:spacing w:before="20" w:after="20"/>
              <w:ind w:left="57" w:right="57"/>
              <w:jc w:val="left"/>
              <w:rPr>
                <w:lang w:eastAsia="zh-CN"/>
              </w:rPr>
            </w:pPr>
          </w:p>
        </w:tc>
      </w:tr>
      <w:tr w:rsidR="005F6A6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5F6A6F" w:rsidRDefault="005F6A6F" w:rsidP="005F6A6F">
            <w:pPr>
              <w:pStyle w:val="TAC"/>
              <w:spacing w:before="20" w:after="20"/>
              <w:ind w:left="57" w:right="57"/>
              <w:jc w:val="left"/>
              <w:rPr>
                <w:lang w:eastAsia="zh-CN"/>
              </w:rPr>
            </w:pPr>
          </w:p>
        </w:tc>
      </w:tr>
      <w:tr w:rsidR="005F6A6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5F6A6F" w:rsidRDefault="005F6A6F" w:rsidP="005F6A6F">
            <w:pPr>
              <w:pStyle w:val="TAC"/>
              <w:spacing w:before="20" w:after="20"/>
              <w:ind w:left="57" w:right="57"/>
              <w:jc w:val="left"/>
              <w:rPr>
                <w:lang w:eastAsia="zh-CN"/>
              </w:rPr>
            </w:pPr>
          </w:p>
        </w:tc>
      </w:tr>
      <w:tr w:rsidR="005F6A6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5F6A6F" w:rsidRDefault="005F6A6F" w:rsidP="005F6A6F">
            <w:pPr>
              <w:pStyle w:val="TAC"/>
              <w:spacing w:before="20" w:after="20"/>
              <w:ind w:left="57" w:right="57"/>
              <w:jc w:val="left"/>
              <w:rPr>
                <w:lang w:eastAsia="zh-CN"/>
              </w:rPr>
            </w:pPr>
          </w:p>
        </w:tc>
      </w:tr>
      <w:tr w:rsidR="005F6A6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5F6A6F" w:rsidRDefault="005F6A6F" w:rsidP="005F6A6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lastRenderedPageBreak/>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Question 3</w:t>
      </w:r>
      <w:r w:rsidRPr="009E0C71">
        <w:t>:</w:t>
      </w:r>
      <w:r w:rsidR="00000E2D">
        <w:t xml:space="preserve">Please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supported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05B42A8F" w14:textId="0B2603BD"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cell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it is still not possible for UE to indicate which cell group it support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 xml:space="preserve">he band group can be signalled as per-BC level, so UE only needs to indicate the band group when a BC has more than 5 bands, there is no significant </w:t>
            </w:r>
            <w:proofErr w:type="spellStart"/>
            <w:r w:rsidR="00897AF2">
              <w:rPr>
                <w:lang w:eastAsia="zh-CN"/>
              </w:rPr>
              <w:t>signaling</w:t>
            </w:r>
            <w:proofErr w:type="spellEnd"/>
            <w:r w:rsidR="00897AF2">
              <w:rPr>
                <w:lang w:eastAsia="zh-CN"/>
              </w:rPr>
              <w:t xml:space="preserve"> overhead. In addition, although it may </w:t>
            </w:r>
            <w:proofErr w:type="spellStart"/>
            <w:r w:rsidR="00897AF2">
              <w:rPr>
                <w:lang w:eastAsia="zh-CN"/>
              </w:rPr>
              <w:t>loose</w:t>
            </w:r>
            <w:proofErr w:type="spellEnd"/>
            <w:r w:rsidR="00897AF2">
              <w:rPr>
                <w:lang w:eastAsia="zh-CN"/>
              </w:rPr>
              <w:t xml:space="preserv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proofErr w:type="spellStart"/>
            <w:r w:rsidRPr="00D625B1">
              <w:rPr>
                <w:i/>
                <w:lang w:eastAsia="zh-CN"/>
              </w:rPr>
              <w:t>anyGrouping</w:t>
            </w:r>
            <w:proofErr w:type="spellEnd"/>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77777777" w:rsidR="00D625B1" w:rsidRDefault="00D625B1"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Alike ZTE, we think the RAN2 endorsed CRs are sufficient, at least for R16. We furthermore think that there is no good solution available for the cases that may need to be supported in future. Hence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i.e. granularity/flexibility and </w:t>
            </w:r>
            <w:proofErr w:type="spellStart"/>
            <w:r w:rsidRPr="00C478AD">
              <w:rPr>
                <w:rFonts w:ascii="Arial" w:eastAsia="Malgun Gothic" w:hAnsi="Arial"/>
                <w:sz w:val="18"/>
                <w:szCs w:val="20"/>
                <w:lang w:val="en-GB"/>
              </w:rPr>
              <w:t>signaling</w:t>
            </w:r>
            <w:proofErr w:type="spellEnd"/>
            <w:r w:rsidRPr="00C478AD">
              <w:rPr>
                <w:rFonts w:ascii="Arial" w:eastAsia="Malgun Gothic" w:hAnsi="Arial"/>
                <w:sz w:val="18"/>
                <w:szCs w:val="20"/>
                <w:lang w:val="en-GB"/>
              </w:rPr>
              <w:t>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A86F69"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84B984" w14:textId="77777777" w:rsidR="00A86F69" w:rsidRDefault="00A86F69" w:rsidP="00A86F69">
            <w:pPr>
              <w:pStyle w:val="TAC"/>
              <w:spacing w:before="20" w:after="20"/>
              <w:ind w:left="57" w:right="57"/>
              <w:jc w:val="left"/>
              <w:rPr>
                <w:lang w:eastAsia="zh-CN"/>
              </w:rPr>
            </w:pPr>
          </w:p>
        </w:tc>
      </w:tr>
      <w:tr w:rsidR="00A86F69"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5696129" w14:textId="77777777" w:rsidR="00A86F69" w:rsidRDefault="00A86F69" w:rsidP="00A86F69">
            <w:pPr>
              <w:pStyle w:val="TAC"/>
              <w:spacing w:before="20" w:after="20"/>
              <w:ind w:left="57" w:right="57"/>
              <w:jc w:val="left"/>
              <w:rPr>
                <w:lang w:eastAsia="zh-CN"/>
              </w:rPr>
            </w:pPr>
          </w:p>
        </w:tc>
      </w:tr>
      <w:tr w:rsidR="00A86F69"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A86F69" w:rsidRDefault="00A86F69" w:rsidP="00A86F69">
            <w:pPr>
              <w:pStyle w:val="TAC"/>
              <w:spacing w:before="20" w:after="20"/>
              <w:ind w:left="57" w:right="57"/>
              <w:jc w:val="left"/>
              <w:rPr>
                <w:lang w:eastAsia="zh-CN"/>
              </w:rPr>
            </w:pPr>
          </w:p>
        </w:tc>
      </w:tr>
      <w:tr w:rsidR="00A86F69"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A86F69" w:rsidRDefault="00A86F69" w:rsidP="00A86F69">
            <w:pPr>
              <w:pStyle w:val="TAC"/>
              <w:spacing w:before="20" w:after="20"/>
              <w:ind w:left="57" w:right="57"/>
              <w:jc w:val="left"/>
              <w:rPr>
                <w:lang w:eastAsia="zh-CN"/>
              </w:rPr>
            </w:pPr>
          </w:p>
        </w:tc>
      </w:tr>
      <w:tr w:rsidR="00A86F69"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A86F69" w:rsidRDefault="00A86F69" w:rsidP="00A86F69">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lastRenderedPageBreak/>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72D75" w14:textId="77777777" w:rsidR="00D97129" w:rsidRDefault="00D97129">
      <w:r>
        <w:separator/>
      </w:r>
    </w:p>
  </w:endnote>
  <w:endnote w:type="continuationSeparator" w:id="0">
    <w:p w14:paraId="596D34EC" w14:textId="77777777" w:rsidR="00D97129" w:rsidRDefault="00D97129">
      <w:r>
        <w:continuationSeparator/>
      </w:r>
    </w:p>
  </w:endnote>
  <w:endnote w:type="continuationNotice" w:id="1">
    <w:p w14:paraId="4A08F900" w14:textId="77777777" w:rsidR="00D97129" w:rsidRDefault="00D971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B5592" w14:textId="77777777" w:rsidR="00D97129" w:rsidRDefault="00D97129">
      <w:r>
        <w:separator/>
      </w:r>
    </w:p>
  </w:footnote>
  <w:footnote w:type="continuationSeparator" w:id="0">
    <w:p w14:paraId="168EDCBD" w14:textId="77777777" w:rsidR="00D97129" w:rsidRDefault="00D97129">
      <w:r>
        <w:continuationSeparator/>
      </w:r>
    </w:p>
  </w:footnote>
  <w:footnote w:type="continuationNotice" w:id="1">
    <w:p w14:paraId="65903690" w14:textId="77777777" w:rsidR="00D97129" w:rsidRDefault="00D971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1"/>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F1193"/>
    <w:rsid w:val="00105B7E"/>
    <w:rsid w:val="00111A0D"/>
    <w:rsid w:val="001123B5"/>
    <w:rsid w:val="00112F1A"/>
    <w:rsid w:val="00113A80"/>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46EE9"/>
    <w:rsid w:val="00454C2E"/>
    <w:rsid w:val="00465036"/>
    <w:rsid w:val="00465587"/>
    <w:rsid w:val="00477455"/>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5D29"/>
    <w:rsid w:val="005F6A6F"/>
    <w:rsid w:val="006112F0"/>
    <w:rsid w:val="00611566"/>
    <w:rsid w:val="00626E93"/>
    <w:rsid w:val="00631F59"/>
    <w:rsid w:val="0064697D"/>
    <w:rsid w:val="00646D99"/>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7FF5"/>
    <w:rsid w:val="007F2E08"/>
    <w:rsid w:val="00802130"/>
    <w:rsid w:val="008028A4"/>
    <w:rsid w:val="00812487"/>
    <w:rsid w:val="00813245"/>
    <w:rsid w:val="00814A00"/>
    <w:rsid w:val="00820118"/>
    <w:rsid w:val="008206F9"/>
    <w:rsid w:val="00840DE0"/>
    <w:rsid w:val="0086354A"/>
    <w:rsid w:val="008768CA"/>
    <w:rsid w:val="0087794B"/>
    <w:rsid w:val="00877EF9"/>
    <w:rsid w:val="00880559"/>
    <w:rsid w:val="00886D15"/>
    <w:rsid w:val="0089343D"/>
    <w:rsid w:val="00893C9D"/>
    <w:rsid w:val="00897AF2"/>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8A9"/>
    <w:rsid w:val="009A0AF3"/>
    <w:rsid w:val="009B07CD"/>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6F69"/>
    <w:rsid w:val="00A9671C"/>
    <w:rsid w:val="00AA1553"/>
    <w:rsid w:val="00AB0A33"/>
    <w:rsid w:val="00AB0D5D"/>
    <w:rsid w:val="00AC44C4"/>
    <w:rsid w:val="00AF4CCE"/>
    <w:rsid w:val="00AF5211"/>
    <w:rsid w:val="00B05380"/>
    <w:rsid w:val="00B05962"/>
    <w:rsid w:val="00B06756"/>
    <w:rsid w:val="00B15449"/>
    <w:rsid w:val="00B1638B"/>
    <w:rsid w:val="00B16C2F"/>
    <w:rsid w:val="00B27303"/>
    <w:rsid w:val="00B27527"/>
    <w:rsid w:val="00B47FD1"/>
    <w:rsid w:val="00B516BB"/>
    <w:rsid w:val="00B56923"/>
    <w:rsid w:val="00B67EB4"/>
    <w:rsid w:val="00B83D43"/>
    <w:rsid w:val="00B8403B"/>
    <w:rsid w:val="00B8471D"/>
    <w:rsid w:val="00B84DB2"/>
    <w:rsid w:val="00B87951"/>
    <w:rsid w:val="00B93E14"/>
    <w:rsid w:val="00BB502C"/>
    <w:rsid w:val="00BC0071"/>
    <w:rsid w:val="00BC1A92"/>
    <w:rsid w:val="00BC1D17"/>
    <w:rsid w:val="00BC3555"/>
    <w:rsid w:val="00BC5631"/>
    <w:rsid w:val="00C021FF"/>
    <w:rsid w:val="00C12B51"/>
    <w:rsid w:val="00C231C7"/>
    <w:rsid w:val="00C23E5E"/>
    <w:rsid w:val="00C24650"/>
    <w:rsid w:val="00C25465"/>
    <w:rsid w:val="00C33079"/>
    <w:rsid w:val="00C33F2E"/>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10" Type="http://schemas.openxmlformats.org/officeDocument/2006/relationships/hyperlink" Target="https://www.3gpp.org/ftp/tsg_ran/WG2_RL2/TSGR2_113-e/Docs/R2-2102210.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2923</Words>
  <Characters>16662</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19546</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Intel_yh</cp:lastModifiedBy>
  <cp:revision>10</cp:revision>
  <dcterms:created xsi:type="dcterms:W3CDTF">2021-05-04T21:45:00Z</dcterms:created>
  <dcterms:modified xsi:type="dcterms:W3CDTF">2021-05-05T15:35:00Z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