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[Post113bis-e][108][RedCap] LS on eDRX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[Post113bis-e][108][RedCap] LS on eDRX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The draft LS includes the following agreements from RAN2#113bis-e on eDRX for RedCap</w:t>
      </w:r>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 decides and configures eDRX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eDRX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From RAN2 perspective it is recommended that paging monitoring does not use PTW and PH for UE in RRC IDLE/INACTIVE and eDRX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BodyText"/>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BodyText"/>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BodyText"/>
              <w:rPr>
                <w:rFonts w:eastAsia="Malgun Gothic"/>
                <w:bCs/>
                <w:lang w:eastAsia="ko-KR"/>
              </w:rPr>
            </w:pPr>
            <w:r>
              <w:rPr>
                <w:rFonts w:eastAsia="Malgun Gothic"/>
                <w:bCs/>
                <w:lang w:eastAsia="ko-KR"/>
              </w:rPr>
              <w:t>Futurewei</w:t>
            </w:r>
          </w:p>
        </w:tc>
        <w:tc>
          <w:tcPr>
            <w:tcW w:w="7938" w:type="dxa"/>
          </w:tcPr>
          <w:p w14:paraId="6F40D137" w14:textId="70AE1510" w:rsidR="00F32BF6" w:rsidRPr="007D339E" w:rsidRDefault="00861138" w:rsidP="00CF462D">
            <w:pPr>
              <w:pStyle w:val="BodyText"/>
              <w:rPr>
                <w:rFonts w:eastAsia="SimSun"/>
              </w:rPr>
            </w:pPr>
            <w:r>
              <w:rPr>
                <w:rFonts w:eastAsia="SimSun"/>
              </w:rPr>
              <w:t>Agree with Qualcomm.</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BodyText"/>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BodyText"/>
              <w:rPr>
                <w:rFonts w:eastAsia="Malgun Gothic"/>
                <w:bCs/>
                <w:lang w:eastAsia="ko-KR"/>
              </w:rPr>
            </w:pPr>
            <w:r>
              <w:rPr>
                <w:rFonts w:eastAsia="Malgun Gothic"/>
                <w:bCs/>
                <w:lang w:eastAsia="ko-KR"/>
              </w:rPr>
              <w:t>Futurewei</w:t>
            </w:r>
          </w:p>
        </w:tc>
        <w:tc>
          <w:tcPr>
            <w:tcW w:w="7938" w:type="dxa"/>
          </w:tcPr>
          <w:p w14:paraId="3D5D6596" w14:textId="625E07BC" w:rsidR="008D0CC2" w:rsidRPr="007D339E" w:rsidRDefault="00861138" w:rsidP="00303B45">
            <w:pPr>
              <w:pStyle w:val="BodyText"/>
              <w:rPr>
                <w:rFonts w:eastAsia="SimSun"/>
              </w:rPr>
            </w:pPr>
            <w:r>
              <w:rPr>
                <w:rFonts w:eastAsia="SimSun"/>
              </w:rPr>
              <w:t>Agree</w:t>
            </w:r>
          </w:p>
        </w:tc>
      </w:tr>
      <w:tr w:rsidR="008D0CC2" w:rsidRPr="007D339E" w14:paraId="2F1315B5" w14:textId="77777777" w:rsidTr="00303B45">
        <w:tc>
          <w:tcPr>
            <w:tcW w:w="1696" w:type="dxa"/>
          </w:tcPr>
          <w:p w14:paraId="300D796B" w14:textId="77777777" w:rsidR="008D0CC2" w:rsidRPr="007D339E" w:rsidRDefault="008D0CC2" w:rsidP="00303B45">
            <w:pPr>
              <w:pStyle w:val="BodyText"/>
              <w:rPr>
                <w:rFonts w:eastAsia="Malgun Gothic"/>
                <w:bCs/>
                <w:lang w:eastAsia="ko-KR"/>
              </w:rPr>
            </w:pPr>
          </w:p>
        </w:tc>
        <w:tc>
          <w:tcPr>
            <w:tcW w:w="7938" w:type="dxa"/>
          </w:tcPr>
          <w:p w14:paraId="0FF7C37C" w14:textId="77777777" w:rsidR="008D0CC2" w:rsidRPr="007D339E" w:rsidRDefault="008D0CC2" w:rsidP="00303B45">
            <w:pPr>
              <w:pStyle w:val="BodyText"/>
              <w:rPr>
                <w:rFonts w:eastAsia="SimSun"/>
              </w:rPr>
            </w:pP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r SA2/CTI1 confirms to support eDRX cycle value above 10.24s in RRC INACTIVE</w:t>
            </w:r>
            <w:r w:rsidR="007753BA">
              <w:rPr>
                <w:rFonts w:eastAsia="SimSun" w:hint="eastAsia"/>
              </w:rPr>
              <w:t>.</w:t>
            </w:r>
            <w:r w:rsidR="007753BA">
              <w:rPr>
                <w:rFonts w:eastAsia="SimSun"/>
              </w:rPr>
              <w:t xml:space="preserve"> As we have asked SA2/CTI1</w:t>
            </w:r>
            <w:r w:rsidR="007753BA">
              <w:t xml:space="preserve">about the feasibility of the extension in the LS, if they have any concern, </w:t>
            </w:r>
            <w:r w:rsidR="007753BA">
              <w:lastRenderedPageBreak/>
              <w:t>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lastRenderedPageBreak/>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BodyText"/>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BodyText"/>
              <w:rPr>
                <w:rFonts w:eastAsia="Malgun Gothic"/>
                <w:bCs/>
                <w:lang w:eastAsia="ko-KR"/>
              </w:rPr>
            </w:pPr>
            <w:r>
              <w:rPr>
                <w:rFonts w:eastAsia="Malgun Gothic"/>
                <w:bCs/>
                <w:lang w:eastAsia="ko-KR"/>
              </w:rPr>
              <w:t>Futurewei</w:t>
            </w:r>
          </w:p>
        </w:tc>
        <w:tc>
          <w:tcPr>
            <w:tcW w:w="7938" w:type="dxa"/>
          </w:tcPr>
          <w:p w14:paraId="6E7DC5A3" w14:textId="78CDB483" w:rsidR="00FB735D" w:rsidRPr="007D339E" w:rsidRDefault="00861138" w:rsidP="00303B45">
            <w:pPr>
              <w:pStyle w:val="BodyText"/>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Buffering of mobile terminated data when UE is sleeping due to eDRX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eDRX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eDRX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We think this is a legacy issue, not specific to RedCap.</w:t>
            </w:r>
          </w:p>
          <w:p w14:paraId="7EF6358D" w14:textId="7F4C869E" w:rsidR="00606A51" w:rsidRPr="007D339E" w:rsidRDefault="00606A51" w:rsidP="00303B45">
            <w:pPr>
              <w:pStyle w:val="BodyText"/>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BodyText"/>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BodyText"/>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BodyText"/>
              <w:rPr>
                <w:rFonts w:eastAsia="SimSun"/>
                <w:i/>
              </w:rPr>
            </w:pPr>
            <w:r w:rsidRPr="00334808">
              <w:rPr>
                <w:rFonts w:eastAsia="SimSun"/>
                <w:i/>
              </w:rPr>
              <w:t>RAN2 would like to ask SA2 about the feasibility of buffering data in CN when the UE is unreachable from CN perspective, i.e. during eDRX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BodyText"/>
              <w:rPr>
                <w:rFonts w:eastAsia="Malgun Gothic"/>
                <w:bCs/>
                <w:lang w:eastAsia="ko-KR"/>
              </w:rPr>
            </w:pPr>
            <w:r>
              <w:rPr>
                <w:rFonts w:eastAsia="Malgun Gothic"/>
                <w:bCs/>
                <w:lang w:eastAsia="ko-KR"/>
              </w:rPr>
              <w:t>Futurewei</w:t>
            </w:r>
          </w:p>
        </w:tc>
        <w:tc>
          <w:tcPr>
            <w:tcW w:w="7938" w:type="dxa"/>
          </w:tcPr>
          <w:p w14:paraId="49949B5A" w14:textId="718ECED7" w:rsidR="00E646B9" w:rsidRPr="007D339E" w:rsidRDefault="00811D5C" w:rsidP="00303B45">
            <w:pPr>
              <w:pStyle w:val="BodyText"/>
              <w:rPr>
                <w:rFonts w:eastAsia="SimSun"/>
              </w:rPr>
            </w:pPr>
            <w:r>
              <w:rPr>
                <w:rFonts w:eastAsia="SimSun"/>
              </w:rPr>
              <w:t xml:space="preserve">RAN2 indeed discussed this issue but didn’t reach a conclusion on it.  </w:t>
            </w: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Summary of offline 101 - [REDCAP] eDRX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Summary of offline 101 - [REDCAP] eDRX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Discussion of eDRX for RedCap,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7D339E"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EF5D00" w:rsidRDefault="00606A51" w:rsidP="00606A51">
            <w:pPr>
              <w:jc w:val="center"/>
              <w:rPr>
                <w:sz w:val="22"/>
                <w:szCs w:val="22"/>
                <w:lang w:val="en-GB"/>
              </w:rPr>
            </w:pPr>
            <w:r w:rsidRPr="00EF5D00">
              <w:rPr>
                <w:sz w:val="22"/>
                <w:szCs w:val="22"/>
                <w:lang w:val="en-GB"/>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Hyperlink"/>
                <w:lang w:val="en-GB"/>
              </w:rPr>
            </w:pPr>
            <w:r w:rsidRPr="001019AB">
              <w:rPr>
                <w:sz w:val="22"/>
                <w:szCs w:val="22"/>
              </w:rPr>
              <w:t>LiuJing</w:t>
            </w:r>
            <w:r>
              <w:rPr>
                <w:sz w:val="22"/>
                <w:szCs w:val="22"/>
              </w:rPr>
              <w:t xml:space="preserve"> (liu.jing30@zte.com.cn)</w:t>
            </w:r>
          </w:p>
        </w:tc>
      </w:tr>
      <w:tr w:rsidR="00F2616E" w:rsidRPr="007D339E"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r w:rsidRPr="00811D5C">
              <w:rPr>
                <w:lang w:val="en-GB"/>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811D5C" w:rsidRDefault="00811D5C" w:rsidP="00CF462D">
            <w:pPr>
              <w:jc w:val="center"/>
              <w:rPr>
                <w:rStyle w:val="Hyperlink"/>
                <w:color w:val="auto"/>
                <w:u w:val="none"/>
                <w:lang w:val="en-GB"/>
              </w:rPr>
            </w:pPr>
            <w:r w:rsidRPr="00811D5C">
              <w:rPr>
                <w:rStyle w:val="Hyperlink"/>
                <w:color w:val="auto"/>
                <w:u w:val="none"/>
                <w:lang w:val="en-GB"/>
              </w:rPr>
              <w:t>Yunsong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D339E" w:rsidRDefault="00F2616E" w:rsidP="00CF462D">
            <w:pPr>
              <w:jc w:val="center"/>
              <w:rPr>
                <w:rStyle w:val="Hyperlink"/>
                <w:lang w:val="en-GB"/>
              </w:rPr>
            </w:pP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Hyperlink"/>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5F94" w14:textId="77777777" w:rsidR="00D94F02" w:rsidRDefault="00D94F02" w:rsidP="00796430">
      <w:r>
        <w:separator/>
      </w:r>
    </w:p>
  </w:endnote>
  <w:endnote w:type="continuationSeparator" w:id="0">
    <w:p w14:paraId="1073C14B" w14:textId="77777777" w:rsidR="00D94F02" w:rsidRDefault="00D94F02" w:rsidP="00796430">
      <w:r>
        <w:continuationSeparator/>
      </w:r>
    </w:p>
  </w:endnote>
  <w:endnote w:type="continuationNotice" w:id="1">
    <w:p w14:paraId="6180D0DE" w14:textId="77777777" w:rsidR="00D94F02" w:rsidRDefault="00D94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00"/>
    <w:family w:val="roman"/>
    <w:pitch w:val="default"/>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1811" w14:textId="77777777" w:rsidR="005021B9" w:rsidRDefault="00502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6B2BC23D"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31C6">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31C6">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BDD7" w14:textId="77777777" w:rsidR="005021B9" w:rsidRDefault="00502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B3E1" w14:textId="77777777" w:rsidR="00D94F02" w:rsidRDefault="00D94F02" w:rsidP="00796430">
      <w:r>
        <w:separator/>
      </w:r>
    </w:p>
  </w:footnote>
  <w:footnote w:type="continuationSeparator" w:id="0">
    <w:p w14:paraId="286B558E" w14:textId="77777777" w:rsidR="00D94F02" w:rsidRDefault="00D94F02" w:rsidP="00796430">
      <w:r>
        <w:continuationSeparator/>
      </w:r>
    </w:p>
  </w:footnote>
  <w:footnote w:type="continuationNotice" w:id="1">
    <w:p w14:paraId="6B89EB9D" w14:textId="77777777" w:rsidR="00D94F02" w:rsidRDefault="00D94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C477" w14:textId="77777777" w:rsidR="005021B9" w:rsidRDefault="00502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C95E" w14:textId="77777777" w:rsidR="005021B9" w:rsidRDefault="00502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3"/>
  </w:num>
  <w:num w:numId="3">
    <w:abstractNumId w:val="18"/>
  </w:num>
  <w:num w:numId="4">
    <w:abstractNumId w:val="15"/>
  </w:num>
  <w:num w:numId="5">
    <w:abstractNumId w:val="29"/>
  </w:num>
  <w:num w:numId="6">
    <w:abstractNumId w:val="16"/>
  </w:num>
  <w:num w:numId="7">
    <w:abstractNumId w:val="7"/>
  </w:num>
  <w:num w:numId="8">
    <w:abstractNumId w:val="25"/>
  </w:num>
  <w:num w:numId="9">
    <w:abstractNumId w:val="27"/>
    <w:lvlOverride w:ilvl="0">
      <w:startOverride w:val="1"/>
    </w:lvlOverride>
  </w:num>
  <w:num w:numId="10">
    <w:abstractNumId w:val="6"/>
  </w:num>
  <w:num w:numId="11">
    <w:abstractNumId w:val="22"/>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2"/>
  </w:num>
  <w:num w:numId="15">
    <w:abstractNumId w:val="26"/>
  </w:num>
  <w:num w:numId="16">
    <w:abstractNumId w:val="30"/>
  </w:num>
  <w:num w:numId="17">
    <w:abstractNumId w:val="35"/>
  </w:num>
  <w:num w:numId="18">
    <w:abstractNumId w:val="4"/>
  </w:num>
  <w:num w:numId="19">
    <w:abstractNumId w:val="13"/>
  </w:num>
  <w:num w:numId="20">
    <w:abstractNumId w:val="28"/>
  </w:num>
  <w:num w:numId="21">
    <w:abstractNumId w:val="21"/>
  </w:num>
  <w:num w:numId="22">
    <w:abstractNumId w:val="37"/>
  </w:num>
  <w:num w:numId="23">
    <w:abstractNumId w:val="38"/>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6"/>
  </w:num>
  <w:num w:numId="33">
    <w:abstractNumId w:val="31"/>
  </w:num>
  <w:num w:numId="34">
    <w:abstractNumId w:val="10"/>
  </w:num>
  <w:num w:numId="35">
    <w:abstractNumId w:val="8"/>
  </w:num>
  <w:num w:numId="36">
    <w:abstractNumId w:val="24"/>
  </w:num>
  <w:num w:numId="37">
    <w:abstractNumId w:val="32"/>
  </w:num>
  <w:num w:numId="38">
    <w:abstractNumId w:val="33"/>
  </w:num>
  <w:num w:numId="39">
    <w:abstractNumId w:val="5"/>
  </w:num>
  <w:num w:numId="40">
    <w:abstractNumId w:val="11"/>
  </w:num>
  <w:num w:numId="4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D2C25F8F-CF5C-4496-90FB-1CE81B56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1347</Words>
  <Characters>7679</Characters>
  <Application>Microsoft Office Word</Application>
  <DocSecurity>0</DocSecurity>
  <Lines>63</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9008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Yunsong Yang</cp:lastModifiedBy>
  <cp:revision>5</cp:revision>
  <cp:lastPrinted>2016-09-19T16:11:00Z</cp:lastPrinted>
  <dcterms:created xsi:type="dcterms:W3CDTF">2021-04-22T15:23:00Z</dcterms:created>
  <dcterms:modified xsi:type="dcterms:W3CDTF">2021-04-22T16:07:00Z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