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06B1" w14:textId="2809DCE2"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50371D">
        <w:rPr>
          <w:rFonts w:cs="Arial"/>
          <w:bCs/>
          <w:color w:val="0D0D0D" w:themeColor="text1" w:themeTint="F2"/>
          <w:sz w:val="28"/>
        </w:rPr>
        <w:t>bis-</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C77C6" w:rsidRPr="009C77C6">
        <w:rPr>
          <w:rFonts w:cs="Arial"/>
          <w:bCs/>
          <w:color w:val="0D0D0D" w:themeColor="text1" w:themeTint="F2"/>
          <w:sz w:val="28"/>
          <w:szCs w:val="24"/>
          <w:highlight w:val="yellow"/>
          <w:lang w:eastAsia="zh-TW"/>
        </w:rPr>
        <w:t xml:space="preserve">Draft </w:t>
      </w:r>
      <w:r w:rsidR="00C16891" w:rsidRPr="00F4776A">
        <w:rPr>
          <w:rFonts w:cs="Arial"/>
          <w:bCs/>
          <w:color w:val="0D0D0D" w:themeColor="text1" w:themeTint="F2"/>
          <w:sz w:val="28"/>
          <w:szCs w:val="24"/>
          <w:lang w:eastAsia="zh-TW"/>
        </w:rPr>
        <w:t>R2-</w:t>
      </w:r>
      <w:r w:rsidR="009C77C6" w:rsidRPr="00F4776A">
        <w:t xml:space="preserve"> </w:t>
      </w:r>
      <w:r w:rsidR="009C77C6" w:rsidRPr="00F4776A">
        <w:rPr>
          <w:rFonts w:cs="Arial"/>
          <w:bCs/>
          <w:color w:val="0D0D0D" w:themeColor="text1" w:themeTint="F2"/>
          <w:sz w:val="28"/>
          <w:szCs w:val="24"/>
          <w:lang w:eastAsia="zh-TW"/>
        </w:rPr>
        <w:t>210</w:t>
      </w:r>
      <w:r w:rsidR="00A11BE8">
        <w:rPr>
          <w:rFonts w:cs="Arial"/>
          <w:bCs/>
          <w:color w:val="0D0D0D" w:themeColor="text1" w:themeTint="F2"/>
          <w:sz w:val="28"/>
          <w:szCs w:val="24"/>
          <w:lang w:eastAsia="zh-TW"/>
        </w:rPr>
        <w:t>4648</w:t>
      </w:r>
    </w:p>
    <w:p w14:paraId="2C5EFEC7" w14:textId="0A7D6A81" w:rsidR="00336DC2" w:rsidRPr="004162CD" w:rsidRDefault="0050371D" w:rsidP="00336DC2">
      <w:pPr>
        <w:pStyle w:val="Header"/>
        <w:tabs>
          <w:tab w:val="center" w:pos="4536"/>
          <w:tab w:val="right" w:pos="9356"/>
          <w:tab w:val="right" w:pos="9781"/>
        </w:tabs>
        <w:ind w:right="-58"/>
        <w:rPr>
          <w:rFonts w:cs="Arial"/>
          <w:bCs/>
          <w:color w:val="0D0D0D" w:themeColor="text1" w:themeTint="F2"/>
          <w:sz w:val="28"/>
          <w:szCs w:val="24"/>
          <w:lang w:eastAsia="zh-TW"/>
        </w:rPr>
      </w:pPr>
      <w:r>
        <w:rPr>
          <w:rFonts w:cs="Arial"/>
          <w:bCs/>
          <w:color w:val="0D0D0D" w:themeColor="text1" w:themeTint="F2"/>
          <w:sz w:val="28"/>
        </w:rPr>
        <w:t>April</w:t>
      </w:r>
      <w:r w:rsidR="00336DC2" w:rsidRPr="004162CD">
        <w:rPr>
          <w:rFonts w:cs="Arial"/>
          <w:bCs/>
          <w:color w:val="0D0D0D" w:themeColor="text1" w:themeTint="F2"/>
          <w:sz w:val="28"/>
        </w:rPr>
        <w:t xml:space="preserve"> </w:t>
      </w:r>
      <w:r>
        <w:rPr>
          <w:rFonts w:cs="Arial"/>
          <w:bCs/>
          <w:color w:val="0D0D0D" w:themeColor="text1" w:themeTint="F2"/>
          <w:sz w:val="28"/>
        </w:rPr>
        <w:t>1</w:t>
      </w:r>
      <w:r w:rsidR="00336DC2" w:rsidRPr="004162CD">
        <w:rPr>
          <w:rFonts w:cs="Arial"/>
          <w:bCs/>
          <w:color w:val="0D0D0D" w:themeColor="text1" w:themeTint="F2"/>
          <w:sz w:val="28"/>
        </w:rPr>
        <w:t>2</w:t>
      </w:r>
      <w:r w:rsidR="00336DC2" w:rsidRPr="004162CD">
        <w:rPr>
          <w:rFonts w:cs="Arial"/>
          <w:bCs/>
          <w:color w:val="0D0D0D" w:themeColor="text1" w:themeTint="F2"/>
          <w:sz w:val="28"/>
          <w:vertAlign w:val="superscript"/>
        </w:rPr>
        <w:t xml:space="preserve">th </w:t>
      </w:r>
      <w:r>
        <w:rPr>
          <w:rFonts w:cs="Arial"/>
          <w:bCs/>
          <w:color w:val="0D0D0D" w:themeColor="text1" w:themeTint="F2"/>
          <w:sz w:val="28"/>
        </w:rPr>
        <w:t>-</w:t>
      </w:r>
      <w:r w:rsidR="00336DC2" w:rsidRPr="004162CD">
        <w:rPr>
          <w:rFonts w:cs="Arial"/>
          <w:bCs/>
          <w:color w:val="0D0D0D" w:themeColor="text1" w:themeTint="F2"/>
          <w:sz w:val="28"/>
        </w:rPr>
        <w:t xml:space="preserve"> </w:t>
      </w:r>
      <w:r>
        <w:rPr>
          <w:rFonts w:cs="Arial"/>
          <w:bCs/>
          <w:color w:val="0D0D0D" w:themeColor="text1" w:themeTint="F2"/>
          <w:sz w:val="28"/>
        </w:rPr>
        <w:t>20</w:t>
      </w:r>
      <w:r w:rsidR="00336DC2" w:rsidRPr="004162CD">
        <w:rPr>
          <w:rFonts w:cs="Arial"/>
          <w:bCs/>
          <w:color w:val="0D0D0D" w:themeColor="text1" w:themeTint="F2"/>
          <w:sz w:val="28"/>
          <w:vertAlign w:val="superscript"/>
        </w:rPr>
        <w:t>th</w:t>
      </w:r>
      <w:r w:rsidR="00336DC2" w:rsidRPr="004162CD">
        <w:rPr>
          <w:rFonts w:cs="Arial"/>
          <w:bCs/>
          <w:color w:val="0D0D0D" w:themeColor="text1" w:themeTint="F2"/>
          <w:sz w:val="28"/>
        </w:rPr>
        <w:t>, 2021</w:t>
      </w:r>
      <w:r w:rsidR="00336DC2">
        <w:rPr>
          <w:rFonts w:cs="Arial"/>
          <w:bCs/>
          <w:color w:val="0D0D0D" w:themeColor="text1" w:themeTint="F2"/>
          <w:sz w:val="28"/>
        </w:rPr>
        <w:tab/>
      </w:r>
      <w:r w:rsidR="00336DC2"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xml:space="preserve">, </w:t>
      </w:r>
      <w:r w:rsidR="00912935" w:rsidRPr="00325DAD">
        <w:rPr>
          <w:rFonts w:ascii="Arial" w:hAnsi="Arial" w:cs="Arial"/>
          <w:bCs/>
          <w:sz w:val="28"/>
          <w:szCs w:val="28"/>
        </w:rPr>
        <w:t>MediaTek</w:t>
      </w:r>
    </w:p>
    <w:p w14:paraId="5F34384D" w14:textId="0514467E"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w:t>
      </w:r>
      <w:r w:rsidR="0050371D">
        <w:rPr>
          <w:rFonts w:ascii="Arial" w:hAnsi="Arial" w:cs="Arial"/>
          <w:bCs/>
          <w:sz w:val="28"/>
          <w:szCs w:val="28"/>
        </w:rPr>
        <w:t>P</w:t>
      </w:r>
      <w:r w:rsidRPr="004162CD">
        <w:rPr>
          <w:rFonts w:ascii="Arial" w:hAnsi="Arial" w:cs="Arial"/>
          <w:bCs/>
          <w:sz w:val="28"/>
          <w:szCs w:val="28"/>
        </w:rPr>
        <w:t xml:space="preserve"> for TR 36.763 </w:t>
      </w:r>
      <w:r w:rsidR="00397715">
        <w:rPr>
          <w:rFonts w:ascii="Arial" w:hAnsi="Arial" w:cs="Arial"/>
          <w:bCs/>
          <w:sz w:val="28"/>
          <w:szCs w:val="28"/>
        </w:rPr>
        <w:t xml:space="preserve">capturing </w:t>
      </w:r>
      <w:r w:rsidRPr="004162CD">
        <w:rPr>
          <w:rFonts w:ascii="Arial" w:hAnsi="Arial" w:cs="Arial"/>
          <w:bCs/>
          <w:sz w:val="28"/>
          <w:szCs w:val="28"/>
        </w:rPr>
        <w:t>R</w:t>
      </w:r>
      <w:r w:rsidR="0050371D">
        <w:rPr>
          <w:rFonts w:ascii="Arial" w:hAnsi="Arial" w:cs="Arial"/>
          <w:bCs/>
          <w:sz w:val="28"/>
          <w:szCs w:val="28"/>
        </w:rPr>
        <w:t>AN</w:t>
      </w:r>
      <w:r w:rsidRPr="004162CD">
        <w:rPr>
          <w:rFonts w:ascii="Arial" w:hAnsi="Arial" w:cs="Arial"/>
          <w:bCs/>
          <w:sz w:val="28"/>
          <w:szCs w:val="28"/>
        </w:rPr>
        <w:t>2</w:t>
      </w:r>
      <w:r w:rsidR="009F7F53">
        <w:rPr>
          <w:rFonts w:ascii="Arial" w:hAnsi="Arial" w:cs="Arial"/>
          <w:bCs/>
          <w:sz w:val="28"/>
          <w:szCs w:val="28"/>
        </w:rPr>
        <w:t xml:space="preserve"> </w:t>
      </w:r>
      <w:r w:rsidR="00397715">
        <w:rPr>
          <w:rFonts w:ascii="Arial" w:hAnsi="Arial" w:cs="Arial"/>
          <w:bCs/>
          <w:sz w:val="28"/>
          <w:szCs w:val="28"/>
        </w:rPr>
        <w:t>#113</w:t>
      </w:r>
      <w:r w:rsidR="0050371D">
        <w:rPr>
          <w:rFonts w:ascii="Arial" w:hAnsi="Arial" w:cs="Arial"/>
          <w:bCs/>
          <w:sz w:val="28"/>
          <w:szCs w:val="28"/>
        </w:rPr>
        <w:t>bis-</w:t>
      </w:r>
      <w:r w:rsidR="00397715">
        <w:rPr>
          <w:rFonts w:ascii="Arial" w:hAnsi="Arial" w:cs="Arial"/>
          <w:bCs/>
          <w:sz w:val="28"/>
          <w:szCs w:val="28"/>
        </w:rPr>
        <w:t>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6803A80F" w:rsidR="00AD3841" w:rsidRPr="004162CD" w:rsidRDefault="00325DAD" w:rsidP="00325DAD">
      <w:pPr>
        <w:pStyle w:val="Heading1"/>
      </w:pPr>
      <w:r>
        <w:rPr>
          <w:lang w:eastAsia="zh-TW"/>
        </w:rPr>
        <w:t>1</w:t>
      </w:r>
      <w:r>
        <w:rPr>
          <w:lang w:eastAsia="zh-TW"/>
        </w:rPr>
        <w:tab/>
      </w:r>
      <w:r w:rsidR="00AD3841" w:rsidRPr="004162CD">
        <w:rPr>
          <w:lang w:eastAsia="zh-TW"/>
        </w:rPr>
        <w:t>Introduction</w:t>
      </w:r>
    </w:p>
    <w:p w14:paraId="7717D000" w14:textId="0DAFBBDB"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44378E">
        <w:rPr>
          <w:color w:val="0D0D0D" w:themeColor="text1" w:themeTint="F2"/>
        </w:rPr>
        <w:t>1</w:t>
      </w:r>
      <w:r w:rsidR="00A94A9D">
        <w:rPr>
          <w:color w:val="0D0D0D" w:themeColor="text1" w:themeTint="F2"/>
        </w:rPr>
        <w:t xml:space="preserve">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44378E">
        <w:rPr>
          <w:bCs/>
          <w:color w:val="0D0D0D" w:themeColor="text1" w:themeTint="F2"/>
          <w:lang w:eastAsia="zh-TW"/>
        </w:rPr>
        <w:t>bis</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002474DB">
        <w:rPr>
          <w:color w:val="0D0D0D" w:themeColor="text1" w:themeTint="F2"/>
        </w:rPr>
        <w:t xml:space="preserve"> </w:t>
      </w:r>
      <w:r w:rsidR="0044378E">
        <w:rPr>
          <w:color w:val="0D0D0D" w:themeColor="text1" w:themeTint="F2"/>
        </w:rPr>
        <w:t>[R2]</w:t>
      </w:r>
      <w:r w:rsidR="00A00538">
        <w:rPr>
          <w:color w:val="0D0D0D" w:themeColor="text1" w:themeTint="F2"/>
        </w:rPr>
        <w:t>, [R1]</w:t>
      </w:r>
      <w:r w:rsidRPr="004162CD">
        <w:rPr>
          <w:bCs/>
          <w:color w:val="0D0D0D" w:themeColor="text1" w:themeTint="F2"/>
          <w:lang w:eastAsia="zh-TW"/>
        </w:rPr>
        <w:t>.</w:t>
      </w:r>
    </w:p>
    <w:p w14:paraId="67938BEE" w14:textId="2C37F2E8"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w:t>
      </w:r>
      <w:r w:rsidR="00325DAD">
        <w:rPr>
          <w:color w:val="0D0D0D" w:themeColor="text1" w:themeTint="F2"/>
        </w:rPr>
        <w:t>s</w:t>
      </w:r>
      <w:r w:rsidRPr="004162CD">
        <w:rPr>
          <w:color w:val="0D0D0D" w:themeColor="text1" w:themeTint="F2"/>
        </w:rPr>
        <w:t xml:space="preserve"> as captured in </w:t>
      </w:r>
      <w:r w:rsidR="00325DAD">
        <w:rPr>
          <w:color w:val="0D0D0D" w:themeColor="text1" w:themeTint="F2"/>
        </w:rPr>
        <w:t xml:space="preserve">the </w:t>
      </w:r>
      <w:r w:rsidRPr="004162CD">
        <w:rPr>
          <w:color w:val="0D0D0D" w:themeColor="text1" w:themeTint="F2"/>
        </w:rPr>
        <w:t>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0044378E">
        <w:rPr>
          <w:color w:val="0D0D0D" w:themeColor="text1" w:themeTint="F2"/>
        </w:rPr>
        <w:t>bis</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 xml:space="preserve">Chairman </w:t>
      </w:r>
      <w:r w:rsidR="00325DAD">
        <w:rPr>
          <w:color w:val="0D0D0D" w:themeColor="text1" w:themeTint="F2"/>
        </w:rPr>
        <w:t>notes [R3]</w:t>
      </w:r>
      <w:r w:rsidRPr="004162CD">
        <w:rPr>
          <w:color w:val="0D0D0D" w:themeColor="text1" w:themeTint="F2"/>
        </w:rPr>
        <w:t xml:space="preserve"> </w:t>
      </w:r>
      <w:r w:rsidR="00E96B28" w:rsidRPr="004162CD">
        <w:rPr>
          <w:color w:val="0D0D0D" w:themeColor="text1" w:themeTint="F2"/>
        </w:rPr>
        <w:t>on</w:t>
      </w:r>
      <w:r w:rsidR="00741DAB" w:rsidRPr="004162CD">
        <w:rPr>
          <w:color w:val="0D0D0D" w:themeColor="text1" w:themeTint="F2"/>
        </w:rPr>
        <w:t>:</w:t>
      </w:r>
    </w:p>
    <w:p w14:paraId="78210B2B" w14:textId="380D4EFB" w:rsidR="00E96B28" w:rsidRDefault="00E96B28" w:rsidP="000247EF">
      <w:pPr>
        <w:pStyle w:val="B1"/>
        <w:jc w:val="both"/>
      </w:pPr>
      <w:r w:rsidRPr="00325DAD">
        <w:rPr>
          <w:color w:val="0D0D0D" w:themeColor="text1" w:themeTint="F2"/>
        </w:rPr>
        <w:t>-</w:t>
      </w:r>
      <w:r w:rsidRPr="00325DAD">
        <w:rPr>
          <w:color w:val="0D0D0D" w:themeColor="text1" w:themeTint="F2"/>
        </w:rPr>
        <w:tab/>
      </w:r>
      <w:r w:rsidR="00B8131E" w:rsidRPr="00325DAD">
        <w:t>Control plane enhancements</w:t>
      </w:r>
    </w:p>
    <w:p w14:paraId="719BD76F" w14:textId="5DB5D34E" w:rsidR="00325DAD" w:rsidRPr="00B8131E" w:rsidRDefault="00325DAD" w:rsidP="000247EF">
      <w:pPr>
        <w:pStyle w:val="B1"/>
        <w:jc w:val="both"/>
        <w:rPr>
          <w:color w:val="0D0D0D" w:themeColor="text1" w:themeTint="F2"/>
        </w:rPr>
      </w:pPr>
      <w:r>
        <w:rPr>
          <w:color w:val="0D0D0D" w:themeColor="text1" w:themeTint="F2"/>
        </w:rPr>
        <w:t>-</w:t>
      </w:r>
      <w:r>
        <w:rPr>
          <w:color w:val="0D0D0D" w:themeColor="text1" w:themeTint="F2"/>
        </w:rPr>
        <w:tab/>
      </w:r>
      <w:r w:rsidRPr="00325DAD">
        <w:rPr>
          <w:color w:val="0D0D0D" w:themeColor="text1" w:themeTint="F2"/>
        </w:rPr>
        <w:t xml:space="preserve">IoT NTN essential </w:t>
      </w:r>
      <w:r>
        <w:rPr>
          <w:color w:val="0D0D0D" w:themeColor="text1" w:themeTint="F2"/>
        </w:rPr>
        <w:t>functionalities</w:t>
      </w:r>
    </w:p>
    <w:p w14:paraId="1A38FBB9" w14:textId="13428399" w:rsidR="00984413" w:rsidRDefault="00984413" w:rsidP="005934C4">
      <w:pPr>
        <w:pStyle w:val="BodyText"/>
        <w:rPr>
          <w:rFonts w:ascii="Arial" w:hAnsi="Arial" w:cs="Arial"/>
          <w:color w:val="0D0D0D" w:themeColor="text1" w:themeTint="F2"/>
          <w:lang w:eastAsia="ko-KR"/>
        </w:rPr>
      </w:pPr>
      <w:bookmarkStart w:id="2" w:name="_Ref481671177"/>
    </w:p>
    <w:p w14:paraId="39E75153" w14:textId="54A1F194" w:rsidR="00CD6D23" w:rsidRPr="004162CD" w:rsidRDefault="00CD6D23" w:rsidP="00CD6D23">
      <w:pPr>
        <w:pStyle w:val="Heading1"/>
      </w:pPr>
      <w:r>
        <w:t>2</w:t>
      </w:r>
      <w:r w:rsidRPr="004162CD">
        <w:tab/>
      </w:r>
      <w:r>
        <w:rPr>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CD6D23" w:rsidRPr="00CD6D23" w14:paraId="79DE55D2" w14:textId="77777777" w:rsidTr="00CE773F">
        <w:tc>
          <w:tcPr>
            <w:tcW w:w="3053" w:type="dxa"/>
          </w:tcPr>
          <w:p w14:paraId="7A27BFAE" w14:textId="77777777" w:rsidR="00CD6D23" w:rsidRPr="00CD6D23" w:rsidRDefault="00CD6D23" w:rsidP="00CE773F">
            <w:pPr>
              <w:rPr>
                <w:rFonts w:eastAsia="SimSun"/>
                <w:b/>
                <w:bCs/>
                <w:lang w:eastAsia="zh-CN"/>
              </w:rPr>
            </w:pPr>
            <w:r w:rsidRPr="00CD6D23">
              <w:rPr>
                <w:rFonts w:eastAsia="SimSun"/>
                <w:b/>
                <w:bCs/>
                <w:lang w:eastAsia="zh-CN"/>
              </w:rPr>
              <w:t>Company</w:t>
            </w:r>
          </w:p>
        </w:tc>
        <w:tc>
          <w:tcPr>
            <w:tcW w:w="3062" w:type="dxa"/>
          </w:tcPr>
          <w:p w14:paraId="61F170F1" w14:textId="77777777" w:rsidR="00CD6D23" w:rsidRPr="00CD6D23" w:rsidRDefault="00CD6D23" w:rsidP="00CE773F">
            <w:pPr>
              <w:rPr>
                <w:rFonts w:cs="Arial"/>
                <w:b/>
                <w:bCs/>
              </w:rPr>
            </w:pPr>
            <w:r w:rsidRPr="00CD6D23">
              <w:rPr>
                <w:rFonts w:cs="Arial"/>
                <w:b/>
                <w:bCs/>
              </w:rPr>
              <w:t>Name</w:t>
            </w:r>
          </w:p>
        </w:tc>
        <w:tc>
          <w:tcPr>
            <w:tcW w:w="3366" w:type="dxa"/>
          </w:tcPr>
          <w:p w14:paraId="0686BBC6" w14:textId="77777777" w:rsidR="00CD6D23" w:rsidRPr="00CD6D23" w:rsidRDefault="00CD6D23" w:rsidP="00CE773F">
            <w:pPr>
              <w:rPr>
                <w:rFonts w:cs="Arial"/>
                <w:b/>
                <w:bCs/>
              </w:rPr>
            </w:pPr>
            <w:r w:rsidRPr="00CD6D23">
              <w:rPr>
                <w:rFonts w:cs="Arial"/>
                <w:b/>
                <w:bCs/>
              </w:rPr>
              <w:t>Email</w:t>
            </w:r>
          </w:p>
        </w:tc>
      </w:tr>
      <w:tr w:rsidR="00CD6D23" w:rsidRPr="000A58C5" w14:paraId="4FD7DD06" w14:textId="77777777" w:rsidTr="00CE773F">
        <w:tc>
          <w:tcPr>
            <w:tcW w:w="3053" w:type="dxa"/>
            <w:tcBorders>
              <w:top w:val="single" w:sz="4" w:space="0" w:color="auto"/>
              <w:left w:val="single" w:sz="4" w:space="0" w:color="auto"/>
              <w:bottom w:val="single" w:sz="4" w:space="0" w:color="auto"/>
              <w:right w:val="single" w:sz="4" w:space="0" w:color="auto"/>
            </w:tcBorders>
          </w:tcPr>
          <w:p w14:paraId="618F50A6" w14:textId="77777777" w:rsidR="00CD6D23" w:rsidRDefault="00CD6D23" w:rsidP="00CE773F">
            <w:pPr>
              <w:rPr>
                <w:rFonts w:eastAsia="SimSun" w:cs="Arial"/>
                <w:lang w:eastAsia="zh-CN"/>
              </w:rPr>
            </w:pPr>
            <w:r>
              <w:rPr>
                <w:rFonts w:eastAsia="SimSun"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5215D7C8" w14:textId="77777777" w:rsidR="00CD6D23" w:rsidRDefault="00CD6D23" w:rsidP="00CE773F">
            <w:pPr>
              <w:rPr>
                <w:rFonts w:eastAsia="SimSun" w:cs="Arial"/>
                <w:lang w:eastAsia="zh-CN"/>
              </w:rPr>
            </w:pPr>
            <w:r>
              <w:rPr>
                <w:rFonts w:eastAsia="SimSun" w:cs="Arial"/>
                <w:lang w:eastAsia="zh-CN"/>
              </w:rPr>
              <w:t>Rene Faurie</w:t>
            </w:r>
          </w:p>
        </w:tc>
        <w:tc>
          <w:tcPr>
            <w:tcW w:w="3366" w:type="dxa"/>
            <w:tcBorders>
              <w:top w:val="single" w:sz="4" w:space="0" w:color="auto"/>
              <w:left w:val="single" w:sz="4" w:space="0" w:color="auto"/>
              <w:bottom w:val="single" w:sz="4" w:space="0" w:color="auto"/>
              <w:right w:val="single" w:sz="4" w:space="0" w:color="auto"/>
            </w:tcBorders>
          </w:tcPr>
          <w:p w14:paraId="2B03E794" w14:textId="77777777" w:rsidR="00CD6D23" w:rsidRDefault="00CD6D23" w:rsidP="00CE773F">
            <w:pPr>
              <w:rPr>
                <w:rFonts w:eastAsia="SimSun" w:cs="Arial"/>
                <w:lang w:eastAsia="zh-CN"/>
              </w:rPr>
            </w:pPr>
            <w:proofErr w:type="spellStart"/>
            <w:r>
              <w:rPr>
                <w:rFonts w:eastAsia="SimSun" w:cs="Arial"/>
                <w:lang w:eastAsia="zh-CN"/>
              </w:rPr>
              <w:t>rfaurie</w:t>
            </w:r>
            <w:proofErr w:type="spellEnd"/>
            <w:r>
              <w:rPr>
                <w:rFonts w:eastAsia="SimSun" w:cs="Arial"/>
                <w:lang w:eastAsia="zh-CN"/>
              </w:rPr>
              <w:t xml:space="preserve">-LS at </w:t>
            </w:r>
            <w:proofErr w:type="spellStart"/>
            <w:r>
              <w:rPr>
                <w:rFonts w:eastAsia="SimSun" w:cs="Arial"/>
                <w:lang w:eastAsia="zh-CN"/>
              </w:rPr>
              <w:t>sfr</w:t>
            </w:r>
            <w:proofErr w:type="spellEnd"/>
            <w:r>
              <w:rPr>
                <w:rFonts w:eastAsia="SimSun" w:cs="Arial"/>
                <w:lang w:eastAsia="zh-CN"/>
              </w:rPr>
              <w:t xml:space="preserve"> dot </w:t>
            </w:r>
            <w:proofErr w:type="spellStart"/>
            <w:r>
              <w:rPr>
                <w:rFonts w:eastAsia="SimSun" w:cs="Arial"/>
                <w:lang w:eastAsia="zh-CN"/>
              </w:rPr>
              <w:t>fr</w:t>
            </w:r>
            <w:proofErr w:type="spellEnd"/>
          </w:p>
        </w:tc>
      </w:tr>
      <w:tr w:rsidR="00FA3621" w:rsidRPr="000A58C5" w14:paraId="662B71F8" w14:textId="77777777" w:rsidTr="00CE773F">
        <w:tc>
          <w:tcPr>
            <w:tcW w:w="3053" w:type="dxa"/>
            <w:tcBorders>
              <w:top w:val="single" w:sz="4" w:space="0" w:color="auto"/>
              <w:left w:val="single" w:sz="4" w:space="0" w:color="auto"/>
              <w:bottom w:val="single" w:sz="4" w:space="0" w:color="auto"/>
              <w:right w:val="single" w:sz="4" w:space="0" w:color="auto"/>
            </w:tcBorders>
          </w:tcPr>
          <w:p w14:paraId="27471B3A" w14:textId="0630C27F" w:rsidR="00FA3621" w:rsidRDefault="00FA3621" w:rsidP="00FA3621">
            <w:pPr>
              <w:rPr>
                <w:rFonts w:eastAsia="SimSun" w:cs="Arial"/>
                <w:lang w:eastAsia="zh-CN"/>
              </w:rPr>
            </w:pPr>
            <w:ins w:id="3" w:author="Jerome Vogedes (Consultant)" w:date="2021-04-23T10:55:00Z">
              <w:r>
                <w:rPr>
                  <w:rFonts w:eastAsia="SimSun" w:cs="Arial"/>
                  <w:lang w:eastAsia="zh-CN"/>
                </w:rPr>
                <w:t>Convida</w:t>
              </w:r>
            </w:ins>
          </w:p>
        </w:tc>
        <w:tc>
          <w:tcPr>
            <w:tcW w:w="3062" w:type="dxa"/>
            <w:tcBorders>
              <w:top w:val="single" w:sz="4" w:space="0" w:color="auto"/>
              <w:left w:val="single" w:sz="4" w:space="0" w:color="auto"/>
              <w:bottom w:val="single" w:sz="4" w:space="0" w:color="auto"/>
              <w:right w:val="single" w:sz="4" w:space="0" w:color="auto"/>
            </w:tcBorders>
          </w:tcPr>
          <w:p w14:paraId="6DEC570F" w14:textId="17A24401" w:rsidR="00FA3621" w:rsidRDefault="00FA3621" w:rsidP="00FA3621">
            <w:pPr>
              <w:rPr>
                <w:rFonts w:eastAsia="SimSun" w:cs="Arial"/>
                <w:lang w:eastAsia="zh-CN"/>
              </w:rPr>
            </w:pPr>
            <w:ins w:id="4" w:author="Jerome Vogedes (Consultant)" w:date="2021-04-23T10:55:00Z">
              <w:r>
                <w:rPr>
                  <w:rFonts w:eastAsia="SimSun" w:cs="Arial"/>
                  <w:lang w:eastAsia="zh-CN"/>
                </w:rPr>
                <w:t>Jerome Vogedes</w:t>
              </w:r>
            </w:ins>
          </w:p>
        </w:tc>
        <w:tc>
          <w:tcPr>
            <w:tcW w:w="3366" w:type="dxa"/>
            <w:tcBorders>
              <w:top w:val="single" w:sz="4" w:space="0" w:color="auto"/>
              <w:left w:val="single" w:sz="4" w:space="0" w:color="auto"/>
              <w:bottom w:val="single" w:sz="4" w:space="0" w:color="auto"/>
              <w:right w:val="single" w:sz="4" w:space="0" w:color="auto"/>
            </w:tcBorders>
          </w:tcPr>
          <w:p w14:paraId="1ED4D63C" w14:textId="47178C60" w:rsidR="00FA3621" w:rsidRDefault="00FA3621" w:rsidP="00FA3621">
            <w:pPr>
              <w:rPr>
                <w:rFonts w:eastAsia="SimSun" w:cs="Arial"/>
                <w:lang w:eastAsia="zh-CN"/>
              </w:rPr>
            </w:pPr>
            <w:ins w:id="5" w:author="Jerome Vogedes (Consultant)" w:date="2021-04-23T10:55:00Z">
              <w:r>
                <w:rPr>
                  <w:rFonts w:eastAsia="SimSun" w:cs="Arial"/>
                  <w:lang w:eastAsia="zh-CN"/>
                </w:rPr>
                <w:t>Vogedes.jerome@convidawireless.com</w:t>
              </w:r>
            </w:ins>
          </w:p>
        </w:tc>
      </w:tr>
      <w:tr w:rsidR="00FA3621" w:rsidRPr="00DF6AB7" w14:paraId="0DED9A22" w14:textId="77777777" w:rsidTr="00CE773F">
        <w:tc>
          <w:tcPr>
            <w:tcW w:w="3053" w:type="dxa"/>
            <w:tcBorders>
              <w:top w:val="single" w:sz="4" w:space="0" w:color="auto"/>
              <w:left w:val="single" w:sz="4" w:space="0" w:color="auto"/>
              <w:bottom w:val="single" w:sz="4" w:space="0" w:color="auto"/>
              <w:right w:val="single" w:sz="4" w:space="0" w:color="auto"/>
            </w:tcBorders>
          </w:tcPr>
          <w:p w14:paraId="2BC01D73" w14:textId="06A2C485" w:rsidR="00FA3621" w:rsidRDefault="00DF6AB7" w:rsidP="00FA3621">
            <w:pPr>
              <w:rPr>
                <w:rFonts w:eastAsia="SimSun" w:cs="Arial"/>
                <w:lang w:eastAsia="zh-CN"/>
              </w:rPr>
            </w:pPr>
            <w:ins w:id="6" w:author="Emre A. Yavuz" w:date="2021-04-26T11:40:00Z">
              <w:r>
                <w:rPr>
                  <w:rFonts w:eastAsia="SimSun"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04367CE7" w14:textId="39547298" w:rsidR="00FA3621" w:rsidRDefault="00DF6AB7" w:rsidP="00FA3621">
            <w:pPr>
              <w:rPr>
                <w:rFonts w:eastAsia="SimSun" w:cs="Arial"/>
                <w:lang w:eastAsia="zh-CN"/>
              </w:rPr>
            </w:pPr>
            <w:ins w:id="7" w:author="Emre A. Yavuz" w:date="2021-04-26T11:40:00Z">
              <w:r>
                <w:rPr>
                  <w:rFonts w:eastAsia="SimSun" w:cs="Arial"/>
                  <w:lang w:eastAsia="zh-CN"/>
                </w:rPr>
                <w:t>Emre A. Yavuz</w:t>
              </w:r>
            </w:ins>
          </w:p>
        </w:tc>
        <w:tc>
          <w:tcPr>
            <w:tcW w:w="3366" w:type="dxa"/>
            <w:tcBorders>
              <w:top w:val="single" w:sz="4" w:space="0" w:color="auto"/>
              <w:left w:val="single" w:sz="4" w:space="0" w:color="auto"/>
              <w:bottom w:val="single" w:sz="4" w:space="0" w:color="auto"/>
              <w:right w:val="single" w:sz="4" w:space="0" w:color="auto"/>
            </w:tcBorders>
          </w:tcPr>
          <w:p w14:paraId="39625F45" w14:textId="3CED1F96" w:rsidR="00FA3621" w:rsidRPr="00DF6AB7" w:rsidRDefault="00DF6AB7" w:rsidP="00FA3621">
            <w:pPr>
              <w:rPr>
                <w:rFonts w:eastAsia="SimSun" w:cs="Arial"/>
                <w:lang w:eastAsia="zh-CN"/>
              </w:rPr>
            </w:pPr>
            <w:proofErr w:type="spellStart"/>
            <w:ins w:id="8" w:author="Emre A. Yavuz" w:date="2021-04-26T11:40:00Z">
              <w:r>
                <w:rPr>
                  <w:rFonts w:eastAsia="SimSun" w:cs="Arial"/>
                  <w:lang w:eastAsia="zh-CN"/>
                </w:rPr>
                <w:t>e</w:t>
              </w:r>
              <w:r w:rsidRPr="00DF6AB7">
                <w:rPr>
                  <w:rFonts w:eastAsia="SimSun" w:cs="Arial"/>
                  <w:lang w:eastAsia="zh-CN"/>
                </w:rPr>
                <w:t>mre</w:t>
              </w:r>
              <w:proofErr w:type="spellEnd"/>
              <w:r w:rsidRPr="00DF6AB7">
                <w:rPr>
                  <w:rFonts w:eastAsia="SimSun" w:cs="Arial"/>
                  <w:lang w:eastAsia="zh-CN"/>
                </w:rPr>
                <w:t xml:space="preserve"> dot </w:t>
              </w:r>
              <w:proofErr w:type="spellStart"/>
              <w:r w:rsidRPr="00DF6AB7">
                <w:rPr>
                  <w:rFonts w:eastAsia="SimSun" w:cs="Arial"/>
                  <w:lang w:eastAsia="zh-CN"/>
                </w:rPr>
                <w:t>yavuz</w:t>
              </w:r>
              <w:proofErr w:type="spellEnd"/>
              <w:r w:rsidRPr="00DF6AB7">
                <w:rPr>
                  <w:rFonts w:eastAsia="SimSun" w:cs="Arial"/>
                  <w:lang w:eastAsia="zh-CN"/>
                </w:rPr>
                <w:t xml:space="preserve"> at </w:t>
              </w:r>
              <w:proofErr w:type="spellStart"/>
              <w:r w:rsidRPr="00DF6AB7">
                <w:rPr>
                  <w:rFonts w:eastAsia="SimSun" w:cs="Arial"/>
                  <w:lang w:eastAsia="zh-CN"/>
                </w:rPr>
                <w:t>eri</w:t>
              </w:r>
              <w:proofErr w:type="spellEnd"/>
              <w:r w:rsidRPr="00DF6AB7">
                <w:rPr>
                  <w:rFonts w:eastAsia="SimSun" w:cs="Arial"/>
                  <w:lang w:val="sv-SE" w:eastAsia="zh-CN"/>
                </w:rPr>
                <w:t>c</w:t>
              </w:r>
              <w:proofErr w:type="spellStart"/>
              <w:r>
                <w:rPr>
                  <w:rFonts w:eastAsia="SimSun" w:cs="Arial"/>
                  <w:lang w:eastAsia="zh-CN"/>
                </w:rPr>
                <w:t>sson</w:t>
              </w:r>
              <w:proofErr w:type="spellEnd"/>
              <w:r>
                <w:rPr>
                  <w:rFonts w:eastAsia="SimSun" w:cs="Arial"/>
                  <w:lang w:eastAsia="zh-CN"/>
                </w:rPr>
                <w:t xml:space="preserve"> dot com</w:t>
              </w:r>
            </w:ins>
          </w:p>
        </w:tc>
      </w:tr>
      <w:tr w:rsidR="00FA3621" w:rsidRPr="00DF6AB7" w14:paraId="6BA8000A" w14:textId="77777777" w:rsidTr="00CE773F">
        <w:tc>
          <w:tcPr>
            <w:tcW w:w="3053" w:type="dxa"/>
            <w:tcBorders>
              <w:top w:val="single" w:sz="4" w:space="0" w:color="auto"/>
              <w:left w:val="single" w:sz="4" w:space="0" w:color="auto"/>
              <w:bottom w:val="single" w:sz="4" w:space="0" w:color="auto"/>
              <w:right w:val="single" w:sz="4" w:space="0" w:color="auto"/>
            </w:tcBorders>
          </w:tcPr>
          <w:p w14:paraId="6F3EC970" w14:textId="69BB1682" w:rsidR="00FA3621" w:rsidRPr="00DF6AB7" w:rsidRDefault="00C52D9C" w:rsidP="00FA3621">
            <w:pPr>
              <w:rPr>
                <w:rFonts w:eastAsia="SimSun" w:cs="Arial"/>
                <w:lang w:eastAsia="zh-CN"/>
              </w:rPr>
            </w:pPr>
            <w:ins w:id="9" w:author="CATT" w:date="2021-04-26T19:40:00Z">
              <w:r>
                <w:rPr>
                  <w:rFonts w:eastAsia="SimSun" w:cs="Arial" w:hint="eastAsia"/>
                  <w:lang w:eastAsia="zh-CN"/>
                </w:rPr>
                <w:t>CATT</w:t>
              </w:r>
            </w:ins>
          </w:p>
        </w:tc>
        <w:tc>
          <w:tcPr>
            <w:tcW w:w="3062" w:type="dxa"/>
            <w:tcBorders>
              <w:top w:val="single" w:sz="4" w:space="0" w:color="auto"/>
              <w:left w:val="single" w:sz="4" w:space="0" w:color="auto"/>
              <w:bottom w:val="single" w:sz="4" w:space="0" w:color="auto"/>
              <w:right w:val="single" w:sz="4" w:space="0" w:color="auto"/>
            </w:tcBorders>
          </w:tcPr>
          <w:p w14:paraId="56C2CBA4" w14:textId="495B6340" w:rsidR="00FA3621" w:rsidRPr="00DF6AB7" w:rsidRDefault="00C52D9C" w:rsidP="00FA3621">
            <w:pPr>
              <w:rPr>
                <w:rFonts w:eastAsia="SimSun" w:cs="Arial"/>
                <w:lang w:eastAsia="zh-CN"/>
              </w:rPr>
            </w:pPr>
            <w:proofErr w:type="spellStart"/>
            <w:ins w:id="10" w:author="CATT" w:date="2021-04-26T19:41:00Z">
              <w:r>
                <w:rPr>
                  <w:rFonts w:eastAsia="SimSun" w:cs="Arial" w:hint="eastAsia"/>
                  <w:lang w:eastAsia="zh-CN"/>
                </w:rPr>
                <w:t>Sidong</w:t>
              </w:r>
              <w:proofErr w:type="spellEnd"/>
              <w:r>
                <w:rPr>
                  <w:rFonts w:eastAsia="SimSun" w:cs="Arial" w:hint="eastAsia"/>
                  <w:lang w:eastAsia="zh-CN"/>
                </w:rPr>
                <w:t xml:space="preserve"> LI</w:t>
              </w:r>
            </w:ins>
          </w:p>
        </w:tc>
        <w:tc>
          <w:tcPr>
            <w:tcW w:w="3366" w:type="dxa"/>
            <w:tcBorders>
              <w:top w:val="single" w:sz="4" w:space="0" w:color="auto"/>
              <w:left w:val="single" w:sz="4" w:space="0" w:color="auto"/>
              <w:bottom w:val="single" w:sz="4" w:space="0" w:color="auto"/>
              <w:right w:val="single" w:sz="4" w:space="0" w:color="auto"/>
            </w:tcBorders>
          </w:tcPr>
          <w:p w14:paraId="0A0B3975" w14:textId="51FB68EA" w:rsidR="00FA3621" w:rsidRPr="00DF6AB7" w:rsidRDefault="00C52D9C" w:rsidP="00FA3621">
            <w:pPr>
              <w:rPr>
                <w:rFonts w:eastAsia="SimSun" w:cs="Arial"/>
                <w:lang w:eastAsia="zh-CN"/>
              </w:rPr>
            </w:pPr>
            <w:ins w:id="11" w:author="CATT" w:date="2021-04-26T19:41:00Z">
              <w:r>
                <w:rPr>
                  <w:rFonts w:eastAsia="SimSun" w:cs="Arial" w:hint="eastAsia"/>
                  <w:lang w:eastAsia="zh-CN"/>
                </w:rPr>
                <w:t>lisidong@catt.cn</w:t>
              </w:r>
            </w:ins>
          </w:p>
        </w:tc>
      </w:tr>
      <w:tr w:rsidR="00FA3621" w:rsidRPr="00DF6AB7" w14:paraId="5DD48BAC" w14:textId="77777777" w:rsidTr="00CE773F">
        <w:tc>
          <w:tcPr>
            <w:tcW w:w="3053" w:type="dxa"/>
            <w:tcBorders>
              <w:top w:val="single" w:sz="4" w:space="0" w:color="auto"/>
              <w:left w:val="single" w:sz="4" w:space="0" w:color="auto"/>
              <w:bottom w:val="single" w:sz="4" w:space="0" w:color="auto"/>
              <w:right w:val="single" w:sz="4" w:space="0" w:color="auto"/>
            </w:tcBorders>
          </w:tcPr>
          <w:p w14:paraId="271664DD"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128350C"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E87E122" w14:textId="77777777" w:rsidR="00FA3621" w:rsidRPr="00DF6AB7" w:rsidRDefault="00FA3621" w:rsidP="00FA3621">
            <w:pPr>
              <w:rPr>
                <w:rFonts w:eastAsia="SimSun" w:cs="Arial"/>
                <w:lang w:eastAsia="zh-CN"/>
              </w:rPr>
            </w:pPr>
          </w:p>
        </w:tc>
      </w:tr>
      <w:tr w:rsidR="00FA3621" w:rsidRPr="00DF6AB7" w14:paraId="1E4547CD" w14:textId="77777777" w:rsidTr="00CE773F">
        <w:tc>
          <w:tcPr>
            <w:tcW w:w="3053" w:type="dxa"/>
            <w:tcBorders>
              <w:top w:val="single" w:sz="4" w:space="0" w:color="auto"/>
              <w:left w:val="single" w:sz="4" w:space="0" w:color="auto"/>
              <w:bottom w:val="single" w:sz="4" w:space="0" w:color="auto"/>
              <w:right w:val="single" w:sz="4" w:space="0" w:color="auto"/>
            </w:tcBorders>
          </w:tcPr>
          <w:p w14:paraId="3DFF39C6"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0358372D"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A496F72" w14:textId="77777777" w:rsidR="00FA3621" w:rsidRPr="00DF6AB7" w:rsidRDefault="00FA3621" w:rsidP="00FA3621">
            <w:pPr>
              <w:rPr>
                <w:rFonts w:eastAsia="SimSun" w:cs="Arial"/>
                <w:lang w:eastAsia="zh-CN"/>
              </w:rPr>
            </w:pPr>
          </w:p>
        </w:tc>
      </w:tr>
      <w:tr w:rsidR="00FA3621" w:rsidRPr="00DF6AB7" w14:paraId="1FA5CE12" w14:textId="77777777" w:rsidTr="00CE773F">
        <w:tc>
          <w:tcPr>
            <w:tcW w:w="3053" w:type="dxa"/>
            <w:tcBorders>
              <w:top w:val="single" w:sz="4" w:space="0" w:color="auto"/>
              <w:left w:val="single" w:sz="4" w:space="0" w:color="auto"/>
              <w:bottom w:val="single" w:sz="4" w:space="0" w:color="auto"/>
              <w:right w:val="single" w:sz="4" w:space="0" w:color="auto"/>
            </w:tcBorders>
          </w:tcPr>
          <w:p w14:paraId="62E03FB7"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4FF92AD1"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24EC7DE0" w14:textId="77777777" w:rsidR="00FA3621" w:rsidRPr="00DF6AB7" w:rsidRDefault="00FA3621" w:rsidP="00FA3621">
            <w:pPr>
              <w:rPr>
                <w:rFonts w:eastAsia="SimSun" w:cs="Arial"/>
                <w:lang w:eastAsia="zh-CN"/>
              </w:rPr>
            </w:pPr>
          </w:p>
        </w:tc>
      </w:tr>
      <w:tr w:rsidR="00FA3621" w:rsidRPr="00DF6AB7" w14:paraId="59F3B457" w14:textId="77777777" w:rsidTr="00CE773F">
        <w:tc>
          <w:tcPr>
            <w:tcW w:w="3053" w:type="dxa"/>
            <w:tcBorders>
              <w:top w:val="single" w:sz="4" w:space="0" w:color="auto"/>
              <w:left w:val="single" w:sz="4" w:space="0" w:color="auto"/>
              <w:bottom w:val="single" w:sz="4" w:space="0" w:color="auto"/>
              <w:right w:val="single" w:sz="4" w:space="0" w:color="auto"/>
            </w:tcBorders>
          </w:tcPr>
          <w:p w14:paraId="36DF5E42"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22FDC06"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118A80B" w14:textId="77777777" w:rsidR="00FA3621" w:rsidRPr="00DF6AB7" w:rsidRDefault="00FA3621" w:rsidP="00FA3621">
            <w:pPr>
              <w:rPr>
                <w:rFonts w:eastAsia="SimSun" w:cs="Arial"/>
                <w:lang w:eastAsia="zh-CN"/>
              </w:rPr>
            </w:pPr>
          </w:p>
        </w:tc>
      </w:tr>
      <w:tr w:rsidR="00FA3621" w:rsidRPr="00DF6AB7" w14:paraId="660D57CB" w14:textId="77777777" w:rsidTr="00CE773F">
        <w:tc>
          <w:tcPr>
            <w:tcW w:w="3053" w:type="dxa"/>
            <w:tcBorders>
              <w:top w:val="single" w:sz="4" w:space="0" w:color="auto"/>
              <w:left w:val="single" w:sz="4" w:space="0" w:color="auto"/>
              <w:bottom w:val="single" w:sz="4" w:space="0" w:color="auto"/>
              <w:right w:val="single" w:sz="4" w:space="0" w:color="auto"/>
            </w:tcBorders>
          </w:tcPr>
          <w:p w14:paraId="755A61AB"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761C4D3"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CC8951D" w14:textId="77777777" w:rsidR="00FA3621" w:rsidRPr="00DF6AB7" w:rsidRDefault="00FA3621" w:rsidP="00FA3621">
            <w:pPr>
              <w:rPr>
                <w:rFonts w:eastAsia="SimSun" w:cs="Arial"/>
                <w:lang w:eastAsia="zh-CN"/>
              </w:rPr>
            </w:pPr>
          </w:p>
        </w:tc>
      </w:tr>
      <w:tr w:rsidR="00FA3621" w:rsidRPr="00DF6AB7" w14:paraId="32980AD3" w14:textId="77777777" w:rsidTr="00CE773F">
        <w:tc>
          <w:tcPr>
            <w:tcW w:w="3053" w:type="dxa"/>
            <w:tcBorders>
              <w:top w:val="single" w:sz="4" w:space="0" w:color="auto"/>
              <w:left w:val="single" w:sz="4" w:space="0" w:color="auto"/>
              <w:bottom w:val="single" w:sz="4" w:space="0" w:color="auto"/>
              <w:right w:val="single" w:sz="4" w:space="0" w:color="auto"/>
            </w:tcBorders>
          </w:tcPr>
          <w:p w14:paraId="7B7B2589"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E5BE62A"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699BA96" w14:textId="77777777" w:rsidR="00FA3621" w:rsidRPr="00DF6AB7" w:rsidRDefault="00FA3621" w:rsidP="00FA3621">
            <w:pPr>
              <w:rPr>
                <w:rFonts w:eastAsia="SimSun" w:cs="Arial"/>
                <w:lang w:eastAsia="zh-CN"/>
              </w:rPr>
            </w:pPr>
          </w:p>
        </w:tc>
      </w:tr>
      <w:tr w:rsidR="00FA3621" w:rsidRPr="00DF6AB7" w14:paraId="76189321" w14:textId="77777777" w:rsidTr="00CE773F">
        <w:tc>
          <w:tcPr>
            <w:tcW w:w="3053" w:type="dxa"/>
            <w:tcBorders>
              <w:top w:val="single" w:sz="4" w:space="0" w:color="auto"/>
              <w:left w:val="single" w:sz="4" w:space="0" w:color="auto"/>
              <w:bottom w:val="single" w:sz="4" w:space="0" w:color="auto"/>
              <w:right w:val="single" w:sz="4" w:space="0" w:color="auto"/>
            </w:tcBorders>
          </w:tcPr>
          <w:p w14:paraId="151D41DF"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E74C501"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00B68BA9" w14:textId="77777777" w:rsidR="00FA3621" w:rsidRPr="00DF6AB7" w:rsidRDefault="00FA3621" w:rsidP="00FA3621">
            <w:pPr>
              <w:rPr>
                <w:rFonts w:eastAsia="SimSun" w:cs="Arial"/>
                <w:lang w:eastAsia="zh-CN"/>
              </w:rPr>
            </w:pPr>
          </w:p>
        </w:tc>
      </w:tr>
      <w:tr w:rsidR="00FA3621" w:rsidRPr="00DF6AB7" w14:paraId="7D840B95" w14:textId="77777777" w:rsidTr="00CE773F">
        <w:tc>
          <w:tcPr>
            <w:tcW w:w="3053" w:type="dxa"/>
            <w:tcBorders>
              <w:top w:val="single" w:sz="4" w:space="0" w:color="auto"/>
              <w:left w:val="single" w:sz="4" w:space="0" w:color="auto"/>
              <w:bottom w:val="single" w:sz="4" w:space="0" w:color="auto"/>
              <w:right w:val="single" w:sz="4" w:space="0" w:color="auto"/>
            </w:tcBorders>
          </w:tcPr>
          <w:p w14:paraId="556D581F"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DA7A52"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E938C8D" w14:textId="77777777" w:rsidR="00FA3621" w:rsidRPr="00DF6AB7" w:rsidRDefault="00FA3621" w:rsidP="00FA3621">
            <w:pPr>
              <w:rPr>
                <w:rFonts w:eastAsia="SimSun" w:cs="Arial"/>
                <w:lang w:eastAsia="zh-CN"/>
              </w:rPr>
            </w:pPr>
          </w:p>
        </w:tc>
      </w:tr>
      <w:tr w:rsidR="00FA3621" w:rsidRPr="00DF6AB7" w14:paraId="460A2820" w14:textId="77777777" w:rsidTr="00CE773F">
        <w:tc>
          <w:tcPr>
            <w:tcW w:w="3053" w:type="dxa"/>
            <w:tcBorders>
              <w:top w:val="single" w:sz="4" w:space="0" w:color="auto"/>
              <w:left w:val="single" w:sz="4" w:space="0" w:color="auto"/>
              <w:bottom w:val="single" w:sz="4" w:space="0" w:color="auto"/>
              <w:right w:val="single" w:sz="4" w:space="0" w:color="auto"/>
            </w:tcBorders>
          </w:tcPr>
          <w:p w14:paraId="23327A78"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291142D"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2BFE03B" w14:textId="77777777" w:rsidR="00FA3621" w:rsidRPr="00DF6AB7" w:rsidRDefault="00FA3621" w:rsidP="00FA3621">
            <w:pPr>
              <w:rPr>
                <w:rFonts w:eastAsia="SimSun" w:cs="Arial"/>
                <w:lang w:eastAsia="zh-CN"/>
              </w:rPr>
            </w:pPr>
          </w:p>
        </w:tc>
      </w:tr>
      <w:tr w:rsidR="00FA3621" w:rsidRPr="00DF6AB7" w14:paraId="7AC537B1" w14:textId="77777777" w:rsidTr="00CE773F">
        <w:tc>
          <w:tcPr>
            <w:tcW w:w="3053" w:type="dxa"/>
            <w:tcBorders>
              <w:top w:val="single" w:sz="4" w:space="0" w:color="auto"/>
              <w:left w:val="single" w:sz="4" w:space="0" w:color="auto"/>
              <w:bottom w:val="single" w:sz="4" w:space="0" w:color="auto"/>
              <w:right w:val="single" w:sz="4" w:space="0" w:color="auto"/>
            </w:tcBorders>
          </w:tcPr>
          <w:p w14:paraId="1CE02A64"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C71146"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5EE8732" w14:textId="77777777" w:rsidR="00FA3621" w:rsidRPr="00DF6AB7" w:rsidRDefault="00FA3621" w:rsidP="00FA3621">
            <w:pPr>
              <w:rPr>
                <w:rFonts w:eastAsia="SimSun" w:cs="Arial"/>
                <w:lang w:eastAsia="zh-CN"/>
              </w:rPr>
            </w:pPr>
          </w:p>
        </w:tc>
      </w:tr>
      <w:tr w:rsidR="00FA3621" w:rsidRPr="00DF6AB7" w14:paraId="0C6B054E" w14:textId="77777777" w:rsidTr="00CE773F">
        <w:tc>
          <w:tcPr>
            <w:tcW w:w="3053" w:type="dxa"/>
            <w:tcBorders>
              <w:top w:val="single" w:sz="4" w:space="0" w:color="auto"/>
              <w:left w:val="single" w:sz="4" w:space="0" w:color="auto"/>
              <w:bottom w:val="single" w:sz="4" w:space="0" w:color="auto"/>
              <w:right w:val="single" w:sz="4" w:space="0" w:color="auto"/>
            </w:tcBorders>
          </w:tcPr>
          <w:p w14:paraId="47CC261B"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7DDEB2E5"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381FA45" w14:textId="77777777" w:rsidR="00FA3621" w:rsidRPr="00DF6AB7" w:rsidRDefault="00FA3621" w:rsidP="00FA3621">
            <w:pPr>
              <w:rPr>
                <w:rFonts w:eastAsia="SimSun" w:cs="Arial"/>
                <w:lang w:eastAsia="zh-CN"/>
              </w:rPr>
            </w:pPr>
          </w:p>
        </w:tc>
      </w:tr>
    </w:tbl>
    <w:p w14:paraId="28EDF411" w14:textId="77777777" w:rsidR="00CD6D23" w:rsidRPr="00DF6AB7" w:rsidRDefault="00CD6D23" w:rsidP="00CD6D23">
      <w:pPr>
        <w:pStyle w:val="Reference"/>
        <w:numPr>
          <w:ilvl w:val="0"/>
          <w:numId w:val="0"/>
        </w:numPr>
        <w:rPr>
          <w:rFonts w:ascii="Times New Roman" w:hAnsi="Times New Roman"/>
          <w:color w:val="0D0D0D" w:themeColor="text1" w:themeTint="F2"/>
          <w:lang w:val="en-GB" w:eastAsia="zh-TW"/>
        </w:rPr>
      </w:pPr>
    </w:p>
    <w:p w14:paraId="1336A25D" w14:textId="77777777" w:rsidR="00CD6D23" w:rsidRPr="00DF6AB7" w:rsidRDefault="00CD6D23" w:rsidP="005934C4">
      <w:pPr>
        <w:pStyle w:val="BodyText"/>
        <w:rPr>
          <w:rFonts w:ascii="Arial" w:hAnsi="Arial" w:cs="Arial"/>
          <w:color w:val="0D0D0D" w:themeColor="text1" w:themeTint="F2"/>
          <w:lang w:eastAsia="ko-KR"/>
        </w:rPr>
      </w:pPr>
    </w:p>
    <w:p w14:paraId="753AFA65" w14:textId="7E61C8CB" w:rsidR="00BD515F" w:rsidRPr="004162CD" w:rsidRDefault="00CD6D23" w:rsidP="00325DAD">
      <w:pPr>
        <w:pStyle w:val="Heading1"/>
      </w:pPr>
      <w:r>
        <w:t>3</w:t>
      </w:r>
      <w:r w:rsidR="00325DAD">
        <w:tab/>
      </w:r>
      <w:r w:rsidR="00BD515F" w:rsidRPr="004162CD">
        <w:t>T</w:t>
      </w:r>
      <w:r w:rsidR="00A552E2" w:rsidRPr="004162CD">
        <w:t xml:space="preserve">ext </w:t>
      </w:r>
      <w:r w:rsidR="00BD515F" w:rsidRPr="004162CD">
        <w:t>P</w:t>
      </w:r>
      <w:r w:rsidR="00A552E2" w:rsidRPr="004162CD">
        <w:t xml:space="preserve">roposal </w:t>
      </w:r>
      <w:r w:rsidR="00BD515F" w:rsidRPr="004162CD">
        <w:t xml:space="preserve">for </w:t>
      </w:r>
      <w:r w:rsidR="006E2EF5" w:rsidRPr="004162CD">
        <w:t>TR 36.763</w:t>
      </w:r>
    </w:p>
    <w:p w14:paraId="3E1E6A45" w14:textId="72A8539E"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w:t>
      </w:r>
      <w:r w:rsidR="00A00538">
        <w:rPr>
          <w:lang w:eastAsia="zh-CN"/>
        </w:rPr>
        <w:t xml:space="preserve">the draft </w:t>
      </w:r>
      <w:r>
        <w:rPr>
          <w:lang w:eastAsia="zh-CN"/>
        </w:rPr>
        <w:t>T</w:t>
      </w:r>
      <w:r w:rsidR="00A00538">
        <w:rPr>
          <w:lang w:eastAsia="zh-CN"/>
        </w:rPr>
        <w:t>R</w:t>
      </w:r>
      <w:r>
        <w:rPr>
          <w:lang w:eastAsia="zh-CN"/>
        </w:rPr>
        <w:t xml:space="preserve"> in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3A584CE5" w14:textId="77777777" w:rsidR="006E2EF5" w:rsidRPr="004162CD" w:rsidRDefault="006E2EF5" w:rsidP="00325DAD">
      <w:pPr>
        <w:pStyle w:val="Heading1"/>
      </w:pPr>
      <w:bookmarkStart w:id="12" w:name="_Toc26620904"/>
      <w:bookmarkStart w:id="13" w:name="_Toc30079716"/>
      <w:bookmarkStart w:id="14" w:name="_Toc56717501"/>
      <w:r w:rsidRPr="004162CD">
        <w:t>2</w:t>
      </w:r>
      <w:r w:rsidRPr="004162CD">
        <w:tab/>
        <w:t>References</w:t>
      </w:r>
      <w:bookmarkEnd w:id="12"/>
      <w:bookmarkEnd w:id="13"/>
      <w:bookmarkEnd w:id="14"/>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(CIoT)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E6BCF31"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p>
    <w:p w14:paraId="29D6F482" w14:textId="77777777" w:rsidR="00FC58DF" w:rsidRPr="00450CE8" w:rsidRDefault="00FC58DF" w:rsidP="00325DAD">
      <w:pPr>
        <w:pStyle w:val="Heading1"/>
      </w:pPr>
      <w:bookmarkStart w:id="15" w:name="_Toc26620905"/>
      <w:bookmarkStart w:id="16" w:name="_Toc30079717"/>
      <w:bookmarkStart w:id="17" w:name="_Toc64555787"/>
      <w:r w:rsidRPr="00450CE8">
        <w:t>3</w:t>
      </w:r>
      <w:r w:rsidRPr="00450CE8">
        <w:tab/>
        <w:t>Definitions</w:t>
      </w:r>
      <w:bookmarkEnd w:id="15"/>
      <w:r w:rsidRPr="00DA363D">
        <w:t xml:space="preserve"> </w:t>
      </w:r>
      <w:r>
        <w:t xml:space="preserve">of terms, </w:t>
      </w:r>
      <w:proofErr w:type="gramStart"/>
      <w:r>
        <w:t>symbols</w:t>
      </w:r>
      <w:proofErr w:type="gramEnd"/>
      <w:r>
        <w:t xml:space="preserve"> and abbreviations</w:t>
      </w:r>
      <w:bookmarkEnd w:id="16"/>
      <w:bookmarkEnd w:id="17"/>
    </w:p>
    <w:p w14:paraId="366EE643" w14:textId="77777777" w:rsidR="00FC58DF" w:rsidRPr="00450CE8" w:rsidRDefault="00FC58DF" w:rsidP="00325DAD">
      <w:pPr>
        <w:pStyle w:val="Heading2"/>
      </w:pPr>
      <w:bookmarkStart w:id="18" w:name="_Toc26620906"/>
      <w:bookmarkStart w:id="19" w:name="_Toc30079718"/>
      <w:bookmarkStart w:id="20" w:name="_Toc64555788"/>
      <w:r w:rsidRPr="00450CE8">
        <w:t>3.1</w:t>
      </w:r>
      <w:r w:rsidRPr="00450CE8">
        <w:tab/>
      </w:r>
      <w:r>
        <w:t>Terms</w:t>
      </w:r>
      <w:bookmarkEnd w:id="18"/>
      <w:bookmarkEnd w:id="19"/>
      <w:bookmarkEnd w:id="20"/>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 xml:space="preserve">A radio-communication service between mobile earth stations and one or more space stations, or between space stations used by this service; or between mobile earth stations by means of one or more space </w:t>
      </w:r>
      <w:proofErr w:type="gramStart"/>
      <w:r w:rsidRPr="00450CE8">
        <w:t>stations</w:t>
      </w:r>
      <w:proofErr w:type="gramEnd"/>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 xml:space="preserve">an earth station or gateway is located at the surface of </w:t>
      </w:r>
      <w:proofErr w:type="gramStart"/>
      <w:r w:rsidRPr="00450CE8">
        <w:t>Earth, and</w:t>
      </w:r>
      <w:proofErr w:type="gramEnd"/>
      <w:r w:rsidRPr="00450CE8">
        <w:t xml:space="preserve">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On board NTN e</w:t>
      </w:r>
      <w:r w:rsidRPr="00450CE8">
        <w:rPr>
          <w:b/>
        </w:rPr>
        <w:t>NB</w:t>
      </w:r>
      <w:r>
        <w:t>: e</w:t>
      </w:r>
      <w:r w:rsidRPr="00450CE8">
        <w:t>NB implemented in the regenerative payl</w:t>
      </w:r>
      <w:r>
        <w:t>oad on board a satellite</w:t>
      </w:r>
      <w:r w:rsidRPr="00450CE8">
        <w:t>.</w:t>
      </w:r>
    </w:p>
    <w:p w14:paraId="6A4253CE" w14:textId="77777777" w:rsidR="00FC58DF" w:rsidRPr="00450CE8" w:rsidRDefault="00FC58DF" w:rsidP="00FC58DF">
      <w:r>
        <w:rPr>
          <w:b/>
        </w:rPr>
        <w:t>On ground NTN e</w:t>
      </w:r>
      <w:r w:rsidRPr="00450CE8">
        <w:rPr>
          <w:b/>
        </w:rPr>
        <w:t>NB</w:t>
      </w:r>
      <w:r>
        <w:t>: e</w:t>
      </w:r>
      <w:r w:rsidRPr="00450CE8">
        <w:t xml:space="preserve">NB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 xml:space="preserve">A beam generated by an antenna on-board a </w:t>
      </w:r>
      <w:proofErr w:type="gramStart"/>
      <w:r w:rsidRPr="00450CE8">
        <w:t>satellite</w:t>
      </w:r>
      <w:proofErr w:type="gramEnd"/>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 xml:space="preserve">payload that changes the frequency carrier of the uplink RF signal, filters and amplifies it before transmitting it on the </w:t>
      </w:r>
      <w:proofErr w:type="gramStart"/>
      <w:r w:rsidRPr="00450CE8">
        <w:t>downlink</w:t>
      </w:r>
      <w:proofErr w:type="gramEnd"/>
      <w:r w:rsidRPr="00450CE8">
        <w:rPr>
          <w:b/>
        </w:rPr>
        <w:t xml:space="preserve"> </w:t>
      </w:r>
    </w:p>
    <w:p w14:paraId="5C0D3F03" w14:textId="77777777" w:rsidR="00FC58DF" w:rsidRPr="00450CE8" w:rsidRDefault="00FC58DF" w:rsidP="00FC58DF">
      <w:r w:rsidRPr="00450CE8">
        <w:rPr>
          <w:b/>
        </w:rPr>
        <w:t xml:space="preserve">User Connectivity: </w:t>
      </w:r>
      <w:r w:rsidRPr="00450CE8">
        <w:t xml:space="preserve">capability to establish and maintain data / voice / video transfer between networks and </w:t>
      </w:r>
      <w:proofErr w:type="gramStart"/>
      <w:r w:rsidRPr="00450CE8">
        <w:t>Terminals</w:t>
      </w:r>
      <w:proofErr w:type="gramEnd"/>
    </w:p>
    <w:p w14:paraId="03374EF4" w14:textId="77777777" w:rsidR="00FC58DF" w:rsidRPr="00450CE8" w:rsidRDefault="00FC58DF" w:rsidP="00FC58DF">
      <w:r w:rsidRPr="00450CE8">
        <w:rPr>
          <w:b/>
        </w:rPr>
        <w:t xml:space="preserve">User Throughput: </w:t>
      </w:r>
      <w:r w:rsidRPr="00450CE8">
        <w:t xml:space="preserve">data rate provided to a </w:t>
      </w:r>
      <w:proofErr w:type="gramStart"/>
      <w:r w:rsidRPr="00450CE8">
        <w:t>terminal</w:t>
      </w:r>
      <w:proofErr w:type="gramEnd"/>
    </w:p>
    <w:p w14:paraId="7BDC9997" w14:textId="77777777" w:rsidR="00FC58DF" w:rsidRPr="00450CE8" w:rsidRDefault="00FC58DF" w:rsidP="00325DAD">
      <w:pPr>
        <w:pStyle w:val="Heading2"/>
      </w:pPr>
      <w:bookmarkStart w:id="21" w:name="_Toc26620907"/>
      <w:bookmarkStart w:id="22" w:name="_Toc30079719"/>
      <w:bookmarkStart w:id="23" w:name="_Toc64555789"/>
      <w:r w:rsidRPr="00450CE8">
        <w:t>3.2</w:t>
      </w:r>
      <w:r w:rsidRPr="00450CE8">
        <w:tab/>
        <w:t>Symbols</w:t>
      </w:r>
      <w:bookmarkEnd w:id="21"/>
      <w:bookmarkEnd w:id="22"/>
      <w:bookmarkEnd w:id="23"/>
    </w:p>
    <w:p w14:paraId="58FD237A" w14:textId="77777777" w:rsidR="00FC58DF" w:rsidRPr="00450CE8" w:rsidRDefault="00FC58DF" w:rsidP="00FC58DF">
      <w:r>
        <w:t>Void</w:t>
      </w:r>
    </w:p>
    <w:p w14:paraId="0246E633" w14:textId="77777777" w:rsidR="00FC58DF" w:rsidRPr="00450CE8" w:rsidRDefault="00FC58DF" w:rsidP="00325DAD">
      <w:pPr>
        <w:pStyle w:val="Heading2"/>
      </w:pPr>
      <w:bookmarkStart w:id="24" w:name="_Toc26620908"/>
      <w:bookmarkStart w:id="25" w:name="_Toc30079720"/>
      <w:bookmarkStart w:id="26" w:name="_Toc64555790"/>
      <w:r w:rsidRPr="00450CE8">
        <w:t>3.3</w:t>
      </w:r>
      <w:r w:rsidRPr="00450CE8">
        <w:tab/>
        <w:t>Abbreviations</w:t>
      </w:r>
      <w:bookmarkEnd w:id="24"/>
      <w:bookmarkEnd w:id="25"/>
      <w:bookmarkEnd w:id="26"/>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rFonts w:eastAsia="Calibri"/>
        </w:rPr>
      </w:pPr>
      <w:r>
        <w:rPr>
          <w:rFonts w:eastAsia="Calibri"/>
        </w:rPr>
        <w:t>CHO</w:t>
      </w:r>
      <w:r>
        <w:rPr>
          <w:rFonts w:eastAsia="Calibri"/>
        </w:rPr>
        <w:tab/>
        <w:t>Conditional Handover</w:t>
      </w:r>
    </w:p>
    <w:p w14:paraId="23E8CF00" w14:textId="77777777" w:rsidR="0075634D" w:rsidRPr="002843AF" w:rsidRDefault="0075634D" w:rsidP="0075634D">
      <w:pPr>
        <w:pStyle w:val="EW"/>
        <w:rPr>
          <w:ins w:id="27" w:author="Eutelsat-Rapporteur (v02)" w:date="2021-04-23T01:16:00Z"/>
        </w:rPr>
      </w:pPr>
      <w:ins w:id="28" w:author="Eutelsat-Rapporteur (v02)" w:date="2021-04-23T01:16:00Z">
        <w:r w:rsidRPr="002843AF">
          <w:t>DRX</w:t>
        </w:r>
        <w:r w:rsidRPr="002843AF">
          <w:tab/>
          <w:t>Discontinuous Reception</w:t>
        </w:r>
      </w:ins>
    </w:p>
    <w:p w14:paraId="61E11BAF" w14:textId="527AC216" w:rsidR="00FC58DF" w:rsidRPr="00450CE8" w:rsidRDefault="00FC58DF" w:rsidP="00FC58DF">
      <w:pPr>
        <w:pStyle w:val="EW"/>
        <w:rPr>
          <w:rFonts w:eastAsia="Calibri"/>
        </w:rPr>
      </w:pPr>
      <w:r w:rsidRPr="00450CE8">
        <w:rPr>
          <w:rFonts w:eastAsia="Calibri"/>
        </w:rPr>
        <w:lastRenderedPageBreak/>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53E507A" w14:textId="77777777" w:rsidR="0075634D" w:rsidRPr="00583FA0" w:rsidRDefault="0075634D" w:rsidP="0075634D">
      <w:pPr>
        <w:pStyle w:val="EW"/>
        <w:rPr>
          <w:ins w:id="29" w:author="Eutelsat-Rapporteur (v02)" w:date="2021-04-23T01:21:00Z"/>
        </w:rPr>
      </w:pPr>
      <w:proofErr w:type="spellStart"/>
      <w:ins w:id="30" w:author="Eutelsat-Rapporteur (v02)" w:date="2021-04-23T01:21:00Z">
        <w:r w:rsidRPr="00583FA0">
          <w:t>eDRX</w:t>
        </w:r>
        <w:proofErr w:type="spellEnd"/>
        <w:r w:rsidRPr="00583FA0">
          <w:tab/>
          <w:t>Extended DRX</w:t>
        </w:r>
      </w:ins>
    </w:p>
    <w:p w14:paraId="13EFF2AD" w14:textId="77777777" w:rsidR="00FC58DF" w:rsidRPr="00450CE8" w:rsidRDefault="00FC58DF" w:rsidP="00FC58DF">
      <w:pPr>
        <w:pStyle w:val="EW"/>
      </w:pPr>
      <w:r w:rsidRPr="00450CE8">
        <w:rPr>
          <w:rFonts w:eastAsia="Calibri"/>
        </w:rPr>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337BC912" w:rsidR="00FC58DF" w:rsidRPr="00DF6AB7" w:rsidRDefault="00FC58DF" w:rsidP="00FC58DF">
      <w:pPr>
        <w:pStyle w:val="EW"/>
      </w:pPr>
      <w:r w:rsidRPr="00DF6AB7">
        <w:t>eNB</w:t>
      </w:r>
      <w:r w:rsidRPr="00DF6AB7">
        <w:tab/>
      </w:r>
      <w:r w:rsidR="008104A9" w:rsidRPr="00DF6AB7">
        <w:t xml:space="preserve">E-UTRAN </w:t>
      </w:r>
      <w:r w:rsidRPr="00DF6AB7">
        <w:t>Node B</w:t>
      </w:r>
    </w:p>
    <w:p w14:paraId="03CD73D3" w14:textId="77777777" w:rsidR="00FC58DF" w:rsidRPr="00DF6AB7" w:rsidRDefault="00FC58DF" w:rsidP="0089018D">
      <w:pPr>
        <w:pStyle w:val="EW"/>
      </w:pPr>
      <w:r w:rsidRPr="00DF6AB7">
        <w:t>GW</w:t>
      </w:r>
      <w:r w:rsidRPr="00DF6AB7">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pPr>
      <w:r w:rsidRPr="00450CE8">
        <w:t>MEO</w:t>
      </w:r>
      <w:r w:rsidRPr="00450CE8">
        <w:tab/>
        <w:t>Medium Earth Orbiting</w:t>
      </w:r>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335B8DEA" w14:textId="77777777" w:rsidR="0075634D" w:rsidRPr="002843AF" w:rsidRDefault="0075634D" w:rsidP="0075634D">
      <w:pPr>
        <w:pStyle w:val="EW"/>
        <w:rPr>
          <w:ins w:id="31" w:author="Eutelsat-Rapporteur (v02)" w:date="2021-04-23T01:16:00Z"/>
        </w:rPr>
      </w:pPr>
      <w:ins w:id="32" w:author="Eutelsat-Rapporteur (v02)" w:date="2021-04-23T01:16:00Z">
        <w:r w:rsidRPr="002843AF">
          <w:t>PSM</w:t>
        </w:r>
        <w:r w:rsidRPr="002843AF">
          <w:tab/>
          <w:t>Power Saving Mode</w:t>
        </w:r>
      </w:ins>
    </w:p>
    <w:p w14:paraId="72767A50" w14:textId="77777777" w:rsidR="0075634D" w:rsidRPr="002843AF" w:rsidRDefault="0075634D" w:rsidP="0075634D">
      <w:pPr>
        <w:pStyle w:val="EW"/>
        <w:rPr>
          <w:ins w:id="33" w:author="Eutelsat-Rapporteur (v02)" w:date="2021-04-23T01:15:00Z"/>
        </w:rPr>
      </w:pPr>
      <w:ins w:id="34" w:author="Eutelsat-Rapporteur (v02)" w:date="2021-04-23T01:15:00Z">
        <w:r w:rsidRPr="002843AF">
          <w:t>PUR</w:t>
        </w:r>
        <w:r w:rsidRPr="002843AF">
          <w:tab/>
          <w:t>Preconfigured Uplink Resource</w:t>
        </w:r>
      </w:ins>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r w:rsidRPr="00450CE8">
        <w:t>Rx</w:t>
      </w:r>
      <w:r w:rsidRPr="00450CE8">
        <w:tab/>
        <w:t>Receiver</w:t>
      </w:r>
    </w:p>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pPr>
      <w:r>
        <w:t>TA</w:t>
      </w:r>
      <w:r>
        <w:tab/>
        <w:t>Tracking Area</w:t>
      </w:r>
    </w:p>
    <w:p w14:paraId="4EFD835B" w14:textId="42749E02" w:rsidR="00591FF4" w:rsidRDefault="00591FF4" w:rsidP="00591FF4">
      <w:pPr>
        <w:pStyle w:val="EW"/>
      </w:pPr>
      <w:r>
        <w:t>TAC</w:t>
      </w:r>
      <w:r>
        <w:tab/>
        <w:t>Tracking Area Code</w:t>
      </w:r>
    </w:p>
    <w:p w14:paraId="6A1BC58F" w14:textId="3046A21E" w:rsidR="00591FF4" w:rsidRDefault="00591FF4" w:rsidP="00591FF4">
      <w:pPr>
        <w:pStyle w:val="EW"/>
      </w:pPr>
      <w:r>
        <w:t>TAU</w:t>
      </w:r>
      <w:r>
        <w:tab/>
        <w:t>Tracking Area Update</w:t>
      </w:r>
    </w:p>
    <w:p w14:paraId="59AA0541" w14:textId="1134295D" w:rsidR="00FC58DF" w:rsidRPr="00450CE8" w:rsidRDefault="00FC58DF" w:rsidP="00FC58DF">
      <w:pPr>
        <w:pStyle w:val="EW"/>
      </w:pPr>
      <w:r w:rsidRPr="00450CE8">
        <w:t>TLE</w:t>
      </w:r>
      <w:r w:rsidRPr="00450CE8">
        <w:tab/>
        <w:t>Two-Line Element</w:t>
      </w:r>
    </w:p>
    <w:p w14:paraId="666570F2" w14:textId="77777777" w:rsidR="0040508F" w:rsidRPr="00450CE8" w:rsidRDefault="0040508F" w:rsidP="0040508F">
      <w:pPr>
        <w:pStyle w:val="EW"/>
      </w:pPr>
      <w:r w:rsidRPr="00450CE8">
        <w:t>UAS</w:t>
      </w:r>
      <w:r w:rsidRPr="00450CE8">
        <w:tab/>
        <w:t>Unmanned Aircraft System</w:t>
      </w:r>
    </w:p>
    <w:p w14:paraId="72DDC7F7" w14:textId="77777777" w:rsidR="00FC58DF" w:rsidRPr="00450CE8" w:rsidRDefault="00FC58DF" w:rsidP="00FC58DF">
      <w:pPr>
        <w:pStyle w:val="EW"/>
      </w:pPr>
      <w:r w:rsidRPr="00450CE8">
        <w:t>UE</w:t>
      </w:r>
      <w:r w:rsidRPr="00450CE8">
        <w:tab/>
        <w:t>User Equipment</w:t>
      </w:r>
    </w:p>
    <w:p w14:paraId="10BAE385" w14:textId="77777777" w:rsidR="0075634D" w:rsidRPr="002843AF" w:rsidRDefault="0075634D" w:rsidP="0075634D">
      <w:pPr>
        <w:pStyle w:val="EW"/>
        <w:rPr>
          <w:ins w:id="35" w:author="Eutelsat-Rapporteur (v02)" w:date="2021-04-23T01:14:00Z"/>
        </w:rPr>
      </w:pPr>
      <w:ins w:id="36" w:author="Eutelsat-Rapporteur (v02)" w:date="2021-04-23T01:14:00Z">
        <w:r w:rsidRPr="002843AF">
          <w:t>WUS</w:t>
        </w:r>
        <w:r w:rsidRPr="002843AF">
          <w:tab/>
          <w:t>Wake Up Signal</w:t>
        </w:r>
      </w:ins>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B60E145" w14:textId="04DE454B" w:rsidR="000641DE" w:rsidRPr="004162CD" w:rsidRDefault="000641DE" w:rsidP="000641DE">
      <w:pPr>
        <w:jc w:val="center"/>
        <w:rPr>
          <w:color w:val="0D0D0D" w:themeColor="text1" w:themeTint="F2"/>
          <w:kern w:val="2"/>
          <w:sz w:val="40"/>
          <w:lang w:eastAsia="zh-CN"/>
        </w:rPr>
      </w:pPr>
      <w:bookmarkStart w:id="37" w:name="_Toc64555804"/>
      <w:bookmarkStart w:id="38" w:name="_Toc26621099"/>
      <w:bookmarkStart w:id="39" w:name="_Toc30079911"/>
      <w:r w:rsidRPr="004162CD">
        <w:rPr>
          <w:color w:val="0D0D0D" w:themeColor="text1" w:themeTint="F2"/>
          <w:kern w:val="2"/>
          <w:sz w:val="40"/>
          <w:lang w:eastAsia="zh-CN"/>
        </w:rPr>
        <w:lastRenderedPageBreak/>
        <w:t>--- Start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707457B0" w14:textId="77777777" w:rsidR="00C759CC" w:rsidRPr="00A33D41" w:rsidRDefault="00C759CC" w:rsidP="00325DAD">
      <w:pPr>
        <w:pStyle w:val="Heading2"/>
      </w:pPr>
      <w:bookmarkStart w:id="40" w:name="_Toc66197034"/>
      <w:bookmarkStart w:id="41" w:name="_Toc66198717"/>
      <w:bookmarkEnd w:id="37"/>
      <w:r w:rsidRPr="00A33D41">
        <w:t>7.3</w:t>
      </w:r>
      <w:r w:rsidRPr="00A33D41">
        <w:tab/>
        <w:t>Control plane enhancements</w:t>
      </w:r>
      <w:bookmarkEnd w:id="40"/>
      <w:bookmarkEnd w:id="41"/>
    </w:p>
    <w:p w14:paraId="3A54DD8B" w14:textId="77777777" w:rsidR="00C759CC" w:rsidRPr="00A33D41" w:rsidRDefault="00C759CC" w:rsidP="00C759CC">
      <w:pPr>
        <w:pStyle w:val="EditorsNote"/>
        <w:rPr>
          <w:color w:val="0D0D0D"/>
        </w:rPr>
      </w:pPr>
      <w:r w:rsidRPr="00590C71">
        <w:t>Editor</w:t>
      </w:r>
      <w:r>
        <w:t>'</w:t>
      </w:r>
      <w:r w:rsidRPr="00590C71">
        <w:t>s Note: RAN2 should wait for RAN1</w:t>
      </w:r>
      <w:r>
        <w:t>'</w:t>
      </w:r>
      <w:r w:rsidRPr="00590C71">
        <w:t>s input on supporting multiple beams per cell for IoT</w:t>
      </w:r>
      <w:r>
        <w:t xml:space="preserve"> </w:t>
      </w:r>
      <w:r w:rsidRPr="00590C71">
        <w:t>NTN</w:t>
      </w:r>
      <w:r>
        <w:t>.</w:t>
      </w:r>
    </w:p>
    <w:p w14:paraId="64C3F8D5" w14:textId="77777777" w:rsidR="00C759CC" w:rsidRPr="00A33D41" w:rsidRDefault="00C759CC" w:rsidP="00325DAD">
      <w:pPr>
        <w:pStyle w:val="Heading3"/>
      </w:pPr>
      <w:bookmarkStart w:id="42" w:name="_Toc66197035"/>
      <w:bookmarkStart w:id="43" w:name="_Toc66198718"/>
      <w:r w:rsidRPr="00A33D41">
        <w:t>7.3.1</w:t>
      </w:r>
      <w:r w:rsidRPr="00A33D41">
        <w:tab/>
        <w:t>Idle mode mobility enhancements</w:t>
      </w:r>
      <w:bookmarkEnd w:id="42"/>
      <w:bookmarkEnd w:id="43"/>
    </w:p>
    <w:p w14:paraId="4D2DED54" w14:textId="77777777" w:rsidR="00C759CC" w:rsidRPr="00A33D41" w:rsidRDefault="00C759CC" w:rsidP="00325DAD">
      <w:pPr>
        <w:pStyle w:val="Heading4"/>
      </w:pPr>
      <w:bookmarkStart w:id="44" w:name="_Toc26620993"/>
      <w:bookmarkStart w:id="45" w:name="_Toc30079805"/>
      <w:bookmarkStart w:id="46" w:name="_Toc66198719"/>
      <w:r w:rsidRPr="00A33D41">
        <w:t>7.3.1.1</w:t>
      </w:r>
      <w:r w:rsidRPr="00A33D41">
        <w:tab/>
        <w:t xml:space="preserve">Tracking </w:t>
      </w:r>
      <w:r>
        <w:t>a</w:t>
      </w:r>
      <w:r w:rsidRPr="00A33D41">
        <w:t>rea</w:t>
      </w:r>
      <w:bookmarkEnd w:id="44"/>
      <w:bookmarkEnd w:id="45"/>
      <w:bookmarkEnd w:id="46"/>
    </w:p>
    <w:p w14:paraId="75F68335" w14:textId="77777777" w:rsidR="00C759CC" w:rsidRPr="001539F4" w:rsidRDefault="00C759CC" w:rsidP="00C759CC">
      <w:pPr>
        <w:rPr>
          <w:i/>
          <w:iCs/>
        </w:rPr>
      </w:pPr>
      <w:r w:rsidRPr="001539F4">
        <w:rPr>
          <w:i/>
          <w:iCs/>
        </w:rPr>
        <w:t>Problem Statement</w:t>
      </w:r>
    </w:p>
    <w:p w14:paraId="0D148457" w14:textId="77777777" w:rsidR="00C759CC" w:rsidRPr="00A33D41" w:rsidRDefault="00C759CC" w:rsidP="00C759CC">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25A949" w14:textId="77777777" w:rsidR="00C759CC" w:rsidRPr="00A33D41" w:rsidRDefault="00C759CC" w:rsidP="00C759CC">
      <w:r w:rsidRPr="00A33D41">
        <w:t>Moving cells and consequently moving tracking areas would be difficult to manage in the network as the contrast between the TAU and the paging signalling load would be too extreme to find a practical compromise.</w:t>
      </w:r>
    </w:p>
    <w:p w14:paraId="2ADC51C1" w14:textId="77777777" w:rsidR="00C759CC" w:rsidRPr="00A33D41" w:rsidRDefault="00C759CC" w:rsidP="00C759CC">
      <w:r w:rsidRPr="00A33D41">
        <w:t xml:space="preserve">On one hand, small tracking areas would lead to massive TAU signalling for UE at the boundary between 2 TAs as illustrated in figure </w:t>
      </w:r>
      <w:r w:rsidRPr="004162CD">
        <w:t>7.3.1.1-</w:t>
      </w:r>
      <w:r>
        <w:t>1</w:t>
      </w:r>
      <w:r w:rsidRPr="00A33D41">
        <w:t>.</w:t>
      </w:r>
    </w:p>
    <w:p w14:paraId="613912BB" w14:textId="77777777" w:rsidR="00C759CC" w:rsidRPr="00A33D41" w:rsidRDefault="00C759CC" w:rsidP="00C759CC">
      <w:pPr>
        <w:pStyle w:val="TH"/>
        <w:rPr>
          <w:color w:val="0D0D0D"/>
        </w:rPr>
      </w:pPr>
      <w:r w:rsidRPr="00EC333E">
        <w:rPr>
          <w:noProof/>
          <w:color w:val="0D0D0D"/>
          <w:lang w:val="en-US" w:eastAsia="zh-CN"/>
        </w:rPr>
        <w:drawing>
          <wp:inline distT="0" distB="0" distL="0" distR="0" wp14:anchorId="4A114D20" wp14:editId="14C8A49C">
            <wp:extent cx="4220845" cy="1360805"/>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0845" cy="1360805"/>
                    </a:xfrm>
                    <a:prstGeom prst="rect">
                      <a:avLst/>
                    </a:prstGeom>
                    <a:noFill/>
                    <a:ln>
                      <a:noFill/>
                    </a:ln>
                  </pic:spPr>
                </pic:pic>
              </a:graphicData>
            </a:graphic>
          </wp:inline>
        </w:drawing>
      </w:r>
    </w:p>
    <w:p w14:paraId="659083EC" w14:textId="77777777" w:rsidR="00C759CC" w:rsidRPr="00A33D41" w:rsidRDefault="00C759CC" w:rsidP="00C759CC">
      <w:pPr>
        <w:pStyle w:val="TF"/>
        <w:rPr>
          <w:color w:val="0D0D0D"/>
        </w:rPr>
      </w:pPr>
      <w:r w:rsidRPr="00A33D41">
        <w:rPr>
          <w:color w:val="0D0D0D"/>
        </w:rPr>
        <w:t xml:space="preserve">Figure 7.3.1.1-1: Moving Cells and Small tracking areas leading to massive TAU </w:t>
      </w:r>
      <w:proofErr w:type="gramStart"/>
      <w:r w:rsidRPr="00A33D41">
        <w:rPr>
          <w:color w:val="0D0D0D"/>
        </w:rPr>
        <w:t>signalling</w:t>
      </w:r>
      <w:proofErr w:type="gramEnd"/>
    </w:p>
    <w:p w14:paraId="7421D577" w14:textId="77777777" w:rsidR="00C759CC" w:rsidRPr="004162CD" w:rsidRDefault="00C759CC" w:rsidP="00C759CC">
      <w:pPr>
        <w:overflowPunct w:val="0"/>
        <w:autoSpaceDE w:val="0"/>
        <w:autoSpaceDN w:val="0"/>
        <w:adjustRightInd w:val="0"/>
        <w:spacing w:after="120"/>
        <w:jc w:val="both"/>
        <w:textAlignment w:val="baseline"/>
        <w:rPr>
          <w:lang w:eastAsia="zh-CN"/>
        </w:rPr>
      </w:pPr>
    </w:p>
    <w:p w14:paraId="5107232D" w14:textId="77777777" w:rsidR="00C759CC" w:rsidRPr="00A33D41" w:rsidRDefault="00C759CC" w:rsidP="00C759CC">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9DD5363" w14:textId="77777777" w:rsidR="00C759CC" w:rsidRPr="00A33D41" w:rsidRDefault="00C759CC" w:rsidP="00C759CC">
      <w:pPr>
        <w:pStyle w:val="TH"/>
        <w:rPr>
          <w:color w:val="0D0D0D"/>
        </w:rPr>
      </w:pPr>
      <w:r w:rsidRPr="00EC333E">
        <w:rPr>
          <w:noProof/>
          <w:color w:val="0D0D0D"/>
          <w:lang w:val="en-US" w:eastAsia="zh-CN"/>
        </w:rPr>
        <w:drawing>
          <wp:inline distT="0" distB="0" distL="0" distR="0" wp14:anchorId="705FC24C" wp14:editId="24ADBE58">
            <wp:extent cx="4242435" cy="1275715"/>
            <wp:effectExtent l="0" t="0" r="0" b="0"/>
            <wp:docPr id="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42435" cy="1275715"/>
                    </a:xfrm>
                    <a:prstGeom prst="rect">
                      <a:avLst/>
                    </a:prstGeom>
                    <a:noFill/>
                    <a:ln>
                      <a:noFill/>
                    </a:ln>
                  </pic:spPr>
                </pic:pic>
              </a:graphicData>
            </a:graphic>
          </wp:inline>
        </w:drawing>
      </w:r>
    </w:p>
    <w:p w14:paraId="5AD4AEDE" w14:textId="77777777" w:rsidR="00C759CC" w:rsidRPr="00A33D41" w:rsidRDefault="00C759CC" w:rsidP="00C759CC">
      <w:pPr>
        <w:pStyle w:val="TF"/>
        <w:rPr>
          <w:color w:val="0D0D0D"/>
        </w:rPr>
      </w:pPr>
      <w:r w:rsidRPr="00A33D41">
        <w:rPr>
          <w:color w:val="0D0D0D"/>
        </w:rPr>
        <w:t xml:space="preserve">Figure 7.3.1.1-2: Moving Cells and wide tracking areas leading to higher Paging </w:t>
      </w:r>
      <w:proofErr w:type="gramStart"/>
      <w:r w:rsidRPr="00A33D41">
        <w:rPr>
          <w:color w:val="0D0D0D"/>
        </w:rPr>
        <w:t>load</w:t>
      </w:r>
      <w:proofErr w:type="gramEnd"/>
    </w:p>
    <w:p w14:paraId="2C455371" w14:textId="77777777" w:rsidR="00C759CC" w:rsidRPr="00A33D41" w:rsidRDefault="00C759CC" w:rsidP="00C759CC">
      <w:r w:rsidRPr="00A33D41">
        <w:t>However, tracking areas must be dimensioned to minimise the TAUs as this is more signalling-intensive than paging on the network.</w:t>
      </w:r>
    </w:p>
    <w:p w14:paraId="7A9ED2E4" w14:textId="77777777" w:rsidR="00C759CC" w:rsidRPr="00A33D41" w:rsidRDefault="00C759CC" w:rsidP="00C759CC">
      <w:r w:rsidRPr="00A33D41">
        <w:t>In practical tracking area design, one of the criteria affecting the performance and capacity is the limiting capabilities of MME/AMF platforms and the radio channel capacity.</w:t>
      </w:r>
    </w:p>
    <w:p w14:paraId="3A0D618D" w14:textId="77777777" w:rsidR="00C759CC" w:rsidRPr="00A33D41" w:rsidRDefault="00C759CC" w:rsidP="00C759CC">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2E642747" w14:textId="77777777" w:rsidR="00C759CC" w:rsidRPr="00A33D41" w:rsidRDefault="00C759CC" w:rsidP="00C759CC">
      <w:pPr>
        <w:jc w:val="both"/>
        <w:rPr>
          <w:i/>
          <w:color w:val="0D0D0D"/>
        </w:rPr>
      </w:pPr>
    </w:p>
    <w:p w14:paraId="5343AC74" w14:textId="77777777" w:rsidR="00C759CC" w:rsidRPr="00CB5781" w:rsidRDefault="00C759CC" w:rsidP="00C759CC">
      <w:pPr>
        <w:rPr>
          <w:i/>
          <w:iCs/>
        </w:rPr>
      </w:pPr>
      <w:r w:rsidRPr="00CB5781">
        <w:rPr>
          <w:i/>
          <w:iCs/>
        </w:rPr>
        <w:t>Solution Overview</w:t>
      </w:r>
    </w:p>
    <w:p w14:paraId="663BB9ED" w14:textId="77777777" w:rsidR="00C759CC" w:rsidRPr="00A33D41" w:rsidRDefault="00C759CC" w:rsidP="00C759CC">
      <w:r w:rsidRPr="00A33D41">
        <w:lastRenderedPageBreak/>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w:t>
      </w:r>
      <w:proofErr w:type="gramStart"/>
      <w:r w:rsidRPr="00A33D41">
        <w:t>i.e.</w:t>
      </w:r>
      <w:proofErr w:type="gramEnd"/>
      <w:r w:rsidRPr="00A33D41">
        <w:t xml:space="preserve"> earth-fixe</w:t>
      </w:r>
      <w:r>
        <w:t>d</w:t>
      </w:r>
      <w:r w:rsidRPr="00A33D41">
        <w:t xml:space="preserve"> TA similar to NR</w:t>
      </w:r>
      <w:r>
        <w:t xml:space="preserve"> </w:t>
      </w:r>
      <w:r w:rsidRPr="00A33D41">
        <w:t>NTN). For NTN LEO, this implies that while the cells sweep on the ground, the tracking area</w:t>
      </w:r>
      <w:r w:rsidRPr="00A33D41">
        <w:rPr>
          <w:rFonts w:eastAsia="SimSun"/>
        </w:rPr>
        <w:t xml:space="preserve"> code (</w:t>
      </w:r>
      <w:proofErr w:type="gramStart"/>
      <w:r w:rsidRPr="00A33D41">
        <w:rPr>
          <w:rFonts w:eastAsia="SimSun"/>
        </w:rPr>
        <w:t>i.e.</w:t>
      </w:r>
      <w:proofErr w:type="gramEnd"/>
      <w:r w:rsidRPr="00A33D41">
        <w:rPr>
          <w:rFonts w:eastAsia="SimSun"/>
        </w:rPr>
        <w:t xml:space="preserve"> TAC)</w:t>
      </w:r>
      <w:r w:rsidRPr="00A33D41">
        <w:t xml:space="preserve"> broadcasted is changed, when the cell arrives to the area of next planned earth fixed tracking area location. The TAC broadcasted by the eNB needs to be updated as the eNB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1C58A67F" w14:textId="77777777" w:rsidR="00C759CC" w:rsidRPr="00A33D41" w:rsidRDefault="00C759CC" w:rsidP="00C759CC">
      <w:pPr>
        <w:rPr>
          <w:color w:val="0D0D0D"/>
        </w:rPr>
      </w:pPr>
    </w:p>
    <w:p w14:paraId="0FF8111C" w14:textId="77777777" w:rsidR="00C759CC" w:rsidRPr="00A33D41" w:rsidRDefault="00C759CC" w:rsidP="00C759CC">
      <w:pPr>
        <w:pStyle w:val="TH"/>
        <w:rPr>
          <w:color w:val="0D0D0D"/>
        </w:rPr>
      </w:pPr>
      <w:r w:rsidRPr="00A33D41">
        <w:rPr>
          <w:color w:val="0D0D0D"/>
        </w:rPr>
        <w:object w:dxaOrig="7500" w:dyaOrig="3480" w14:anchorId="1764E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2pt;height:174.6pt" o:ole="">
            <v:imagedata r:id="rId15" o:title=""/>
            <o:lock v:ext="edit" aspectratio="f"/>
          </v:shape>
          <o:OLEObject Type="Embed" ProgID="Visio.Drawing.11" ShapeID="_x0000_i1025" DrawAspect="Content" ObjectID="_1680980851" r:id="rId16"/>
        </w:object>
      </w:r>
    </w:p>
    <w:p w14:paraId="3AB510C6" w14:textId="77777777" w:rsidR="00C759CC" w:rsidRPr="00A33D41" w:rsidRDefault="00C759CC" w:rsidP="00C759CC">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F515F36" w14:textId="77777777" w:rsidR="00C759CC" w:rsidRPr="00A33D41" w:rsidRDefault="00C759CC" w:rsidP="00C759CC">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7FBE67F1" w14:textId="77777777" w:rsidR="00C759CC" w:rsidRPr="00CA2600" w:rsidRDefault="00C759CC" w:rsidP="00C759CC">
      <w:r w:rsidRPr="00CA2600">
        <w:t>The two signalling options to update the broadcast TAC for IoT NTN are described as follows:</w:t>
      </w:r>
    </w:p>
    <w:p w14:paraId="46A673C6" w14:textId="77777777" w:rsidR="00C759CC" w:rsidRPr="00CA2600" w:rsidRDefault="00C759CC" w:rsidP="00C759CC">
      <w:pPr>
        <w:ind w:left="568" w:hanging="284"/>
        <w:rPr>
          <w:b/>
          <w:bCs/>
        </w:rPr>
      </w:pPr>
      <w:r w:rsidRPr="00CA2600">
        <w:rPr>
          <w:b/>
          <w:bCs/>
        </w:rPr>
        <w:t>(1)</w:t>
      </w:r>
      <w:r w:rsidRPr="00CA2600">
        <w:rPr>
          <w:b/>
          <w:bCs/>
        </w:rPr>
        <w:tab/>
        <w:t xml:space="preserve">"Hard switch" option: </w:t>
      </w:r>
    </w:p>
    <w:p w14:paraId="7AB44A11" w14:textId="77777777" w:rsidR="00C759CC" w:rsidRPr="00CA2600" w:rsidRDefault="00C759CC" w:rsidP="00C759CC">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718A77E4" w14:textId="77777777" w:rsidR="00C759CC" w:rsidRPr="00CA2600" w:rsidRDefault="00C759CC" w:rsidP="00C759CC">
      <w:pPr>
        <w:pStyle w:val="TH"/>
      </w:pPr>
      <w:r w:rsidRPr="00CA2600">
        <w:object w:dxaOrig="6492" w:dyaOrig="3312" w14:anchorId="156F78A7">
          <v:shape id="_x0000_i1026" type="#_x0000_t75" style="width:323.4pt;height:166.2pt" o:ole="">
            <v:imagedata r:id="rId17" o:title=""/>
            <o:lock v:ext="edit" aspectratio="f"/>
          </v:shape>
          <o:OLEObject Type="Embed" ProgID="VisioViewer.Viewer.1" ShapeID="_x0000_i1026" DrawAspect="Content" ObjectID="_1680980852" r:id="rId18"/>
        </w:object>
      </w:r>
    </w:p>
    <w:p w14:paraId="682660A2" w14:textId="77777777" w:rsidR="00C759CC" w:rsidRPr="00CA2600" w:rsidRDefault="00C759CC" w:rsidP="00C759CC">
      <w:pPr>
        <w:pStyle w:val="TF"/>
        <w:rPr>
          <w:lang w:eastAsia="zh-CN"/>
        </w:rPr>
      </w:pPr>
      <w:r w:rsidRPr="00CA2600">
        <w:rPr>
          <w:lang w:eastAsia="zh-CN"/>
        </w:rPr>
        <w:t xml:space="preserve">Figure </w:t>
      </w:r>
      <w:r w:rsidRPr="00CA2600">
        <w:rPr>
          <w:color w:val="0D0D0D"/>
        </w:rPr>
        <w:t>7.3.1.1-4</w:t>
      </w:r>
      <w:r w:rsidRPr="00CA2600">
        <w:rPr>
          <w:lang w:eastAsia="zh-CN"/>
        </w:rPr>
        <w:t>: TAC fluctuation at the border area</w:t>
      </w:r>
    </w:p>
    <w:p w14:paraId="23561BF7" w14:textId="77777777" w:rsidR="00C759CC" w:rsidRPr="00CA2600" w:rsidRDefault="00C759CC" w:rsidP="00C759CC">
      <w:pPr>
        <w:ind w:left="568" w:hanging="284"/>
        <w:rPr>
          <w:b/>
          <w:bCs/>
        </w:rPr>
      </w:pPr>
      <w:r w:rsidRPr="00CA2600">
        <w:rPr>
          <w:b/>
          <w:bCs/>
        </w:rPr>
        <w:t>(2)</w:t>
      </w:r>
      <w:r w:rsidRPr="00CA2600">
        <w:rPr>
          <w:b/>
          <w:bCs/>
        </w:rPr>
        <w:tab/>
        <w:t xml:space="preserve">"Soft switch" option: </w:t>
      </w:r>
    </w:p>
    <w:p w14:paraId="397BA8E6" w14:textId="77777777" w:rsidR="00C759CC" w:rsidRPr="00CA2600" w:rsidRDefault="00C759CC" w:rsidP="00C759CC">
      <w:pPr>
        <w:ind w:left="568"/>
      </w:pPr>
      <w:r w:rsidRPr="00CA2600">
        <w:t xml:space="preserve">One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w:t>
      </w:r>
      <w:r w:rsidRPr="00CA2600">
        <w:lastRenderedPageBreak/>
        <w:t xml:space="preserve">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580B550C" w14:textId="57FF563F" w:rsidR="00C759CC" w:rsidRPr="004162CD" w:rsidDel="009F7F53" w:rsidRDefault="00C759CC" w:rsidP="00C759CC">
      <w:pPr>
        <w:pStyle w:val="EditorsNote"/>
        <w:jc w:val="both"/>
        <w:rPr>
          <w:del w:id="47" w:author="Eutelsat-Rapporteur (v01)" w:date="2021-04-22T11:47:00Z"/>
        </w:rPr>
      </w:pPr>
      <w:del w:id="48" w:author="Eutelsat-Rapporteur (v01)" w:date="2021-04-22T11:47:00Z">
        <w:r w:rsidRPr="004162CD" w:rsidDel="009F7F53">
          <w:delText>Editor</w:delText>
        </w:r>
        <w:r w:rsidDel="009F7F53">
          <w:delText>'</w:delText>
        </w:r>
        <w:r w:rsidRPr="004162CD" w:rsidDel="009F7F53">
          <w:delText xml:space="preserve">s Note: </w:delText>
        </w:r>
        <w:r w:rsidRPr="004A6254" w:rsidDel="009F7F53">
          <w:delText>RAN2 will wait for progress in NR NTN for possible updates, if applicable to IoT NTN</w:delText>
        </w:r>
        <w:r w:rsidDel="009F7F53">
          <w:delText>.</w:delText>
        </w:r>
      </w:del>
    </w:p>
    <w:p w14:paraId="7B419FF4" w14:textId="11907BD2" w:rsidR="00A37CBA" w:rsidRPr="004162CD" w:rsidRDefault="00F876E5" w:rsidP="00F876E5">
      <w:pPr>
        <w:pStyle w:val="EditorsNote"/>
        <w:jc w:val="both"/>
        <w:rPr>
          <w:ins w:id="49" w:author="Eutelsat-Rapporteur (v01)" w:date="2021-04-22T01:31:00Z"/>
        </w:rPr>
      </w:pPr>
      <w:bookmarkStart w:id="50" w:name="_Toc66198720"/>
      <w:ins w:id="51" w:author="Emre A. Yavuz" w:date="2021-04-26T12:13:00Z">
        <w:r>
          <w:t xml:space="preserve">Editor’s Note: </w:t>
        </w:r>
      </w:ins>
      <w:ins w:id="52" w:author="Emre A. Yavuz" w:date="2021-04-26T12:15:00Z">
        <w:r w:rsidRPr="00F876E5">
          <w:t>The NR-NTN agreements, where</w:t>
        </w:r>
      </w:ins>
      <w:ins w:id="53" w:author="Eutelsat-Rapporteur (v06)" w:date="2021-04-26T20:16:00Z">
        <w:r w:rsidR="00A820C7">
          <w:t>by</w:t>
        </w:r>
      </w:ins>
      <w:ins w:id="54" w:author="Emre A. Yavuz" w:date="2021-04-26T12:15:00Z">
        <w:r w:rsidRPr="00F876E5">
          <w:t xml:space="preserve"> the network may broadcast more than one TAC per PLMN in a cell</w:t>
        </w:r>
        <w:r>
          <w:t>,</w:t>
        </w:r>
        <w:r w:rsidRPr="00F876E5">
          <w:t xml:space="preserve"> </w:t>
        </w:r>
      </w:ins>
      <w:ins w:id="55" w:author="Eutelsat-Rapporteur (v06)" w:date="2021-04-26T20:11:00Z">
        <w:r w:rsidR="00A820C7">
          <w:t xml:space="preserve">are </w:t>
        </w:r>
      </w:ins>
      <w:ins w:id="56" w:author="Emre A. Yavuz" w:date="2021-04-26T12:15:00Z">
        <w:r w:rsidRPr="00F876E5">
          <w:t>considered for IoT NTN</w:t>
        </w:r>
      </w:ins>
      <w:ins w:id="57" w:author="Emre A. Yavuz" w:date="2021-04-26T12:16:00Z">
        <w:r>
          <w:t xml:space="preserve">, if applicable. Other </w:t>
        </w:r>
      </w:ins>
      <w:ins w:id="58" w:author="Emre A. Yavuz" w:date="2021-04-26T12:15:00Z">
        <w:r w:rsidRPr="00F876E5">
          <w:t xml:space="preserve">options </w:t>
        </w:r>
      </w:ins>
      <w:ins w:id="59" w:author="Emre A. Yavuz" w:date="2021-04-26T12:16:00Z">
        <w:r>
          <w:t xml:space="preserve">are </w:t>
        </w:r>
      </w:ins>
      <w:ins w:id="60" w:author="Emre A. Yavuz" w:date="2021-04-26T12:15:00Z">
        <w:r w:rsidRPr="00F876E5">
          <w:t>not excluded</w:t>
        </w:r>
      </w:ins>
      <w:ins w:id="61" w:author="Emre A. Yavuz" w:date="2021-04-26T12:16:00Z">
        <w:r>
          <w:t>.</w:t>
        </w:r>
      </w:ins>
    </w:p>
    <w:p w14:paraId="45CA90DD" w14:textId="00DB3075" w:rsidR="00C759CC" w:rsidRPr="00A33D41" w:rsidRDefault="00C759CC" w:rsidP="00325DAD">
      <w:pPr>
        <w:pStyle w:val="Heading4"/>
      </w:pPr>
      <w:r w:rsidRPr="00A33D41">
        <w:t>7.3.1.2</w:t>
      </w:r>
      <w:r w:rsidRPr="00A33D41">
        <w:tab/>
        <w:t xml:space="preserve">Using </w:t>
      </w:r>
      <w:del w:id="62" w:author="Eutelsat-Rapporteur (v06)" w:date="2021-04-26T20:18:00Z">
        <w:r w:rsidRPr="00A33D41" w:rsidDel="00A820C7">
          <w:delText xml:space="preserve">ephemeris </w:delText>
        </w:r>
      </w:del>
      <w:ins w:id="63" w:author="Eutelsat-Rapporteur (v06)" w:date="2021-04-26T20:18:00Z">
        <w:r w:rsidR="00A820C7">
          <w:t>satellite assistance</w:t>
        </w:r>
        <w:r w:rsidR="00A820C7" w:rsidRPr="00A33D41">
          <w:t xml:space="preserve"> </w:t>
        </w:r>
      </w:ins>
      <w:r w:rsidRPr="00A33D41">
        <w:t xml:space="preserve">information and UE location </w:t>
      </w:r>
      <w:proofErr w:type="gramStart"/>
      <w:r w:rsidRPr="00A33D41">
        <w:t>information</w:t>
      </w:r>
      <w:bookmarkEnd w:id="50"/>
      <w:proofErr w:type="gramEnd"/>
    </w:p>
    <w:p w14:paraId="07245085" w14:textId="77777777" w:rsidR="00C759CC" w:rsidRPr="00A33D41" w:rsidRDefault="00C759CC" w:rsidP="00C759CC">
      <w:pPr>
        <w:rPr>
          <w:rFonts w:eastAsia="Malgun Gothic"/>
        </w:rPr>
      </w:pPr>
      <w:r>
        <w:rPr>
          <w:rFonts w:eastAsia="Malgun Gothic"/>
        </w:rPr>
        <w:t xml:space="preserve">Satellite assistance (e.g. </w:t>
      </w:r>
      <w:r w:rsidRPr="00A33D41">
        <w:rPr>
          <w:rFonts w:eastAsia="Malgun Gothic"/>
        </w:rPr>
        <w:t>Ephemeris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333CB5BF" w14:textId="1C908FFE" w:rsidR="009F7F53" w:rsidRPr="00A33D41" w:rsidRDefault="00F32B38" w:rsidP="009F7F53">
      <w:pPr>
        <w:rPr>
          <w:ins w:id="64" w:author="Eutelsat-Rapporteur (v01)" w:date="2021-04-22T11:47:00Z"/>
          <w:rFonts w:eastAsia="Malgun Gothic"/>
        </w:rPr>
      </w:pPr>
      <w:ins w:id="65" w:author="Eutelsat-Rapporteur (v01)" w:date="2021-04-22T11:47:00Z">
        <w:r>
          <w:t>Satellite assistance information (</w:t>
        </w:r>
        <w:proofErr w:type="gramStart"/>
        <w:r>
          <w:t>e.g.</w:t>
        </w:r>
        <w:proofErr w:type="gramEnd"/>
        <w:r>
          <w:t xml:space="preserve"> ephemeris information), can be used for the handling of coverage holes</w:t>
        </w:r>
        <w:r w:rsidR="009F7F53">
          <w:t xml:space="preserve"> or discontinuous satellite coverage in a power efficient</w:t>
        </w:r>
      </w:ins>
      <w:ins w:id="66" w:author="Emre A. Yavuz" w:date="2021-04-26T12:23:00Z">
        <w:r w:rsidR="00676F74">
          <w:t xml:space="preserve"> way</w:t>
        </w:r>
      </w:ins>
      <w:ins w:id="67" w:author="Eutelsat-Rapporteur (v01)" w:date="2021-04-22T11:47:00Z">
        <w:r w:rsidR="009F7F53">
          <w:t>.</w:t>
        </w:r>
      </w:ins>
    </w:p>
    <w:p w14:paraId="62944187" w14:textId="1C477D1B" w:rsidR="00F32B38" w:rsidRPr="004162CD" w:rsidRDefault="00F32B38" w:rsidP="00F32B38">
      <w:pPr>
        <w:pStyle w:val="EditorsNote"/>
      </w:pPr>
      <w:r w:rsidRPr="004162CD">
        <w:t>Editor</w:t>
      </w:r>
      <w:r>
        <w:t>'</w:t>
      </w:r>
      <w:r w:rsidRPr="004162CD">
        <w:t xml:space="preserve">s Note: Provisioning of satellite </w:t>
      </w:r>
      <w:ins w:id="68" w:author="CATT" w:date="2021-04-26T19:48:00Z">
        <w:r>
          <w:t>assistance information</w:t>
        </w:r>
      </w:ins>
      <w:ins w:id="69" w:author="Emre A. Yavuz" w:date="2021-04-26T12:34:00Z">
        <w:del w:id="70" w:author="CATT" w:date="2021-04-26T19:48:00Z">
          <w:r w:rsidRPr="004162CD" w:rsidDel="00C52D9C">
            <w:delText>ephemeris data and other information</w:delText>
          </w:r>
        </w:del>
      </w:ins>
      <w:r w:rsidRPr="004162CD">
        <w:t xml:space="preserve"> using System Information (SI) message</w:t>
      </w:r>
      <w:ins w:id="71" w:author="Jerome Vogedes (Consultant)" w:date="2021-04-26T11:45:00Z">
        <w:r>
          <w:t>(s)</w:t>
        </w:r>
      </w:ins>
      <w:r w:rsidRPr="004162CD">
        <w:t xml:space="preserve"> for IoT</w:t>
      </w:r>
      <w:r>
        <w:t xml:space="preserve"> </w:t>
      </w:r>
      <w:r w:rsidRPr="004162CD">
        <w:t>NTN is FFS.</w:t>
      </w:r>
    </w:p>
    <w:p w14:paraId="693F21C0" w14:textId="77777777" w:rsidR="00C759CC" w:rsidRPr="00CA2600" w:rsidRDefault="00C759CC" w:rsidP="00C759CC">
      <w:pPr>
        <w:pStyle w:val="EditorsNote"/>
      </w:pPr>
      <w:r w:rsidRPr="00CA2600">
        <w:t>Editor</w:t>
      </w:r>
      <w:r>
        <w:t>'</w:t>
      </w:r>
      <w:r w:rsidRPr="00CA2600">
        <w:t xml:space="preserve">s Note: </w:t>
      </w:r>
      <w:r w:rsidRPr="00CA2600">
        <w:rPr>
          <w:lang w:eastAsia="zh-CN"/>
        </w:rPr>
        <w:t>RAN2 will wait for RAN1 progress about the details of satellite ephemeris information</w:t>
      </w:r>
      <w:r w:rsidRPr="00CA2600">
        <w:t>.</w:t>
      </w:r>
    </w:p>
    <w:p w14:paraId="35FEBAF0" w14:textId="77777777" w:rsidR="00C759CC" w:rsidRPr="00A33D41" w:rsidRDefault="00C759CC" w:rsidP="00325DAD">
      <w:pPr>
        <w:pStyle w:val="Heading4"/>
      </w:pPr>
      <w:bookmarkStart w:id="72" w:name="_Toc66198721"/>
      <w:r w:rsidRPr="00A33D41">
        <w:t>7.3.1.3</w:t>
      </w:r>
      <w:r w:rsidRPr="00A33D41">
        <w:tab/>
        <w:t xml:space="preserve">Enhancements to UE </w:t>
      </w:r>
      <w:r>
        <w:t xml:space="preserve">Idle mode </w:t>
      </w:r>
      <w:r w:rsidRPr="00A33D41">
        <w:t>mobility</w:t>
      </w:r>
      <w:bookmarkEnd w:id="72"/>
    </w:p>
    <w:p w14:paraId="08564A27" w14:textId="77777777" w:rsidR="00C759CC" w:rsidRPr="00A33D41" w:rsidRDefault="00C759CC" w:rsidP="00C759CC">
      <w:pPr>
        <w:rPr>
          <w:rFonts w:eastAsia="Malgun Gothic"/>
        </w:rPr>
      </w:pPr>
      <w:r w:rsidRPr="00A33D41">
        <w:rPr>
          <w:rFonts w:eastAsia="Malgun Gothic"/>
        </w:rPr>
        <w:t xml:space="preserve">Cell selection/reselection </w:t>
      </w:r>
      <w:r>
        <w:rPr>
          <w:rFonts w:eastAsia="Malgun Gothic"/>
        </w:rPr>
        <w:t xml:space="preserve">mechanisms specified </w:t>
      </w:r>
      <w:r w:rsidRPr="00A33D41">
        <w:rPr>
          <w:rFonts w:eastAsia="Malgun Gothic"/>
        </w:rPr>
        <w:t xml:space="preserve">for </w:t>
      </w:r>
      <w:r>
        <w:rPr>
          <w:lang w:eastAsia="zh-CN"/>
        </w:rPr>
        <w:t xml:space="preserve">NB-IoT/eMTC </w:t>
      </w:r>
      <w:r>
        <w:rPr>
          <w:rFonts w:eastAsia="Malgun Gothic"/>
        </w:rPr>
        <w:t xml:space="preserve">[11] </w:t>
      </w:r>
      <w:r>
        <w:rPr>
          <w:lang w:eastAsia="zh-CN"/>
        </w:rPr>
        <w:t xml:space="preserve">will </w:t>
      </w:r>
      <w:r w:rsidRPr="00A33D41">
        <w:rPr>
          <w:rFonts w:eastAsia="Malgun Gothic"/>
        </w:rPr>
        <w:t>be reused as a baseline</w:t>
      </w:r>
      <w:r>
        <w:rPr>
          <w:rFonts w:eastAsia="Malgun Gothic"/>
        </w:rPr>
        <w:t xml:space="preserve">. </w:t>
      </w:r>
      <w:r>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Pr="00CA2600">
        <w:rPr>
          <w:lang w:eastAsia="zh-CN"/>
        </w:rPr>
        <w:t xml:space="preserve"> </w:t>
      </w:r>
      <w:r>
        <w:rPr>
          <w:lang w:eastAsia="zh-CN"/>
        </w:rPr>
        <w:t>will be considered</w:t>
      </w:r>
      <w:r w:rsidRPr="005B7C8A">
        <w:rPr>
          <w:lang w:eastAsia="zh-CN"/>
        </w:rPr>
        <w:t xml:space="preserve"> </w:t>
      </w:r>
      <w:r>
        <w:rPr>
          <w:lang w:eastAsia="zh-CN"/>
        </w:rPr>
        <w:t>if applicable to IoT NTN</w:t>
      </w:r>
      <w:r w:rsidRPr="00A33D41">
        <w:rPr>
          <w:rFonts w:eastAsia="Malgun Gothic"/>
        </w:rPr>
        <w:t>.</w:t>
      </w:r>
    </w:p>
    <w:p w14:paraId="71678026" w14:textId="77777777" w:rsidR="00C759CC" w:rsidRPr="00A33D41" w:rsidRDefault="00C759CC" w:rsidP="00325DAD">
      <w:pPr>
        <w:pStyle w:val="Heading3"/>
      </w:pPr>
      <w:bookmarkStart w:id="73" w:name="_Toc66197036"/>
      <w:bookmarkStart w:id="74" w:name="_Toc66198722"/>
      <w:r w:rsidRPr="00A33D41">
        <w:t>7.3.2</w:t>
      </w:r>
      <w:r w:rsidRPr="00A33D41">
        <w:tab/>
        <w:t>Connected mode mobility enhancements</w:t>
      </w:r>
      <w:bookmarkEnd w:id="73"/>
      <w:bookmarkEnd w:id="74"/>
    </w:p>
    <w:p w14:paraId="2AAC24AC" w14:textId="77777777" w:rsidR="00C759CC" w:rsidRPr="00CA2600" w:rsidRDefault="00C759CC" w:rsidP="00325DAD">
      <w:pPr>
        <w:pStyle w:val="Heading4"/>
      </w:pPr>
      <w:bookmarkStart w:id="75" w:name="_Toc66198723"/>
      <w:r w:rsidRPr="00CA2600">
        <w:t>7.3.2.1</w:t>
      </w:r>
      <w:r w:rsidRPr="00CA2600">
        <w:tab/>
        <w:t>General</w:t>
      </w:r>
      <w:bookmarkEnd w:id="75"/>
    </w:p>
    <w:p w14:paraId="29079F7F" w14:textId="77777777" w:rsidR="00C759CC" w:rsidRPr="00A33D41" w:rsidRDefault="00C759CC" w:rsidP="00C759CC">
      <w:r w:rsidRPr="00A33D41">
        <w:t>Similar to NR</w:t>
      </w:r>
      <w:r>
        <w:t xml:space="preserve"> </w:t>
      </w:r>
      <w:r w:rsidRPr="00A33D41">
        <w:t>NTN [3], for LEO NTN, mobility management procedures should take satellite movement into account, while for GEO NTN, the large propagation delay needs to be accommodated.</w:t>
      </w:r>
    </w:p>
    <w:p w14:paraId="247E89C7" w14:textId="77777777" w:rsidR="00C759CC" w:rsidRPr="00A33D41" w:rsidRDefault="00C759CC" w:rsidP="00325DAD">
      <w:pPr>
        <w:pStyle w:val="Heading4"/>
      </w:pPr>
      <w:bookmarkStart w:id="76" w:name="_Toc66198724"/>
      <w:r w:rsidRPr="00A33D41">
        <w:t>7.3.2.</w:t>
      </w:r>
      <w:r>
        <w:t>2</w:t>
      </w:r>
      <w:r w:rsidRPr="00A33D41">
        <w:tab/>
        <w:t xml:space="preserve">Connected </w:t>
      </w:r>
      <w:r>
        <w:t>m</w:t>
      </w:r>
      <w:r w:rsidRPr="00A33D41">
        <w:t xml:space="preserve">ode </w:t>
      </w:r>
      <w:r>
        <w:t>m</w:t>
      </w:r>
      <w:r w:rsidRPr="00A33D41">
        <w:t>obility for NB-IoT NTN</w:t>
      </w:r>
      <w:bookmarkEnd w:id="76"/>
    </w:p>
    <w:p w14:paraId="25786B70" w14:textId="77777777" w:rsidR="00C759CC" w:rsidRPr="00A33D41" w:rsidRDefault="00C759CC" w:rsidP="00C759CC">
      <w:r w:rsidRPr="00A33D41">
        <w:t xml:space="preserve">There are no </w:t>
      </w:r>
      <w:r>
        <w:t>c</w:t>
      </w:r>
      <w:r w:rsidRPr="00A33D41">
        <w:t xml:space="preserve">onnected </w:t>
      </w:r>
      <w:r>
        <w:t>m</w:t>
      </w:r>
      <w:r w:rsidRPr="00A33D41">
        <w:t xml:space="preserve">ode mobility procedures defined for NB-IoT. When an NB-IoT UE goes out of service coverage of the source cell, it experiences a Radio Link Failure (RLF). This triggers the UE to perform RRC connection re-establishment. </w:t>
      </w:r>
    </w:p>
    <w:p w14:paraId="17BE80DB" w14:textId="79244700" w:rsidR="00C759CC" w:rsidRPr="00A33D41" w:rsidRDefault="00C759CC" w:rsidP="00C759CC">
      <w:pPr>
        <w:rPr>
          <w:color w:val="0D0D0D"/>
        </w:rPr>
      </w:pPr>
      <w:del w:id="77" w:author="Emre A. Yavuz" w:date="2021-04-26T12:43:00Z">
        <w:r w:rsidDel="000F27D8">
          <w:delText xml:space="preserve">Release-16 </w:delText>
        </w:r>
      </w:del>
      <w:ins w:id="78" w:author="Eutelsat-Rapporteur (v01)" w:date="2021-04-22T11:48:00Z">
        <w:r w:rsidR="009F7F53">
          <w:t xml:space="preserve">RLF and </w:t>
        </w:r>
      </w:ins>
      <w:r>
        <w:t>RRC connection re-establishment procedure</w:t>
      </w:r>
      <w:ins w:id="79" w:author="Eutelsat-Rapporteur (v01)" w:date="2021-04-22T11:48:00Z">
        <w:r w:rsidR="009F7F53">
          <w:t>s</w:t>
        </w:r>
      </w:ins>
      <w:ins w:id="80" w:author="Emre A. Yavuz" w:date="2021-04-26T12:43:00Z">
        <w:r w:rsidR="000F27D8">
          <w:t xml:space="preserve">, </w:t>
        </w:r>
      </w:ins>
      <w:ins w:id="81" w:author="Eutelsat-Rapporteur (v06)" w:date="2021-04-26T20:41:00Z">
        <w:r w:rsidR="00671C88">
          <w:t xml:space="preserve">as specified </w:t>
        </w:r>
      </w:ins>
      <w:ins w:id="82" w:author="Eutelsat-Rapporteur (v06)" w:date="2021-04-26T20:45:00Z">
        <w:r w:rsidR="00671C88">
          <w:t xml:space="preserve">in the standard </w:t>
        </w:r>
      </w:ins>
      <w:ins w:id="83" w:author="Emre A. Yavuz" w:date="2021-04-26T12:43:00Z">
        <w:r w:rsidR="000F27D8">
          <w:t>up to Release</w:t>
        </w:r>
      </w:ins>
      <w:ins w:id="84" w:author="Emre A. Yavuz" w:date="2021-04-26T12:44:00Z">
        <w:r w:rsidR="000F27D8">
          <w:t xml:space="preserve"> 16,</w:t>
        </w:r>
      </w:ins>
      <w:ins w:id="85" w:author="Eutelsat-Rapporteur (v01)" w:date="2021-04-22T11:48:00Z">
        <w:r w:rsidR="009F7F53">
          <w:t xml:space="preserve"> are</w:t>
        </w:r>
      </w:ins>
      <w:ins w:id="86" w:author="Eutelsat-Rapporteur (v01)" w:date="2021-04-22T01:39:00Z">
        <w:r w:rsidR="00262EE0">
          <w:t xml:space="preserve"> </w:t>
        </w:r>
      </w:ins>
      <w:del w:id="87" w:author="Eutelsat-Rapporteur (v01)" w:date="2021-04-22T11:48:00Z">
        <w:r w:rsidDel="009F7F53">
          <w:delText xml:space="preserve">is </w:delText>
        </w:r>
      </w:del>
      <w:r>
        <w:t xml:space="preserve">used as a baseline in NB-IoT NTN. </w:t>
      </w:r>
      <w:r w:rsidRPr="00206D01">
        <w:t>Rel</w:t>
      </w:r>
      <w:r>
        <w:t>ease</w:t>
      </w:r>
      <w:r w:rsidRPr="00206D01">
        <w:t>-17</w:t>
      </w:r>
      <w:ins w:id="88" w:author="Eutelsat-Rapporteur (v01)" w:date="2021-04-22T01:35:00Z">
        <w:r w:rsidR="00A37CBA">
          <w:t xml:space="preserve"> </w:t>
        </w:r>
      </w:ins>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T NTN, if applicable. Further enhancements can be considered, e.g. by using satellite assistance (ephemeris) information.</w:t>
      </w:r>
    </w:p>
    <w:p w14:paraId="02620AE2" w14:textId="77777777" w:rsidR="00C759CC" w:rsidRPr="00A33D41" w:rsidRDefault="00C759CC" w:rsidP="00325DAD">
      <w:pPr>
        <w:pStyle w:val="Heading4"/>
      </w:pPr>
      <w:bookmarkStart w:id="89" w:name="_Toc66198725"/>
      <w:r w:rsidRPr="00A33D41">
        <w:t>7.3.2.</w:t>
      </w:r>
      <w:r>
        <w:t>3</w:t>
      </w:r>
      <w:r w:rsidRPr="00A33D41">
        <w:tab/>
        <w:t xml:space="preserve">Connected </w:t>
      </w:r>
      <w:r>
        <w:t>m</w:t>
      </w:r>
      <w:r w:rsidRPr="00A33D41">
        <w:t xml:space="preserve">ode </w:t>
      </w:r>
      <w:r>
        <w:t>m</w:t>
      </w:r>
      <w:r w:rsidRPr="00A33D41">
        <w:t>obility for eMTC NTN</w:t>
      </w:r>
      <w:bookmarkEnd w:id="89"/>
    </w:p>
    <w:p w14:paraId="064831DC" w14:textId="77777777" w:rsidR="00C759CC" w:rsidRPr="00A33D41" w:rsidRDefault="00C759CC" w:rsidP="00C759CC">
      <w:r w:rsidRPr="00A33D41">
        <w:t>Challenges in connected mode mobility for eMTC NTN are similar to the connected mode mobility issues in NR</w:t>
      </w:r>
      <w:r>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42986E64" w14:textId="1911649C" w:rsidR="009F7F53" w:rsidRPr="00A33D41" w:rsidRDefault="009F7F53" w:rsidP="009F7F53">
      <w:pPr>
        <w:rPr>
          <w:ins w:id="90" w:author="Eutelsat-Rapporteur (v01)" w:date="2021-04-22T11:48:00Z"/>
          <w:rFonts w:eastAsia="Malgun Gothic"/>
        </w:rPr>
      </w:pPr>
      <w:ins w:id="91" w:author="Eutelsat-Rapporteur (v01)" w:date="2021-04-22T11:48:00Z">
        <w:r>
          <w:t>RLF and RRC connection re</w:t>
        </w:r>
      </w:ins>
      <w:ins w:id="92" w:author="Eutelsat-Rapporteur (v06)" w:date="2021-04-26T21:54:00Z">
        <w:r w:rsidR="00330CDD">
          <w:t>-</w:t>
        </w:r>
      </w:ins>
      <w:ins w:id="93" w:author="Eutelsat-Rapporteur (v01)" w:date="2021-04-22T11:48:00Z">
        <w:r>
          <w:t>establishment procedures</w:t>
        </w:r>
      </w:ins>
      <w:ins w:id="94" w:author="Emre A. Yavuz" w:date="2021-04-26T12:38:00Z">
        <w:r w:rsidR="00F22EA0">
          <w:t xml:space="preserve">, </w:t>
        </w:r>
      </w:ins>
      <w:ins w:id="95" w:author="Eutelsat-Rapporteur (v06)" w:date="2021-04-26T20:46:00Z">
        <w:r w:rsidR="00671C88">
          <w:t xml:space="preserve">as specified in the standard </w:t>
        </w:r>
      </w:ins>
      <w:ins w:id="96" w:author="Emre A. Yavuz" w:date="2021-04-26T12:38:00Z">
        <w:r w:rsidR="00F22EA0">
          <w:t>up to Release</w:t>
        </w:r>
      </w:ins>
      <w:ins w:id="97" w:author="Emre A. Yavuz" w:date="2021-04-26T12:44:00Z">
        <w:r w:rsidR="000F27D8">
          <w:t xml:space="preserve"> </w:t>
        </w:r>
      </w:ins>
      <w:ins w:id="98" w:author="Emre A. Yavuz" w:date="2021-04-26T12:38:00Z">
        <w:r w:rsidR="00F22EA0">
          <w:t>16,</w:t>
        </w:r>
      </w:ins>
      <w:ins w:id="99" w:author="Eutelsat-Rapporteur (v01)" w:date="2021-04-22T11:48:00Z">
        <w:r>
          <w:t xml:space="preserve"> can be used</w:t>
        </w:r>
      </w:ins>
      <w:ins w:id="100" w:author="Jerome Vogedes (Consultant)" w:date="2021-04-23T11:25:00Z">
        <w:r w:rsidR="00193397">
          <w:t xml:space="preserve"> as a baseline</w:t>
        </w:r>
      </w:ins>
      <w:ins w:id="101" w:author="Eutelsat-Rapporteur (v06)" w:date="2021-04-26T20:46:00Z">
        <w:r w:rsidR="00671C88" w:rsidRPr="00671C88">
          <w:t xml:space="preserve"> </w:t>
        </w:r>
        <w:r w:rsidR="00671C88">
          <w:t xml:space="preserve">in </w:t>
        </w:r>
        <w:proofErr w:type="spellStart"/>
        <w:r w:rsidR="00671C88">
          <w:t>eMTC</w:t>
        </w:r>
        <w:proofErr w:type="spellEnd"/>
        <w:r w:rsidR="00671C88">
          <w:t xml:space="preserve"> NTN</w:t>
        </w:r>
      </w:ins>
      <w:ins w:id="102" w:author="Jerome Vogedes (Consultant)" w:date="2021-04-23T11:26:00Z">
        <w:r w:rsidR="00193397">
          <w:t>.</w:t>
        </w:r>
      </w:ins>
      <w:ins w:id="103" w:author="Eutelsat-Rapporteur (v06)" w:date="2021-04-26T21:53:00Z">
        <w:r w:rsidR="00330CDD">
          <w:t xml:space="preserve"> </w:t>
        </w:r>
      </w:ins>
      <w:ins w:id="104" w:author="Eutelsat-Rapporteur (v06)" w:date="2021-04-26T21:10:00Z">
        <w:r w:rsidR="006B2B74">
          <w:t>F</w:t>
        </w:r>
      </w:ins>
      <w:ins w:id="105" w:author="Eutelsat-Rapporteur (v06)" w:date="2021-04-26T21:08:00Z">
        <w:r w:rsidR="002E6B27">
          <w:t xml:space="preserve">urther </w:t>
        </w:r>
      </w:ins>
      <w:ins w:id="106" w:author="Emre A. Yavuz" w:date="2021-04-26T12:46:00Z">
        <w:r w:rsidR="000F27D8">
          <w:t xml:space="preserve">enhancements </w:t>
        </w:r>
      </w:ins>
      <w:proofErr w:type="gramStart"/>
      <w:ins w:id="107" w:author="Eutelsat-Rapporteur (v06)" w:date="2021-04-26T21:08:00Z">
        <w:r w:rsidR="002E6B27">
          <w:t>similar to</w:t>
        </w:r>
        <w:proofErr w:type="gramEnd"/>
        <w:r w:rsidR="002E6B27">
          <w:t xml:space="preserve"> those determined for NB-IoT </w:t>
        </w:r>
      </w:ins>
      <w:ins w:id="108" w:author="Eutelsat-Rapporteur (v06)" w:date="2021-04-26T21:35:00Z">
        <w:r w:rsidR="00B1412C">
          <w:t xml:space="preserve">NTN </w:t>
        </w:r>
        <w:r w:rsidR="006277F1">
          <w:t xml:space="preserve">and </w:t>
        </w:r>
        <w:r w:rsidR="00B1412C">
          <w:t xml:space="preserve">applicable to </w:t>
        </w:r>
        <w:proofErr w:type="spellStart"/>
        <w:r w:rsidR="00B1412C">
          <w:t>eMTC</w:t>
        </w:r>
        <w:proofErr w:type="spellEnd"/>
        <w:r w:rsidR="00B1412C">
          <w:t xml:space="preserve"> NTN </w:t>
        </w:r>
      </w:ins>
      <w:ins w:id="109" w:author="Eutelsat-Rapporteur (v01)" w:date="2021-04-22T11:48:00Z">
        <w:r>
          <w:t>can be considered.</w:t>
        </w:r>
      </w:ins>
    </w:p>
    <w:p w14:paraId="1AAD696B" w14:textId="77777777" w:rsidR="00C759CC" w:rsidRPr="00CA2600" w:rsidRDefault="00C759CC" w:rsidP="00C759CC">
      <w:pPr>
        <w:rPr>
          <w:color w:val="0D0D0D"/>
        </w:rPr>
      </w:pPr>
      <w:r w:rsidRPr="00CA2600">
        <w:rPr>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09B1E397" w14:textId="77777777" w:rsidR="00C759CC" w:rsidRPr="00CA2600" w:rsidRDefault="00C759CC" w:rsidP="00C759CC">
      <w:pPr>
        <w:pStyle w:val="B1"/>
      </w:pPr>
      <w:r>
        <w:t>-</w:t>
      </w:r>
      <w:r>
        <w:tab/>
      </w:r>
      <w:r w:rsidRPr="00CA2600">
        <w:t>The existing measurement framework for CHO (e.g. measurement configuration, execution) is the baseline.</w:t>
      </w:r>
    </w:p>
    <w:p w14:paraId="0874C527" w14:textId="77777777" w:rsidR="00C759CC" w:rsidRPr="00CA2600" w:rsidRDefault="00C759CC" w:rsidP="00C759CC">
      <w:pPr>
        <w:pStyle w:val="B1"/>
      </w:pPr>
      <w:r>
        <w:t>-</w:t>
      </w:r>
      <w:r>
        <w:tab/>
      </w:r>
      <w:r w:rsidRPr="00CA2600">
        <w:t>The existing measurement criteria and events applicable to eMTC can be used for IoT</w:t>
      </w:r>
      <w:r w:rsidRPr="00CA2600">
        <w:rPr>
          <w:lang w:eastAsia="zh-CN"/>
        </w:rPr>
        <w:t xml:space="preserve"> </w:t>
      </w:r>
      <w:r w:rsidRPr="00CA2600">
        <w:t>NTN. Support for new measurement</w:t>
      </w:r>
      <w:del w:id="110" w:author="Jerome Vogedes (Consultant)" w:date="2021-04-23T11:38:00Z">
        <w:r w:rsidRPr="00CA2600" w:rsidDel="00964EC7">
          <w:delText>s</w:delText>
        </w:r>
      </w:del>
      <w:r w:rsidRPr="00CA2600">
        <w:t xml:space="preserve"> types would need justification, but is not precluded, </w:t>
      </w:r>
      <w:proofErr w:type="gramStart"/>
      <w:r w:rsidRPr="00CA2600">
        <w:t>e.g.</w:t>
      </w:r>
      <w:proofErr w:type="gramEnd"/>
      <w:r w:rsidRPr="00CA2600">
        <w:t xml:space="preserve"> for enhanced coverage.</w:t>
      </w:r>
    </w:p>
    <w:p w14:paraId="02BC2839" w14:textId="77777777" w:rsidR="00C759CC" w:rsidRPr="00CA2600" w:rsidRDefault="00C759CC" w:rsidP="00C759CC">
      <w:pPr>
        <w:pStyle w:val="B1"/>
      </w:pPr>
      <w:r>
        <w:lastRenderedPageBreak/>
        <w:t>-</w:t>
      </w:r>
      <w:r>
        <w:tab/>
      </w:r>
      <w:r w:rsidRPr="00CA2600">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C80185E" w14:textId="6B6E289F" w:rsidR="009F7F53" w:rsidRPr="00CA2600" w:rsidRDefault="009F7F53" w:rsidP="009F7F53">
      <w:pPr>
        <w:pStyle w:val="B1"/>
        <w:rPr>
          <w:ins w:id="111" w:author="Eutelsat-Rapporteur (v01)" w:date="2021-04-22T11:48:00Z"/>
        </w:rPr>
      </w:pPr>
      <w:ins w:id="112" w:author="Eutelsat-Rapporteur (v01)" w:date="2021-04-22T11:48:00Z">
        <w:r>
          <w:t>-</w:t>
        </w:r>
        <w:r>
          <w:tab/>
          <w:t>Enhancements to CHO, e.g.</w:t>
        </w:r>
      </w:ins>
      <w:ins w:id="113" w:author="Jerome Vogedes (Consultant)" w:date="2021-04-23T11:36:00Z">
        <w:r w:rsidR="009B26B3">
          <w:t>,</w:t>
        </w:r>
      </w:ins>
      <w:ins w:id="114" w:author="Eutelsat-Rapporteur (v01)" w:date="2021-04-22T11:48:00Z">
        <w:r>
          <w:t xml:space="preserve"> </w:t>
        </w:r>
        <w:r w:rsidRPr="00FD0208">
          <w:t>location</w:t>
        </w:r>
      </w:ins>
      <w:bookmarkStart w:id="115" w:name="_Hlk70367025"/>
      <w:ins w:id="116" w:author="Eutelsat-Rapporteur (v06)" w:date="2021-04-26T21:58:00Z">
        <w:r w:rsidR="00330CDD">
          <w:t>-</w:t>
        </w:r>
        <w:proofErr w:type="gramStart"/>
        <w:r w:rsidR="00330CDD" w:rsidRPr="00FD0208">
          <w:t>based</w:t>
        </w:r>
      </w:ins>
      <w:bookmarkEnd w:id="115"/>
      <w:proofErr w:type="gramEnd"/>
      <w:ins w:id="117" w:author="Eutelsat-Rapporteur (v01)" w:date="2021-04-22T11:48:00Z">
        <w:r w:rsidRPr="00FD0208">
          <w:t xml:space="preserve"> and time</w:t>
        </w:r>
      </w:ins>
      <w:bookmarkStart w:id="118" w:name="_Hlk70367032"/>
      <w:ins w:id="119" w:author="Eutelsat-Rapporteur (v06)" w:date="2021-04-26T21:58:00Z">
        <w:r w:rsidR="00330CDD">
          <w:t>-</w:t>
        </w:r>
      </w:ins>
      <w:bookmarkEnd w:id="118"/>
      <w:ins w:id="120" w:author="Eutelsat-Rapporteur (v01)" w:date="2021-04-22T11:48:00Z">
        <w:r w:rsidRPr="00FD0208">
          <w:t>based triggering event</w:t>
        </w:r>
        <w:r>
          <w:t xml:space="preserve">s related to CHO in </w:t>
        </w:r>
        <w:proofErr w:type="spellStart"/>
        <w:r>
          <w:t>eMTC</w:t>
        </w:r>
        <w:proofErr w:type="spellEnd"/>
        <w:r>
          <w:t xml:space="preserve"> NTN</w:t>
        </w:r>
      </w:ins>
      <w:ins w:id="121" w:author="Jerome Vogedes (Consultant)" w:date="2021-04-23T11:37:00Z">
        <w:r w:rsidR="009B26B3">
          <w:t>,</w:t>
        </w:r>
      </w:ins>
      <w:ins w:id="122" w:author="Eutelsat-Rapporteur (v01)" w:date="2021-04-22T11:48:00Z">
        <w:r>
          <w:t xml:space="preserve"> should </w:t>
        </w:r>
      </w:ins>
      <w:ins w:id="123" w:author="Eutelsat-Rapporteur (v02)" w:date="2021-04-23T01:09:00Z">
        <w:r w:rsidR="00084B85">
          <w:t xml:space="preserve">be based on </w:t>
        </w:r>
      </w:ins>
      <w:ins w:id="124" w:author="Emre A. Yavuz" w:date="2021-04-26T12:51:00Z">
        <w:r w:rsidR="005068B7">
          <w:t>enhancements to CHO in</w:t>
        </w:r>
      </w:ins>
      <w:ins w:id="125" w:author="Eutelsat-Rapporteur (v01)" w:date="2021-04-22T11:48:00Z">
        <w:r>
          <w:t xml:space="preserve"> NR NTN</w:t>
        </w:r>
        <w:r w:rsidRPr="00CA2600">
          <w:t>.</w:t>
        </w:r>
        <w:del w:id="126" w:author="Eutelsat-Rapporteur (v02)" w:date="2021-04-22T18:49:00Z">
          <w:r w:rsidRPr="00CA2600" w:rsidDel="003A79DF">
            <w:delText xml:space="preserve"> </w:delText>
          </w:r>
        </w:del>
      </w:ins>
    </w:p>
    <w:p w14:paraId="075FD3A3" w14:textId="77777777" w:rsidR="00C759CC" w:rsidRPr="00CA2600" w:rsidRDefault="00C759CC" w:rsidP="00C759CC">
      <w:pPr>
        <w:pStyle w:val="NO"/>
      </w:pPr>
      <w:r w:rsidRPr="00CA2600">
        <w:t>NOTE 1:</w:t>
      </w:r>
      <w:r w:rsidRPr="00CA2600">
        <w:tab/>
        <w:t>CHO for IoT NTN does not apply for E-UTRA connected to 5GC (a similar limitation applies in Release-16).</w:t>
      </w:r>
    </w:p>
    <w:p w14:paraId="0246C38A" w14:textId="77777777" w:rsidR="00C759CC" w:rsidRPr="00CA2600" w:rsidRDefault="00C759CC" w:rsidP="00325DAD">
      <w:pPr>
        <w:pStyle w:val="Heading3"/>
      </w:pPr>
      <w:bookmarkStart w:id="127" w:name="_Toc66197037"/>
      <w:bookmarkStart w:id="128" w:name="_Toc66198726"/>
      <w:r w:rsidRPr="00CA2600">
        <w:t>7.3.3</w:t>
      </w:r>
      <w:r w:rsidRPr="00CA2600">
        <w:tab/>
        <w:t xml:space="preserve">Paging </w:t>
      </w:r>
      <w:r>
        <w:t>c</w:t>
      </w:r>
      <w:r w:rsidRPr="00CA2600">
        <w:t>apacity</w:t>
      </w:r>
      <w:bookmarkEnd w:id="127"/>
      <w:bookmarkEnd w:id="128"/>
    </w:p>
    <w:p w14:paraId="6FC83124" w14:textId="77777777" w:rsidR="00C759CC" w:rsidRPr="00CA2600" w:rsidRDefault="00C759CC" w:rsidP="00C759CC">
      <w:r w:rsidRPr="00CA2600">
        <w:rPr>
          <w:lang w:eastAsia="zh-CN"/>
        </w:rPr>
        <w:t>The paging capacity and the impact on the size of the Tracking Area are evaluated considering the target IoT NTN device density captured in Annex B.2.</w:t>
      </w:r>
    </w:p>
    <w:p w14:paraId="6E122B3A" w14:textId="77777777" w:rsidR="00C759CC" w:rsidRPr="00CA2600" w:rsidRDefault="00C759CC" w:rsidP="00C759CC">
      <w:pPr>
        <w:pStyle w:val="EditorsNote"/>
      </w:pPr>
      <w:r w:rsidRPr="00CA2600">
        <w:t>Editor</w:t>
      </w:r>
      <w:r>
        <w:t>'</w:t>
      </w:r>
      <w:r w:rsidRPr="00CA2600">
        <w:t>s Note: Paging capacity is evaluated using the methodology captured in TR 38.821 as the baseline.</w:t>
      </w:r>
    </w:p>
    <w:p w14:paraId="373A7A99" w14:textId="77777777" w:rsidR="00133970" w:rsidRPr="00124C4F" w:rsidRDefault="00133970" w:rsidP="00FC58DF"/>
    <w:p w14:paraId="0F0B4C74" w14:textId="416B662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38"/>
    <w:bookmarkEnd w:id="39"/>
    <w:p w14:paraId="36964934" w14:textId="59A25987"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68E75898" w14:textId="77777777" w:rsidR="009F7F53" w:rsidRPr="005E0572" w:rsidRDefault="009F7F53" w:rsidP="009F7F53">
      <w:pPr>
        <w:pStyle w:val="Heading1"/>
        <w:rPr>
          <w:ins w:id="129" w:author="Eutelsat-Rapporteur (v01)" w:date="2021-04-22T11:49:00Z"/>
        </w:rPr>
      </w:pPr>
      <w:bookmarkStart w:id="130" w:name="_Toc66198731"/>
      <w:ins w:id="131" w:author="Eutelsat-Rapporteur (v01)" w:date="2021-04-22T11:49:00Z">
        <w:r w:rsidRPr="005E0572">
          <w:t xml:space="preserve">Annex C: </w:t>
        </w:r>
        <w:r w:rsidRPr="005E0572">
          <w:br/>
        </w:r>
        <w:bookmarkEnd w:id="130"/>
        <w:r w:rsidRPr="005E0572">
          <w:t>IoT NTN essential parts</w:t>
        </w:r>
      </w:ins>
    </w:p>
    <w:p w14:paraId="0E3EAE57" w14:textId="77777777" w:rsidR="009F7F53" w:rsidRPr="005E0572" w:rsidRDefault="009F7F53" w:rsidP="009F7F53">
      <w:pPr>
        <w:keepNext/>
        <w:keepLines/>
        <w:pBdr>
          <w:top w:val="single" w:sz="12" w:space="3" w:color="auto"/>
        </w:pBdr>
        <w:spacing w:before="240"/>
        <w:ind w:left="1134" w:hanging="1134"/>
        <w:outlineLvl w:val="0"/>
        <w:rPr>
          <w:ins w:id="132" w:author="Eutelsat-Rapporteur (v01)" w:date="2021-04-22T11:49:00Z"/>
          <w:rFonts w:ascii="Arial" w:eastAsia="Times New Roman" w:hAnsi="Arial"/>
          <w:sz w:val="36"/>
        </w:rPr>
      </w:pPr>
      <w:bookmarkStart w:id="133" w:name="_Toc26621098"/>
      <w:bookmarkStart w:id="134" w:name="_Toc30079910"/>
      <w:bookmarkStart w:id="135" w:name="_Toc66197041"/>
      <w:bookmarkStart w:id="136" w:name="_Toc66198732"/>
      <w:ins w:id="137" w:author="Eutelsat-Rapporteur (v01)" w:date="2021-04-22T11:49:00Z">
        <w:r>
          <w:rPr>
            <w:rFonts w:ascii="Arial" w:eastAsia="Times New Roman" w:hAnsi="Arial"/>
            <w:sz w:val="36"/>
          </w:rPr>
          <w:t>C</w:t>
        </w:r>
        <w:r w:rsidRPr="005E0572">
          <w:rPr>
            <w:rFonts w:ascii="Arial" w:eastAsia="Times New Roman" w:hAnsi="Arial"/>
            <w:sz w:val="36"/>
          </w:rPr>
          <w:t>.1</w:t>
        </w:r>
        <w:r w:rsidRPr="005E0572">
          <w:rPr>
            <w:rFonts w:ascii="Arial" w:eastAsia="Times New Roman" w:hAnsi="Arial"/>
            <w:sz w:val="36"/>
          </w:rPr>
          <w:tab/>
        </w:r>
        <w:r w:rsidRPr="005E0572">
          <w:rPr>
            <w:rFonts w:ascii="Arial" w:eastAsia="Times New Roman" w:hAnsi="Arial"/>
            <w:sz w:val="36"/>
          </w:rPr>
          <w:tab/>
          <w:t>Introduction</w:t>
        </w:r>
      </w:ins>
    </w:p>
    <w:bookmarkEnd w:id="133"/>
    <w:bookmarkEnd w:id="134"/>
    <w:bookmarkEnd w:id="135"/>
    <w:bookmarkEnd w:id="136"/>
    <w:p w14:paraId="15B30165" w14:textId="77777777" w:rsidR="009F7F53" w:rsidRPr="00B923D6" w:rsidRDefault="009F7F53" w:rsidP="009F7F53">
      <w:pPr>
        <w:rPr>
          <w:ins w:id="138" w:author="Eutelsat-Rapporteur (v01)" w:date="2021-04-22T11:49:00Z"/>
        </w:rPr>
      </w:pPr>
      <w:ins w:id="139" w:author="Eutelsat-Rapporteur (v01)" w:date="2021-04-22T11:49:00Z">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ins>
    </w:p>
    <w:p w14:paraId="0F49459A" w14:textId="77777777" w:rsidR="009F7F53" w:rsidRDefault="009F7F53" w:rsidP="009F7F53">
      <w:pPr>
        <w:keepNext/>
        <w:keepLines/>
        <w:pBdr>
          <w:top w:val="single" w:sz="12" w:space="3" w:color="auto"/>
        </w:pBdr>
        <w:spacing w:before="240"/>
        <w:ind w:left="1134" w:hanging="1134"/>
        <w:outlineLvl w:val="0"/>
        <w:rPr>
          <w:ins w:id="140" w:author="Eutelsat-Rapporteur (v01)" w:date="2021-04-22T11:49:00Z"/>
          <w:rFonts w:ascii="Arial" w:eastAsia="Times New Roman" w:hAnsi="Arial"/>
          <w:sz w:val="36"/>
        </w:rPr>
      </w:pPr>
      <w:ins w:id="141"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w:t>
        </w:r>
        <w:r w:rsidRPr="005E0572">
          <w:rPr>
            <w:rFonts w:ascii="Arial" w:eastAsia="Times New Roman" w:hAnsi="Arial"/>
            <w:sz w:val="36"/>
          </w:rPr>
          <w:tab/>
          <w:t>RAN2 Agreements</w:t>
        </w:r>
      </w:ins>
    </w:p>
    <w:p w14:paraId="08FFEA7C" w14:textId="77777777" w:rsidR="009F7F53" w:rsidRDefault="009F7F53" w:rsidP="009F7F53">
      <w:pPr>
        <w:keepNext/>
        <w:keepLines/>
        <w:pBdr>
          <w:top w:val="single" w:sz="12" w:space="3" w:color="auto"/>
        </w:pBdr>
        <w:spacing w:before="240"/>
        <w:ind w:left="1134" w:hanging="1134"/>
        <w:outlineLvl w:val="0"/>
        <w:rPr>
          <w:ins w:id="142" w:author="Eutelsat-Rapporteur (v01)" w:date="2021-04-22T11:49:00Z"/>
          <w:rFonts w:ascii="Arial" w:eastAsia="Times New Roman" w:hAnsi="Arial"/>
          <w:sz w:val="36"/>
        </w:rPr>
      </w:pPr>
      <w:ins w:id="143"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2.1</w:t>
        </w:r>
        <w:r w:rsidRPr="005E0572">
          <w:rPr>
            <w:rFonts w:ascii="Arial" w:eastAsia="Times New Roman" w:hAnsi="Arial"/>
            <w:sz w:val="36"/>
          </w:rPr>
          <w:tab/>
          <w:t xml:space="preserve">Agreements </w:t>
        </w:r>
        <w:r>
          <w:rPr>
            <w:rFonts w:ascii="Arial" w:eastAsia="Times New Roman" w:hAnsi="Arial"/>
            <w:sz w:val="36"/>
          </w:rPr>
          <w:t xml:space="preserve">at </w:t>
        </w:r>
        <w:r w:rsidRPr="005E0572">
          <w:rPr>
            <w:rFonts w:ascii="Arial" w:eastAsia="Times New Roman" w:hAnsi="Arial"/>
            <w:sz w:val="36"/>
          </w:rPr>
          <w:t>RAN2</w:t>
        </w:r>
        <w:r>
          <w:rPr>
            <w:rFonts w:ascii="Arial" w:eastAsia="Times New Roman" w:hAnsi="Arial"/>
            <w:sz w:val="36"/>
          </w:rPr>
          <w:t xml:space="preserve"> #113bis-e (April 2021)</w:t>
        </w:r>
        <w:r w:rsidRPr="005E0572">
          <w:rPr>
            <w:rFonts w:ascii="Arial" w:eastAsia="Times New Roman" w:hAnsi="Arial"/>
            <w:sz w:val="36"/>
          </w:rPr>
          <w:t xml:space="preserve"> </w:t>
        </w:r>
      </w:ins>
    </w:p>
    <w:p w14:paraId="5CD339BD" w14:textId="77777777" w:rsidR="009F7F53" w:rsidRDefault="009F7F53" w:rsidP="009F7F53">
      <w:pPr>
        <w:pStyle w:val="Agreement"/>
        <w:rPr>
          <w:ins w:id="144" w:author="Eutelsat-Rapporteur (v01)" w:date="2021-04-22T11:49:00Z"/>
        </w:rPr>
      </w:pPr>
      <w:ins w:id="145" w:author="Eutelsat-Rapporteur (v01)" w:date="2021-04-22T11:49:00Z">
        <w:r>
          <w:t>The following points are endorsed</w:t>
        </w:r>
      </w:ins>
    </w:p>
    <w:p w14:paraId="2E5AE552" w14:textId="77777777" w:rsidR="009F7F53" w:rsidRPr="00882194" w:rsidRDefault="009F7F53" w:rsidP="009F7F53">
      <w:pPr>
        <w:pStyle w:val="Agreement"/>
        <w:numPr>
          <w:ilvl w:val="0"/>
          <w:numId w:val="0"/>
        </w:numPr>
        <w:ind w:left="1619"/>
        <w:rPr>
          <w:ins w:id="146" w:author="Eutelsat-Rapporteur (v01)" w:date="2021-04-22T11:49:00Z"/>
        </w:rPr>
      </w:pPr>
      <w:ins w:id="147" w:author="Eutelsat-Rapporteur (v01)" w:date="2021-04-22T11:49:00Z">
        <w:r>
          <w:t xml:space="preserve">Enhancements to ra-ResponseWindow and mac-ContentionResolutionTimer are essential. R2 assume that design can follow NR NTN agreements as baseline. </w:t>
        </w:r>
      </w:ins>
    </w:p>
    <w:p w14:paraId="701C5693" w14:textId="77777777" w:rsidR="009F7F53" w:rsidRPr="00882194" w:rsidRDefault="009F7F53" w:rsidP="009F7F53">
      <w:pPr>
        <w:pStyle w:val="Agreement"/>
        <w:numPr>
          <w:ilvl w:val="0"/>
          <w:numId w:val="0"/>
        </w:numPr>
        <w:ind w:left="1619"/>
        <w:rPr>
          <w:ins w:id="148" w:author="Eutelsat-Rapporteur (v01)" w:date="2021-04-22T11:49:00Z"/>
        </w:rPr>
      </w:pPr>
      <w:ins w:id="149" w:author="Eutelsat-Rapporteur (v01)" w:date="2021-04-22T11:49:00Z">
        <w:r>
          <w:t>Enhancements to HARQ-RTT-Timer and UL-HARQ-RTT-Timer are essential. R2 assume that design can follow NR NTN agreements as baseline.</w:t>
        </w:r>
      </w:ins>
    </w:p>
    <w:p w14:paraId="0A3232CD" w14:textId="77777777" w:rsidR="009F7F53" w:rsidRDefault="009F7F53" w:rsidP="009F7F53">
      <w:pPr>
        <w:pStyle w:val="Agreement"/>
        <w:numPr>
          <w:ilvl w:val="0"/>
          <w:numId w:val="0"/>
        </w:numPr>
        <w:ind w:left="1619"/>
        <w:rPr>
          <w:ins w:id="150" w:author="Eutelsat-Rapporteur (v01)" w:date="2021-04-22T11:49:00Z"/>
        </w:rPr>
      </w:pPr>
      <w:ins w:id="151" w:author="Eutelsat-Rapporteur (v01)" w:date="2021-04-22T11:49:00Z">
        <w:r>
          <w:t xml:space="preserve">Enhancements to sr-ProhibitTimer are essential. R2 assume that design can follow NR NTN agreements as baseline.  </w:t>
        </w:r>
      </w:ins>
    </w:p>
    <w:p w14:paraId="42D39D71" w14:textId="77777777" w:rsidR="009F7F53" w:rsidRPr="00882194" w:rsidRDefault="009F7F53" w:rsidP="009F7F53">
      <w:pPr>
        <w:pStyle w:val="Agreement"/>
        <w:numPr>
          <w:ilvl w:val="0"/>
          <w:numId w:val="0"/>
        </w:numPr>
        <w:ind w:left="1619"/>
        <w:rPr>
          <w:ins w:id="152" w:author="Eutelsat-Rapporteur (v01)" w:date="2021-04-22T11:49:00Z"/>
        </w:rPr>
      </w:pPr>
      <w:ins w:id="153" w:author="Eutelsat-Rapporteur (v01)" w:date="2021-04-22T11:49:00Z">
        <w:r>
          <w:t xml:space="preserve">Enhancements to RLC SN and PDCP SN are not essential. </w:t>
        </w:r>
      </w:ins>
    </w:p>
    <w:p w14:paraId="4B4BD004" w14:textId="77777777" w:rsidR="009F7F53" w:rsidRDefault="009F7F53" w:rsidP="009F7F53">
      <w:pPr>
        <w:pStyle w:val="Agreement"/>
        <w:numPr>
          <w:ilvl w:val="0"/>
          <w:numId w:val="0"/>
        </w:numPr>
        <w:ind w:left="1619"/>
        <w:rPr>
          <w:ins w:id="154" w:author="Eutelsat-Rapporteur (v01)" w:date="2021-04-22T11:49:00Z"/>
        </w:rPr>
      </w:pPr>
      <w:ins w:id="155" w:author="Eutelsat-Rapporteur (v01)" w:date="2021-04-22T11:49:00Z">
        <w:r w:rsidRPr="001D7180">
          <w:t xml:space="preserve">Enhancements to tracking area management are essential. </w:t>
        </w:r>
      </w:ins>
    </w:p>
    <w:p w14:paraId="36780CBC" w14:textId="77777777" w:rsidR="009F7F53" w:rsidRPr="00805A7B" w:rsidRDefault="009F7F53" w:rsidP="009F7F53">
      <w:pPr>
        <w:pStyle w:val="Agreement"/>
        <w:numPr>
          <w:ilvl w:val="0"/>
          <w:numId w:val="0"/>
        </w:numPr>
        <w:ind w:left="1619"/>
        <w:rPr>
          <w:ins w:id="156" w:author="Eutelsat-Rapporteur (v01)" w:date="2021-04-22T11:49:00Z"/>
        </w:rPr>
      </w:pPr>
      <w:ins w:id="157" w:author="Eutelsat-Rapporteur (v01)" w:date="2021-04-22T11:49:00Z">
        <w:r>
          <w:t>Provisioning of ephemeris is essential. NR NTN agreements can be used as the baseline.</w:t>
        </w:r>
      </w:ins>
    </w:p>
    <w:p w14:paraId="368D55A0" w14:textId="77777777" w:rsidR="009F7F53" w:rsidRDefault="009F7F53" w:rsidP="009F7F53">
      <w:pPr>
        <w:pStyle w:val="Agreement"/>
        <w:rPr>
          <w:ins w:id="158" w:author="Eutelsat-Rapporteur (v01)" w:date="2021-04-22T11:49:00Z"/>
        </w:rPr>
      </w:pPr>
      <w:ins w:id="159" w:author="Eutelsat-Rapporteur (v01)" w:date="2021-04-22T11:49:00Z">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 xml:space="preserve">acquisition and WUS. </w:t>
        </w:r>
      </w:ins>
    </w:p>
    <w:p w14:paraId="671A9FFB" w14:textId="77777777" w:rsidR="009F7F53" w:rsidRDefault="009F7F53" w:rsidP="009F7F53">
      <w:pPr>
        <w:pStyle w:val="Agreement"/>
        <w:rPr>
          <w:ins w:id="160" w:author="Eutelsat-Rapporteur (v01)" w:date="2021-04-22T11:49:00Z"/>
        </w:rPr>
      </w:pPr>
      <w:ins w:id="161" w:author="Eutelsat-Rapporteur (v01)" w:date="2021-04-22T11:49:00Z">
        <w:r>
          <w:t>The following points are endorsed</w:t>
        </w:r>
      </w:ins>
    </w:p>
    <w:p w14:paraId="03785D9E" w14:textId="77777777" w:rsidR="009F7F53" w:rsidRPr="00882194" w:rsidRDefault="009F7F53" w:rsidP="009F7F53">
      <w:pPr>
        <w:pStyle w:val="Agreement"/>
        <w:numPr>
          <w:ilvl w:val="0"/>
          <w:numId w:val="0"/>
        </w:numPr>
        <w:ind w:left="1619"/>
        <w:rPr>
          <w:ins w:id="162" w:author="Eutelsat-Rapporteur (v01)" w:date="2021-04-22T11:49:00Z"/>
        </w:rPr>
      </w:pPr>
      <w:ins w:id="163" w:author="Eutelsat-Rapporteur (v01)" w:date="2021-04-22T11:49:00Z">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 </w:t>
        </w:r>
      </w:ins>
    </w:p>
    <w:p w14:paraId="3BAC2C6C" w14:textId="14261B32" w:rsidR="009F7F53" w:rsidRPr="00882194" w:rsidRDefault="009F7F53" w:rsidP="009F7F53">
      <w:pPr>
        <w:pStyle w:val="Agreement"/>
        <w:numPr>
          <w:ilvl w:val="0"/>
          <w:numId w:val="0"/>
        </w:numPr>
        <w:ind w:left="1619"/>
        <w:rPr>
          <w:ins w:id="164" w:author="Eutelsat-Rapporteur (v01)" w:date="2021-04-22T11:49:00Z"/>
        </w:rPr>
      </w:pPr>
      <w:ins w:id="165" w:author="Eutelsat-Rapporteur (v01)" w:date="2021-04-22T11:49:00Z">
        <w:r>
          <w:t>Enhancements to PUR are not essential. Enhancement to</w:t>
        </w:r>
        <w:r w:rsidRPr="001D7180">
          <w:t xml:space="preserve"> </w:t>
        </w:r>
        <w:r>
          <w:t xml:space="preserve">pur-ResponseTimer is needed and feasibility of PUR in GEO and LEO scenarios needs to be checked by RAN1.  </w:t>
        </w:r>
      </w:ins>
    </w:p>
    <w:p w14:paraId="573103A6" w14:textId="77777777" w:rsidR="009F7F53" w:rsidRDefault="009F7F53" w:rsidP="009F7F53">
      <w:pPr>
        <w:pStyle w:val="Agreement"/>
        <w:numPr>
          <w:ilvl w:val="0"/>
          <w:numId w:val="0"/>
        </w:numPr>
        <w:ind w:left="1619"/>
        <w:rPr>
          <w:ins w:id="166" w:author="Eutelsat-Rapporteur (v01)" w:date="2021-04-22T11:49:00Z"/>
        </w:rPr>
      </w:pPr>
      <w:ins w:id="167" w:author="Eutelsat-Rapporteur (v01)" w:date="2021-04-22T11:49:00Z">
        <w:r>
          <w:t>Enhancements to RLC t-Reordering timer are essential. There is no need for further study</w:t>
        </w:r>
        <w:r w:rsidRPr="000551C0">
          <w:t xml:space="preserve"> </w:t>
        </w:r>
        <w:r>
          <w:t>as design can follow NR NTN agreements.</w:t>
        </w:r>
      </w:ins>
    </w:p>
    <w:p w14:paraId="7503B3DE" w14:textId="77777777" w:rsidR="009F7F53" w:rsidRDefault="009F7F53" w:rsidP="009F7F53">
      <w:pPr>
        <w:jc w:val="center"/>
        <w:rPr>
          <w:ins w:id="168" w:author="Eutelsat-Rapporteur (v01)" w:date="2021-04-22T11:49:00Z"/>
          <w:color w:val="0D0D0D" w:themeColor="text1" w:themeTint="F2"/>
          <w:kern w:val="2"/>
          <w:sz w:val="40"/>
          <w:lang w:eastAsia="zh-CN"/>
        </w:rPr>
      </w:pPr>
    </w:p>
    <w:p w14:paraId="3E831E7E" w14:textId="617CB960"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t>--- End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3EF2B75F" w14:textId="77777777" w:rsidR="00FF5DFB" w:rsidRPr="004162CD" w:rsidRDefault="00FF5DFB" w:rsidP="00C731C5">
      <w:pPr>
        <w:rPr>
          <w:color w:val="0D0D0D" w:themeColor="text1" w:themeTint="F2"/>
          <w:lang w:eastAsia="zh-CN"/>
        </w:rPr>
      </w:pPr>
    </w:p>
    <w:bookmarkEnd w:id="2"/>
    <w:p w14:paraId="65B046BA" w14:textId="77777777" w:rsidR="009903C1" w:rsidRDefault="009903C1">
      <w:pPr>
        <w:spacing w:after="0"/>
        <w:rPr>
          <w:rFonts w:ascii="Arial" w:eastAsia="Times New Roman" w:hAnsi="Arial"/>
          <w:color w:val="0D0D0D" w:themeColor="text1" w:themeTint="F2"/>
          <w:sz w:val="36"/>
        </w:rPr>
      </w:pPr>
      <w:r>
        <w:rPr>
          <w:color w:val="0D0D0D" w:themeColor="text1" w:themeTint="F2"/>
        </w:rPr>
        <w:br w:type="page"/>
      </w:r>
    </w:p>
    <w:p w14:paraId="481B26CA" w14:textId="7A638D26" w:rsidR="002D44AF" w:rsidRPr="004162CD" w:rsidRDefault="00CD6D23" w:rsidP="00325DAD">
      <w:pPr>
        <w:pStyle w:val="Heading1"/>
        <w:rPr>
          <w:lang w:eastAsia="zh-TW"/>
        </w:rPr>
      </w:pPr>
      <w:r>
        <w:lastRenderedPageBreak/>
        <w:t>4</w:t>
      </w:r>
      <w:r w:rsidR="00A552E2" w:rsidRPr="004162CD">
        <w:tab/>
      </w:r>
      <w:r w:rsidR="002D44AF" w:rsidRPr="004162CD">
        <w:t>Conclusion</w:t>
      </w:r>
    </w:p>
    <w:p w14:paraId="7B51C410" w14:textId="3227536F"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(eMTC)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A00538">
        <w:rPr>
          <w:color w:val="0D0D0D" w:themeColor="text1" w:themeTint="F2"/>
        </w:rPr>
        <w:t xml:space="preserve">the </w:t>
      </w:r>
      <w:r w:rsidR="0002707B" w:rsidRPr="004162CD">
        <w:rPr>
          <w:color w:val="0D0D0D" w:themeColor="text1" w:themeTint="F2"/>
        </w:rPr>
        <w:t>RAN2#11</w:t>
      </w:r>
      <w:r w:rsidR="00397715">
        <w:rPr>
          <w:color w:val="0D0D0D" w:themeColor="text1" w:themeTint="F2"/>
        </w:rPr>
        <w:t>3</w:t>
      </w:r>
      <w:r w:rsidR="00A00538">
        <w:rPr>
          <w:color w:val="0D0D0D" w:themeColor="text1" w:themeTint="F2"/>
        </w:rPr>
        <w:t>bis</w:t>
      </w:r>
      <w:r w:rsidR="0002707B" w:rsidRPr="004162CD">
        <w:rPr>
          <w:color w:val="0D0D0D" w:themeColor="text1" w:themeTint="F2"/>
        </w:rPr>
        <w:t xml:space="preserve">-e </w:t>
      </w:r>
      <w:r w:rsidR="00741DAB" w:rsidRPr="004162CD">
        <w:rPr>
          <w:color w:val="0D0D0D" w:themeColor="text1" w:themeTint="F2"/>
        </w:rPr>
        <w:t xml:space="preserve">Chairman </w:t>
      </w:r>
      <w:r w:rsidR="00325DAD">
        <w:rPr>
          <w:color w:val="0D0D0D" w:themeColor="text1" w:themeTint="F2"/>
        </w:rPr>
        <w:t>notes</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0166DED3" w:rsidR="002D44AF" w:rsidRPr="004162CD" w:rsidRDefault="00CD6D23" w:rsidP="00325DAD">
      <w:pPr>
        <w:pStyle w:val="Heading1"/>
      </w:pPr>
      <w:r>
        <w:t>5</w:t>
      </w:r>
      <w:r w:rsidR="00A552E2" w:rsidRPr="004162CD">
        <w:tab/>
      </w:r>
      <w:r w:rsidR="002D44AF" w:rsidRPr="004162CD">
        <w:rPr>
          <w:lang w:eastAsia="zh-TW"/>
        </w:rPr>
        <w:t>References</w:t>
      </w:r>
    </w:p>
    <w:p w14:paraId="0D1C0A61" w14:textId="46BFE5A8"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169"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w:t>
      </w:r>
      <w:r w:rsidR="0044378E">
        <w:rPr>
          <w:rFonts w:ascii="Times New Roman" w:hAnsi="Times New Roman"/>
          <w:color w:val="0D0D0D" w:themeColor="text1" w:themeTint="F2"/>
          <w:sz w:val="20"/>
          <w:szCs w:val="20"/>
          <w:lang w:val="en-GB"/>
        </w:rPr>
        <w:t>10869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 xml:space="preserve">C support for </w:t>
      </w:r>
      <w:bookmarkEnd w:id="169"/>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w:t>
      </w:r>
      <w:r w:rsidR="00937F13">
        <w:rPr>
          <w:rFonts w:ascii="Times New Roman" w:hAnsi="Times New Roman"/>
          <w:color w:val="0D0D0D" w:themeColor="text1" w:themeTint="F2"/>
          <w:sz w:val="20"/>
          <w:szCs w:val="20"/>
          <w:lang w:val="en-GB"/>
        </w:rPr>
        <w:t>1</w:t>
      </w:r>
      <w:r w:rsidR="00B13D0A">
        <w:rPr>
          <w:rFonts w:ascii="Times New Roman" w:hAnsi="Times New Roman"/>
          <w:color w:val="0D0D0D" w:themeColor="text1" w:themeTint="F2"/>
          <w:sz w:val="20"/>
          <w:szCs w:val="20"/>
          <w:lang w:val="en-GB"/>
        </w:rPr>
        <w:t>e</w:t>
      </w:r>
      <w:r w:rsidR="00341491">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xml:space="preserve"> </w:t>
      </w:r>
      <w:r w:rsidR="00937F13">
        <w:rPr>
          <w:rFonts w:ascii="Times New Roman" w:hAnsi="Times New Roman"/>
          <w:color w:val="0D0D0D" w:themeColor="text1" w:themeTint="F2"/>
          <w:sz w:val="20"/>
          <w:szCs w:val="20"/>
          <w:lang w:val="en-GB"/>
        </w:rPr>
        <w:t>March</w:t>
      </w:r>
      <w:r w:rsidR="00B13D0A">
        <w:rPr>
          <w:rFonts w:ascii="Times New Roman" w:hAnsi="Times New Roman"/>
          <w:color w:val="0D0D0D" w:themeColor="text1" w:themeTint="F2"/>
          <w:sz w:val="20"/>
          <w:szCs w:val="20"/>
          <w:lang w:val="en-GB"/>
        </w:rPr>
        <w:t xml:space="preserve"> 202</w:t>
      </w:r>
      <w:r w:rsidR="00937F13">
        <w:rPr>
          <w:rFonts w:ascii="Times New Roman" w:hAnsi="Times New Roman"/>
          <w:color w:val="0D0D0D" w:themeColor="text1" w:themeTint="F2"/>
          <w:sz w:val="20"/>
          <w:szCs w:val="20"/>
          <w:lang w:val="en-GB"/>
        </w:rPr>
        <w:t>1</w:t>
      </w:r>
    </w:p>
    <w:p w14:paraId="5294237B" w14:textId="49F49D14" w:rsidR="0044378E" w:rsidRDefault="0044378E" w:rsidP="0044378E">
      <w:pPr>
        <w:pStyle w:val="Reference"/>
        <w:numPr>
          <w:ilvl w:val="0"/>
          <w:numId w:val="0"/>
        </w:numPr>
        <w:rPr>
          <w:rFonts w:ascii="Times New Roman" w:hAnsi="Times New Roman"/>
          <w:color w:val="0D0D0D" w:themeColor="text1" w:themeTint="F2"/>
          <w:sz w:val="20"/>
          <w:szCs w:val="20"/>
          <w:lang w:val="en-GB"/>
        </w:rPr>
      </w:pPr>
      <w:bookmarkStart w:id="170"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00937F13" w:rsidRPr="00937F13">
        <w:rPr>
          <w:rFonts w:ascii="Times New Roman" w:hAnsi="Times New Roman"/>
          <w:color w:val="0D0D0D" w:themeColor="text1" w:themeTint="F2"/>
          <w:sz w:val="20"/>
          <w:szCs w:val="20"/>
          <w:lang w:val="en-GB"/>
        </w:rPr>
        <w:t>3GPP TR 3</w:t>
      </w:r>
      <w:r w:rsidR="00937F13">
        <w:rPr>
          <w:rFonts w:ascii="Times New Roman" w:hAnsi="Times New Roman"/>
          <w:color w:val="0D0D0D" w:themeColor="text1" w:themeTint="F2"/>
          <w:sz w:val="20"/>
          <w:szCs w:val="20"/>
          <w:lang w:val="en-GB"/>
        </w:rPr>
        <w:t>6</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673</w:t>
      </w:r>
      <w:r w:rsidR="00937F13" w:rsidRPr="00937F13">
        <w:rPr>
          <w:rFonts w:ascii="Times New Roman" w:hAnsi="Times New Roman"/>
          <w:color w:val="0D0D0D" w:themeColor="text1" w:themeTint="F2"/>
          <w:sz w:val="20"/>
          <w:szCs w:val="20"/>
          <w:lang w:val="en-GB"/>
        </w:rPr>
        <w:t xml:space="preserve"> v</w:t>
      </w:r>
      <w:r w:rsidR="00937F13">
        <w:rPr>
          <w:rFonts w:ascii="Times New Roman" w:hAnsi="Times New Roman"/>
          <w:color w:val="0D0D0D" w:themeColor="text1" w:themeTint="F2"/>
          <w:sz w:val="20"/>
          <w:szCs w:val="20"/>
          <w:lang w:val="en-GB"/>
        </w:rPr>
        <w:t>0</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1</w:t>
      </w:r>
      <w:r w:rsidR="00937F13"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sidR="00A00538">
        <w:rPr>
          <w:rFonts w:ascii="Times New Roman" w:hAnsi="Times New Roman"/>
          <w:color w:val="0D0D0D" w:themeColor="text1" w:themeTint="F2"/>
          <w:sz w:val="20"/>
          <w:szCs w:val="20"/>
          <w:lang w:val="en-GB"/>
        </w:rPr>
        <w:t>"</w:t>
      </w:r>
      <w:r w:rsidR="009903C1">
        <w:rPr>
          <w:rFonts w:ascii="Times New Roman" w:hAnsi="Times New Roman"/>
          <w:color w:val="0D0D0D" w:themeColor="text1" w:themeTint="F2"/>
          <w:sz w:val="20"/>
          <w:szCs w:val="20"/>
          <w:lang w:val="en-GB"/>
        </w:rPr>
        <w:t>,</w:t>
      </w:r>
      <w:r w:rsidR="00A00538">
        <w:rPr>
          <w:rFonts w:ascii="Times New Roman" w:hAnsi="Times New Roman"/>
          <w:color w:val="0D0D0D" w:themeColor="text1" w:themeTint="F2"/>
          <w:sz w:val="20"/>
          <w:szCs w:val="20"/>
          <w:lang w:val="en-GB"/>
        </w:rPr>
        <w:t xml:space="preserve"> </w:t>
      </w:r>
      <w:r w:rsidR="00937F13" w:rsidRPr="00937F13">
        <w:rPr>
          <w:rFonts w:ascii="Times New Roman" w:hAnsi="Times New Roman"/>
          <w:color w:val="0D0D0D" w:themeColor="text1" w:themeTint="F2"/>
          <w:sz w:val="20"/>
          <w:szCs w:val="20"/>
          <w:lang w:val="en-GB"/>
        </w:rPr>
        <w:t>Release 1</w:t>
      </w:r>
      <w:r w:rsidR="00937F13">
        <w:rPr>
          <w:rFonts w:ascii="Times New Roman" w:hAnsi="Times New Roman"/>
          <w:color w:val="0D0D0D" w:themeColor="text1" w:themeTint="F2"/>
          <w:sz w:val="20"/>
          <w:szCs w:val="20"/>
          <w:lang w:val="en-GB"/>
        </w:rPr>
        <w:t>7</w:t>
      </w:r>
    </w:p>
    <w:p w14:paraId="24CA747D" w14:textId="10D43AE0"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w:t>
      </w:r>
      <w:r w:rsidR="00341491" w:rsidRPr="00341491">
        <w:rPr>
          <w:rFonts w:ascii="Times New Roman" w:hAnsi="Times New Roman"/>
          <w:sz w:val="20"/>
          <w:szCs w:val="20"/>
          <w:lang w:val="en-GB"/>
        </w:rPr>
        <w:t>3</w:t>
      </w:r>
      <w:r w:rsidRPr="00341491">
        <w:rPr>
          <w:rFonts w:ascii="Times New Roman" w:hAnsi="Times New Roman"/>
          <w:sz w:val="20"/>
          <w:szCs w:val="20"/>
          <w:lang w:val="en-GB"/>
        </w:rPr>
        <w:t>]</w:t>
      </w:r>
      <w:r w:rsidRPr="00341491">
        <w:rPr>
          <w:rFonts w:ascii="Times New Roman" w:hAnsi="Times New Roman"/>
          <w:sz w:val="20"/>
          <w:szCs w:val="20"/>
          <w:lang w:val="en-GB"/>
        </w:rPr>
        <w:tab/>
      </w:r>
      <w:r w:rsidR="00341491" w:rsidRPr="00341491">
        <w:rPr>
          <w:rFonts w:ascii="Times New Roman" w:hAnsi="Times New Roman"/>
          <w:sz w:val="20"/>
          <w:szCs w:val="20"/>
          <w:lang w:val="en-GB"/>
        </w:rPr>
        <w:t>Meeting notes</w:t>
      </w:r>
      <w:r w:rsidR="00341491">
        <w:rPr>
          <w:rFonts w:ascii="Times New Roman" w:hAnsi="Times New Roman"/>
          <w:sz w:val="20"/>
          <w:szCs w:val="20"/>
          <w:lang w:val="en-GB"/>
        </w:rPr>
        <w:t>,</w:t>
      </w:r>
      <w:r w:rsidR="00341491" w:rsidRPr="00341491">
        <w:rPr>
          <w:rFonts w:ascii="Times New Roman" w:hAnsi="Times New Roman"/>
          <w:sz w:val="20"/>
          <w:szCs w:val="20"/>
          <w:lang w:val="en-GB"/>
        </w:rPr>
        <w:t xml:space="preserve"> RAN2 Chairman (MediaTek)</w:t>
      </w:r>
      <w:r w:rsidR="009903C1">
        <w:rPr>
          <w:rFonts w:ascii="Times New Roman" w:hAnsi="Times New Roman"/>
          <w:sz w:val="20"/>
          <w:szCs w:val="20"/>
          <w:lang w:val="en-GB"/>
        </w:rPr>
        <w:t xml:space="preserve">, </w:t>
      </w:r>
      <w:r w:rsidR="009903C1" w:rsidRPr="00341491">
        <w:rPr>
          <w:rFonts w:ascii="Times New Roman" w:hAnsi="Times New Roman"/>
          <w:sz w:val="20"/>
          <w:szCs w:val="20"/>
          <w:lang w:val="en-GB"/>
        </w:rPr>
        <w:t>RAN2#113bis</w:t>
      </w:r>
      <w:r w:rsidR="009903C1">
        <w:rPr>
          <w:rFonts w:ascii="Times New Roman" w:hAnsi="Times New Roman"/>
          <w:sz w:val="20"/>
          <w:szCs w:val="20"/>
          <w:lang w:val="en-GB"/>
        </w:rPr>
        <w:t xml:space="preserve">-e, </w:t>
      </w:r>
      <w:r w:rsidR="00341491" w:rsidRPr="00341491">
        <w:rPr>
          <w:rFonts w:ascii="Times New Roman" w:hAnsi="Times New Roman"/>
          <w:sz w:val="20"/>
          <w:szCs w:val="20"/>
          <w:lang w:val="en-GB"/>
        </w:rPr>
        <w:t>April</w:t>
      </w:r>
      <w:r w:rsidRPr="00341491">
        <w:rPr>
          <w:rFonts w:ascii="Times New Roman" w:hAnsi="Times New Roman"/>
          <w:color w:val="0D0D0D" w:themeColor="text1" w:themeTint="F2"/>
          <w:sz w:val="20"/>
          <w:szCs w:val="20"/>
          <w:lang w:val="en-GB"/>
        </w:rPr>
        <w:t xml:space="preserve"> </w:t>
      </w:r>
      <w:r w:rsidR="00341491" w:rsidRPr="00341491">
        <w:rPr>
          <w:rFonts w:ascii="Times New Roman" w:hAnsi="Times New Roman"/>
          <w:color w:val="0D0D0D" w:themeColor="text1" w:themeTint="F2"/>
          <w:sz w:val="20"/>
          <w:szCs w:val="20"/>
          <w:lang w:val="en-GB"/>
        </w:rPr>
        <w:t>21</w:t>
      </w:r>
      <w:r w:rsidR="00341491">
        <w:rPr>
          <w:rFonts w:ascii="Times New Roman" w:hAnsi="Times New Roman"/>
          <w:color w:val="0D0D0D" w:themeColor="text1" w:themeTint="F2"/>
          <w:sz w:val="20"/>
          <w:szCs w:val="20"/>
          <w:lang w:val="en-GB"/>
        </w:rPr>
        <w:t>,</w:t>
      </w:r>
      <w:r w:rsidR="00341491" w:rsidRPr="00341491">
        <w:rPr>
          <w:rFonts w:ascii="Times New Roman" w:hAnsi="Times New Roman"/>
          <w:color w:val="0D0D0D" w:themeColor="text1" w:themeTint="F2"/>
          <w:sz w:val="20"/>
          <w:szCs w:val="20"/>
          <w:lang w:val="en-GB"/>
        </w:rPr>
        <w:t xml:space="preserve"> </w:t>
      </w:r>
      <w:r w:rsidRPr="00341491">
        <w:rPr>
          <w:rFonts w:ascii="Times New Roman" w:hAnsi="Times New Roman"/>
          <w:color w:val="0D0D0D" w:themeColor="text1" w:themeTint="F2"/>
          <w:sz w:val="20"/>
          <w:szCs w:val="20"/>
          <w:lang w:val="en-GB"/>
        </w:rPr>
        <w:t>2021</w:t>
      </w:r>
      <w:bookmarkEnd w:id="170"/>
    </w:p>
    <w:p w14:paraId="5C9305AB" w14:textId="3A6118C7" w:rsid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D8F1" w14:textId="77777777" w:rsidR="00A92406" w:rsidRDefault="00A92406">
      <w:r>
        <w:separator/>
      </w:r>
    </w:p>
  </w:endnote>
  <w:endnote w:type="continuationSeparator" w:id="0">
    <w:p w14:paraId="0DF289EE" w14:textId="77777777" w:rsidR="00A92406" w:rsidRDefault="00A9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angSong_GB2312">
    <w:altName w:val="Microsoft YaHei"/>
    <w:charset w:val="86"/>
    <w:family w:val="modern"/>
    <w:pitch w:val="default"/>
    <w:sig w:usb0="00000000" w:usb1="080E0000" w:usb2="00000000" w:usb3="00000000" w:csb0="00040000"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A0AEA" w14:textId="77777777" w:rsidR="00A92406" w:rsidRDefault="00A92406">
      <w:r>
        <w:separator/>
      </w:r>
    </w:p>
  </w:footnote>
  <w:footnote w:type="continuationSeparator" w:id="0">
    <w:p w14:paraId="14B33AD7" w14:textId="77777777" w:rsidR="00A92406" w:rsidRDefault="00A92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Vogedes (Consultant)">
    <w15:presenceInfo w15:providerId="None" w15:userId="Jerome Vogedes (Consultant)"/>
  </w15:person>
  <w15:person w15:author="Emre A. Yavuz">
    <w15:presenceInfo w15:providerId="None" w15:userId="Emre A. Yavuz"/>
  </w15:person>
  <w15:person w15:author="Eutelsat-Rapporteur (v02)">
    <w15:presenceInfo w15:providerId="None" w15:userId="Eutelsat-Rapporteur (v02)"/>
  </w15:person>
  <w15:person w15:author="Eutelsat-Rapporteur (v01)">
    <w15:presenceInfo w15:providerId="None" w15:userId="Eutelsat-Rapporteur (v01)"/>
  </w15:person>
  <w15:person w15:author="Eutelsat-Rapporteur (v06)">
    <w15:presenceInfo w15:providerId="None" w15:userId="Eutelsat-Rapporteur (v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E3"/>
    <w:rsid w:val="00000DB0"/>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4A4A"/>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3A82"/>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4B85"/>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97568"/>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3C1"/>
    <w:rsid w:val="000E284C"/>
    <w:rsid w:val="000E4126"/>
    <w:rsid w:val="000E469E"/>
    <w:rsid w:val="000E4A2D"/>
    <w:rsid w:val="000E54C3"/>
    <w:rsid w:val="000E69EA"/>
    <w:rsid w:val="000F132F"/>
    <w:rsid w:val="000F27D8"/>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A20"/>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6FC"/>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1B35"/>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397"/>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A64F1"/>
    <w:rsid w:val="001B291F"/>
    <w:rsid w:val="001B31B5"/>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3B5"/>
    <w:rsid w:val="00220FA9"/>
    <w:rsid w:val="00221759"/>
    <w:rsid w:val="0022237A"/>
    <w:rsid w:val="002223A7"/>
    <w:rsid w:val="00222699"/>
    <w:rsid w:val="00222897"/>
    <w:rsid w:val="002240BE"/>
    <w:rsid w:val="0022456E"/>
    <w:rsid w:val="0022493A"/>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2EE0"/>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DAE"/>
    <w:rsid w:val="002A6FE9"/>
    <w:rsid w:val="002B1B3B"/>
    <w:rsid w:val="002B1D62"/>
    <w:rsid w:val="002B2B06"/>
    <w:rsid w:val="002B2D98"/>
    <w:rsid w:val="002B3815"/>
    <w:rsid w:val="002B419D"/>
    <w:rsid w:val="002B429C"/>
    <w:rsid w:val="002B4EF6"/>
    <w:rsid w:val="002B4F15"/>
    <w:rsid w:val="002B55C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95"/>
    <w:rsid w:val="002E42E8"/>
    <w:rsid w:val="002E4368"/>
    <w:rsid w:val="002E5799"/>
    <w:rsid w:val="002E5EFC"/>
    <w:rsid w:val="002E6B27"/>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15B3"/>
    <w:rsid w:val="00312C8F"/>
    <w:rsid w:val="00313089"/>
    <w:rsid w:val="003140CB"/>
    <w:rsid w:val="00314251"/>
    <w:rsid w:val="0031500B"/>
    <w:rsid w:val="003166AD"/>
    <w:rsid w:val="003168BC"/>
    <w:rsid w:val="00317286"/>
    <w:rsid w:val="00317783"/>
    <w:rsid w:val="003210CC"/>
    <w:rsid w:val="00321434"/>
    <w:rsid w:val="0032165D"/>
    <w:rsid w:val="003230B0"/>
    <w:rsid w:val="00323842"/>
    <w:rsid w:val="00323F73"/>
    <w:rsid w:val="003248BF"/>
    <w:rsid w:val="00325911"/>
    <w:rsid w:val="00325AD5"/>
    <w:rsid w:val="00325DAD"/>
    <w:rsid w:val="00326B16"/>
    <w:rsid w:val="00327071"/>
    <w:rsid w:val="0033088D"/>
    <w:rsid w:val="00330AB0"/>
    <w:rsid w:val="00330C13"/>
    <w:rsid w:val="00330CDD"/>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491"/>
    <w:rsid w:val="00341A86"/>
    <w:rsid w:val="00342018"/>
    <w:rsid w:val="00342AAB"/>
    <w:rsid w:val="00343440"/>
    <w:rsid w:val="0034575B"/>
    <w:rsid w:val="003464EE"/>
    <w:rsid w:val="00346EF9"/>
    <w:rsid w:val="00347128"/>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57D"/>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9DF"/>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44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2C93"/>
    <w:rsid w:val="004034CE"/>
    <w:rsid w:val="00404250"/>
    <w:rsid w:val="00404575"/>
    <w:rsid w:val="004048A8"/>
    <w:rsid w:val="0040508F"/>
    <w:rsid w:val="00405657"/>
    <w:rsid w:val="00405787"/>
    <w:rsid w:val="00405FD9"/>
    <w:rsid w:val="004067EE"/>
    <w:rsid w:val="00406A35"/>
    <w:rsid w:val="00406E27"/>
    <w:rsid w:val="00407387"/>
    <w:rsid w:val="00407AD9"/>
    <w:rsid w:val="00410598"/>
    <w:rsid w:val="00413D74"/>
    <w:rsid w:val="00413E80"/>
    <w:rsid w:val="0041441E"/>
    <w:rsid w:val="00414504"/>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5DB"/>
    <w:rsid w:val="0044232A"/>
    <w:rsid w:val="00442F6C"/>
    <w:rsid w:val="0044378E"/>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199"/>
    <w:rsid w:val="004714C0"/>
    <w:rsid w:val="004714DD"/>
    <w:rsid w:val="004718AA"/>
    <w:rsid w:val="00472056"/>
    <w:rsid w:val="00473182"/>
    <w:rsid w:val="00474A93"/>
    <w:rsid w:val="00475406"/>
    <w:rsid w:val="00476B2F"/>
    <w:rsid w:val="00476EF3"/>
    <w:rsid w:val="00476F52"/>
    <w:rsid w:val="00476FC9"/>
    <w:rsid w:val="00477308"/>
    <w:rsid w:val="004803D9"/>
    <w:rsid w:val="0048125D"/>
    <w:rsid w:val="00481B8C"/>
    <w:rsid w:val="00481D76"/>
    <w:rsid w:val="004823B4"/>
    <w:rsid w:val="00482420"/>
    <w:rsid w:val="004825DC"/>
    <w:rsid w:val="00482CB5"/>
    <w:rsid w:val="00482D25"/>
    <w:rsid w:val="0048369A"/>
    <w:rsid w:val="0048451B"/>
    <w:rsid w:val="00484D69"/>
    <w:rsid w:val="00485876"/>
    <w:rsid w:val="00485B71"/>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1EF3"/>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1D"/>
    <w:rsid w:val="00503737"/>
    <w:rsid w:val="00503C68"/>
    <w:rsid w:val="00504C1D"/>
    <w:rsid w:val="00505BFA"/>
    <w:rsid w:val="0050627B"/>
    <w:rsid w:val="00506586"/>
    <w:rsid w:val="005068B7"/>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61F"/>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56E49"/>
    <w:rsid w:val="00561966"/>
    <w:rsid w:val="00563111"/>
    <w:rsid w:val="0056452C"/>
    <w:rsid w:val="00564539"/>
    <w:rsid w:val="00564E01"/>
    <w:rsid w:val="00564E6F"/>
    <w:rsid w:val="00565333"/>
    <w:rsid w:val="005674A4"/>
    <w:rsid w:val="00570544"/>
    <w:rsid w:val="00571757"/>
    <w:rsid w:val="00571E87"/>
    <w:rsid w:val="005723CF"/>
    <w:rsid w:val="005724AC"/>
    <w:rsid w:val="00573269"/>
    <w:rsid w:val="00575061"/>
    <w:rsid w:val="005758E4"/>
    <w:rsid w:val="00575BB0"/>
    <w:rsid w:val="00576F43"/>
    <w:rsid w:val="00577349"/>
    <w:rsid w:val="00577842"/>
    <w:rsid w:val="00577947"/>
    <w:rsid w:val="00577A8F"/>
    <w:rsid w:val="00577CC7"/>
    <w:rsid w:val="00580522"/>
    <w:rsid w:val="005806AA"/>
    <w:rsid w:val="00580EF2"/>
    <w:rsid w:val="005834BA"/>
    <w:rsid w:val="00583A13"/>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8B7"/>
    <w:rsid w:val="005B7BAE"/>
    <w:rsid w:val="005B7C8A"/>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572"/>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5E83"/>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277F1"/>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67E"/>
    <w:rsid w:val="006509D5"/>
    <w:rsid w:val="006517D0"/>
    <w:rsid w:val="00651807"/>
    <w:rsid w:val="00651DF0"/>
    <w:rsid w:val="006524ED"/>
    <w:rsid w:val="006525CF"/>
    <w:rsid w:val="00652C5D"/>
    <w:rsid w:val="0065310A"/>
    <w:rsid w:val="00653268"/>
    <w:rsid w:val="00653821"/>
    <w:rsid w:val="00653B0E"/>
    <w:rsid w:val="00654269"/>
    <w:rsid w:val="00654F94"/>
    <w:rsid w:val="006557C0"/>
    <w:rsid w:val="0065668D"/>
    <w:rsid w:val="00656D64"/>
    <w:rsid w:val="00656EA8"/>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C88"/>
    <w:rsid w:val="00671FB7"/>
    <w:rsid w:val="00674096"/>
    <w:rsid w:val="006748C8"/>
    <w:rsid w:val="00674C3D"/>
    <w:rsid w:val="00675AB9"/>
    <w:rsid w:val="006768EF"/>
    <w:rsid w:val="00676F74"/>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B74"/>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2A0"/>
    <w:rsid w:val="00702D49"/>
    <w:rsid w:val="0070318D"/>
    <w:rsid w:val="007033C1"/>
    <w:rsid w:val="007039BB"/>
    <w:rsid w:val="007041D4"/>
    <w:rsid w:val="00704A21"/>
    <w:rsid w:val="00704E63"/>
    <w:rsid w:val="0070646B"/>
    <w:rsid w:val="007073D6"/>
    <w:rsid w:val="00710C2A"/>
    <w:rsid w:val="00710FE8"/>
    <w:rsid w:val="00711097"/>
    <w:rsid w:val="0071157A"/>
    <w:rsid w:val="0071162A"/>
    <w:rsid w:val="00712555"/>
    <w:rsid w:val="00712AC2"/>
    <w:rsid w:val="00713647"/>
    <w:rsid w:val="00713B22"/>
    <w:rsid w:val="00715AFE"/>
    <w:rsid w:val="007172A3"/>
    <w:rsid w:val="00720176"/>
    <w:rsid w:val="00720808"/>
    <w:rsid w:val="007215FE"/>
    <w:rsid w:val="00722229"/>
    <w:rsid w:val="00722727"/>
    <w:rsid w:val="00723177"/>
    <w:rsid w:val="00723E78"/>
    <w:rsid w:val="00725F80"/>
    <w:rsid w:val="007279AC"/>
    <w:rsid w:val="00727C1E"/>
    <w:rsid w:val="007300AB"/>
    <w:rsid w:val="007314A7"/>
    <w:rsid w:val="00731546"/>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5634D"/>
    <w:rsid w:val="007602AE"/>
    <w:rsid w:val="00762643"/>
    <w:rsid w:val="00763228"/>
    <w:rsid w:val="00763BFB"/>
    <w:rsid w:val="007644DE"/>
    <w:rsid w:val="007652ED"/>
    <w:rsid w:val="0076592F"/>
    <w:rsid w:val="00766CCD"/>
    <w:rsid w:val="00767A31"/>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1B7"/>
    <w:rsid w:val="00781B2C"/>
    <w:rsid w:val="007826AB"/>
    <w:rsid w:val="00782FD5"/>
    <w:rsid w:val="00784117"/>
    <w:rsid w:val="00785C70"/>
    <w:rsid w:val="0078602A"/>
    <w:rsid w:val="007860F9"/>
    <w:rsid w:val="00786E66"/>
    <w:rsid w:val="00791181"/>
    <w:rsid w:val="00791352"/>
    <w:rsid w:val="00791693"/>
    <w:rsid w:val="00792949"/>
    <w:rsid w:val="00792E64"/>
    <w:rsid w:val="00796B70"/>
    <w:rsid w:val="00796EF7"/>
    <w:rsid w:val="00797F8B"/>
    <w:rsid w:val="007A0DA1"/>
    <w:rsid w:val="007A488E"/>
    <w:rsid w:val="007A723E"/>
    <w:rsid w:val="007B0E4F"/>
    <w:rsid w:val="007B1366"/>
    <w:rsid w:val="007B19E9"/>
    <w:rsid w:val="007B1F25"/>
    <w:rsid w:val="007B1F34"/>
    <w:rsid w:val="007B2210"/>
    <w:rsid w:val="007B2CD3"/>
    <w:rsid w:val="007B2D72"/>
    <w:rsid w:val="007B2E9F"/>
    <w:rsid w:val="007B40A9"/>
    <w:rsid w:val="007B54D9"/>
    <w:rsid w:val="007B55E9"/>
    <w:rsid w:val="007B68B1"/>
    <w:rsid w:val="007B6B88"/>
    <w:rsid w:val="007B6EF1"/>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3757"/>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4C61"/>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04A9"/>
    <w:rsid w:val="00811207"/>
    <w:rsid w:val="0081359C"/>
    <w:rsid w:val="0081360D"/>
    <w:rsid w:val="0081454F"/>
    <w:rsid w:val="00814B2E"/>
    <w:rsid w:val="00814B66"/>
    <w:rsid w:val="0081517D"/>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6C20"/>
    <w:rsid w:val="0082795C"/>
    <w:rsid w:val="00827ABC"/>
    <w:rsid w:val="008306B1"/>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1FEA"/>
    <w:rsid w:val="00883C72"/>
    <w:rsid w:val="00885164"/>
    <w:rsid w:val="00885952"/>
    <w:rsid w:val="00885974"/>
    <w:rsid w:val="0088616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08"/>
    <w:rsid w:val="008F57CE"/>
    <w:rsid w:val="008F5A4B"/>
    <w:rsid w:val="008F5B9B"/>
    <w:rsid w:val="008F5E2A"/>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64A3"/>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37F13"/>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4EC7"/>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3C1"/>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B3"/>
    <w:rsid w:val="009B26E4"/>
    <w:rsid w:val="009B43BB"/>
    <w:rsid w:val="009B5F8E"/>
    <w:rsid w:val="009B61D3"/>
    <w:rsid w:val="009B68E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9F7F53"/>
    <w:rsid w:val="00A0050C"/>
    <w:rsid w:val="00A00538"/>
    <w:rsid w:val="00A0110C"/>
    <w:rsid w:val="00A03435"/>
    <w:rsid w:val="00A06AB0"/>
    <w:rsid w:val="00A10122"/>
    <w:rsid w:val="00A1185D"/>
    <w:rsid w:val="00A11A08"/>
    <w:rsid w:val="00A11BE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37CBA"/>
    <w:rsid w:val="00A4034D"/>
    <w:rsid w:val="00A40B03"/>
    <w:rsid w:val="00A4100C"/>
    <w:rsid w:val="00A41773"/>
    <w:rsid w:val="00A41F00"/>
    <w:rsid w:val="00A41FD3"/>
    <w:rsid w:val="00A42ECB"/>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4D7"/>
    <w:rsid w:val="00A74C22"/>
    <w:rsid w:val="00A754B6"/>
    <w:rsid w:val="00A75672"/>
    <w:rsid w:val="00A756C4"/>
    <w:rsid w:val="00A80E5A"/>
    <w:rsid w:val="00A8132F"/>
    <w:rsid w:val="00A814D0"/>
    <w:rsid w:val="00A81B15"/>
    <w:rsid w:val="00A820C7"/>
    <w:rsid w:val="00A829DD"/>
    <w:rsid w:val="00A83745"/>
    <w:rsid w:val="00A8405D"/>
    <w:rsid w:val="00A84B3B"/>
    <w:rsid w:val="00A85DBC"/>
    <w:rsid w:val="00A870D0"/>
    <w:rsid w:val="00A90129"/>
    <w:rsid w:val="00A911E9"/>
    <w:rsid w:val="00A91EA6"/>
    <w:rsid w:val="00A92406"/>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C7E"/>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12C"/>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B6B"/>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1CAC"/>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1EE4"/>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5FC9"/>
    <w:rsid w:val="00BE779D"/>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55C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358"/>
    <w:rsid w:val="00C434AB"/>
    <w:rsid w:val="00C43AF0"/>
    <w:rsid w:val="00C444BD"/>
    <w:rsid w:val="00C458C4"/>
    <w:rsid w:val="00C47FB1"/>
    <w:rsid w:val="00C50DB6"/>
    <w:rsid w:val="00C51F3E"/>
    <w:rsid w:val="00C528EB"/>
    <w:rsid w:val="00C52BDA"/>
    <w:rsid w:val="00C52D9C"/>
    <w:rsid w:val="00C533C3"/>
    <w:rsid w:val="00C551EC"/>
    <w:rsid w:val="00C559F4"/>
    <w:rsid w:val="00C55A94"/>
    <w:rsid w:val="00C575C8"/>
    <w:rsid w:val="00C66897"/>
    <w:rsid w:val="00C67DDB"/>
    <w:rsid w:val="00C70BBA"/>
    <w:rsid w:val="00C7254C"/>
    <w:rsid w:val="00C72575"/>
    <w:rsid w:val="00C731C5"/>
    <w:rsid w:val="00C73AFE"/>
    <w:rsid w:val="00C73D9F"/>
    <w:rsid w:val="00C759CC"/>
    <w:rsid w:val="00C773D8"/>
    <w:rsid w:val="00C807A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5E64"/>
    <w:rsid w:val="00C96BA3"/>
    <w:rsid w:val="00C96E5D"/>
    <w:rsid w:val="00C973E3"/>
    <w:rsid w:val="00CA2747"/>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6D23"/>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5F4B"/>
    <w:rsid w:val="00D3628C"/>
    <w:rsid w:val="00D37D14"/>
    <w:rsid w:val="00D40622"/>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1BBE"/>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683E"/>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6AB7"/>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432F"/>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6C13"/>
    <w:rsid w:val="00E37BDE"/>
    <w:rsid w:val="00E4334D"/>
    <w:rsid w:val="00E44069"/>
    <w:rsid w:val="00E44EB5"/>
    <w:rsid w:val="00E45DB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1FF5"/>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698"/>
    <w:rsid w:val="00E8590B"/>
    <w:rsid w:val="00E85CFD"/>
    <w:rsid w:val="00E8629F"/>
    <w:rsid w:val="00E870B6"/>
    <w:rsid w:val="00E87634"/>
    <w:rsid w:val="00E8766D"/>
    <w:rsid w:val="00E920D8"/>
    <w:rsid w:val="00E92846"/>
    <w:rsid w:val="00E93697"/>
    <w:rsid w:val="00E93955"/>
    <w:rsid w:val="00E94B4C"/>
    <w:rsid w:val="00E95081"/>
    <w:rsid w:val="00E95F8B"/>
    <w:rsid w:val="00E96B28"/>
    <w:rsid w:val="00E96D9C"/>
    <w:rsid w:val="00EA0F19"/>
    <w:rsid w:val="00EA131E"/>
    <w:rsid w:val="00EA1AD5"/>
    <w:rsid w:val="00EA1E1D"/>
    <w:rsid w:val="00EA1E26"/>
    <w:rsid w:val="00EA2004"/>
    <w:rsid w:val="00EA2018"/>
    <w:rsid w:val="00EA271B"/>
    <w:rsid w:val="00EA2B23"/>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2EA0"/>
    <w:rsid w:val="00F23838"/>
    <w:rsid w:val="00F23885"/>
    <w:rsid w:val="00F23F01"/>
    <w:rsid w:val="00F2487F"/>
    <w:rsid w:val="00F25B8E"/>
    <w:rsid w:val="00F269FD"/>
    <w:rsid w:val="00F275E2"/>
    <w:rsid w:val="00F27EBD"/>
    <w:rsid w:val="00F3057B"/>
    <w:rsid w:val="00F30D62"/>
    <w:rsid w:val="00F317FA"/>
    <w:rsid w:val="00F3207B"/>
    <w:rsid w:val="00F3253C"/>
    <w:rsid w:val="00F32B38"/>
    <w:rsid w:val="00F32F1D"/>
    <w:rsid w:val="00F3423B"/>
    <w:rsid w:val="00F34324"/>
    <w:rsid w:val="00F35B54"/>
    <w:rsid w:val="00F369D3"/>
    <w:rsid w:val="00F36DBE"/>
    <w:rsid w:val="00F4069C"/>
    <w:rsid w:val="00F40754"/>
    <w:rsid w:val="00F415BB"/>
    <w:rsid w:val="00F4181C"/>
    <w:rsid w:val="00F429E6"/>
    <w:rsid w:val="00F42F41"/>
    <w:rsid w:val="00F43645"/>
    <w:rsid w:val="00F44122"/>
    <w:rsid w:val="00F45267"/>
    <w:rsid w:val="00F455FA"/>
    <w:rsid w:val="00F46747"/>
    <w:rsid w:val="00F474A5"/>
    <w:rsid w:val="00F47598"/>
    <w:rsid w:val="00F4776A"/>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CFD"/>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52B0"/>
    <w:rsid w:val="00F873D6"/>
    <w:rsid w:val="00F876E5"/>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621"/>
    <w:rsid w:val="00FA3792"/>
    <w:rsid w:val="00FA5676"/>
    <w:rsid w:val="00FA5C95"/>
    <w:rsid w:val="00FA670F"/>
    <w:rsid w:val="00FA69D0"/>
    <w:rsid w:val="00FA7156"/>
    <w:rsid w:val="00FA775E"/>
    <w:rsid w:val="00FA7C69"/>
    <w:rsid w:val="00FB0773"/>
    <w:rsid w:val="00FB08BD"/>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B7DEE"/>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3F7"/>
    <w:rsid w:val="00FC58DF"/>
    <w:rsid w:val="00FC5E77"/>
    <w:rsid w:val="00FC69F5"/>
    <w:rsid w:val="00FD063A"/>
    <w:rsid w:val="00FD1F20"/>
    <w:rsid w:val="00FD2F51"/>
    <w:rsid w:val="00FD45BD"/>
    <w:rsid w:val="00FD45D6"/>
    <w:rsid w:val="00FD4DF8"/>
    <w:rsid w:val="00FD4E56"/>
    <w:rsid w:val="00FD4F45"/>
    <w:rsid w:val="00FD5595"/>
    <w:rsid w:val="00FD5917"/>
    <w:rsid w:val="00FD63E5"/>
    <w:rsid w:val="00FD7460"/>
    <w:rsid w:val="00FD769A"/>
    <w:rsid w:val="00FE04B9"/>
    <w:rsid w:val="00FE0B5E"/>
    <w:rsid w:val="00FE0E3F"/>
    <w:rsid w:val="00FE30D7"/>
    <w:rsid w:val="00FE386F"/>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 w:val="00FF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C69CA8CA-310F-45B3-9190-2C7C7680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F53"/>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325DAD"/>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1"/>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25DAD"/>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 w:type="paragraph" w:styleId="Revision">
    <w:name w:val="Revision"/>
    <w:hidden/>
    <w:uiPriority w:val="99"/>
    <w:semiHidden/>
    <w:rsid w:val="0044378E"/>
    <w:rPr>
      <w:lang w:val="en-GB"/>
    </w:rPr>
  </w:style>
  <w:style w:type="character" w:customStyle="1" w:styleId="NOChar1">
    <w:name w:val="NO Char1"/>
    <w:link w:val="NO"/>
    <w:rsid w:val="00C759C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3C60D11-7B7F-4CA8-8B35-EA8B570B1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4E4F1-94C0-4B09-8949-753C9DDDEB15}">
  <ds:schemaRefs>
    <ds:schemaRef ds:uri="http://schemas.openxmlformats.org/officeDocument/2006/bibliography"/>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11</Pages>
  <Words>2791</Words>
  <Characters>15914</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18668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Eutelsat-Rapporteur (v06)</cp:lastModifiedBy>
  <cp:revision>5</cp:revision>
  <cp:lastPrinted>2017-11-03T15:53:00Z</cp:lastPrinted>
  <dcterms:created xsi:type="dcterms:W3CDTF">2021-04-26T17:58:00Z</dcterms:created>
  <dcterms:modified xsi:type="dcterms:W3CDTF">2021-04-26T20:04:00Z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0x0101003244A18A50E4D44392C0F13FE4390A30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