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6024" w14:textId="77777777"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Pr>
          <w:rFonts w:eastAsia="宋体"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5"/>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5"/>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f5"/>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D61929">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D61929">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D61929">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D61929">
            <w:pPr>
              <w:snapToGrid w:val="0"/>
              <w:rPr>
                <w:rFonts w:eastAsiaTheme="minorEastAsia" w:cs="Arial"/>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hint="eastAsia"/>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w:t>
            </w:r>
            <w:r>
              <w:rPr>
                <w:rFonts w:cs="Arial"/>
                <w:snapToGrid w:val="0"/>
                <w:sz w:val="20"/>
                <w:szCs w:val="20"/>
              </w:rPr>
              <w:t>,</w:t>
            </w:r>
            <w:r>
              <w:rPr>
                <w:rFonts w:cs="Arial"/>
                <w:snapToGrid w:val="0"/>
                <w:sz w:val="20"/>
                <w:szCs w:val="20"/>
              </w:rPr>
              <w:t xml:space="preserve"> </w:t>
            </w:r>
            <w:r>
              <w:rPr>
                <w:rFonts w:cs="Arial"/>
                <w:snapToGrid w:val="0"/>
                <w:sz w:val="20"/>
                <w:szCs w:val="20"/>
              </w:rPr>
              <w:t>thus</w:t>
            </w:r>
            <w:r>
              <w:rPr>
                <w:rFonts w:cs="Arial"/>
                <w:snapToGrid w:val="0"/>
                <w:sz w:val="20"/>
                <w:szCs w:val="20"/>
              </w:rPr>
              <w:t xml:space="preserve"> not </w:t>
            </w:r>
            <w:r>
              <w:rPr>
                <w:rFonts w:cs="Arial"/>
                <w:snapToGrid w:val="0"/>
                <w:sz w:val="20"/>
                <w:szCs w:val="20"/>
              </w:rPr>
              <w:t xml:space="preserve">being </w:t>
            </w:r>
            <w:r>
              <w:rPr>
                <w:rFonts w:cs="Arial"/>
                <w:snapToGrid w:val="0"/>
                <w:sz w:val="20"/>
                <w:szCs w:val="20"/>
              </w:rPr>
              <w:t>counted into BSR.</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5"/>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RRCResume message. However, the gain is marginal because </w:t>
            </w:r>
            <w:r>
              <w:rPr>
                <w:rFonts w:cs="Arial"/>
                <w:snapToGrid w:val="0"/>
                <w:sz w:val="20"/>
                <w:szCs w:val="20"/>
              </w:rPr>
              <w:lastRenderedPageBreak/>
              <w:t>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D61929">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D6192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D61929">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D61929">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hint="eastAsia"/>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lastRenderedPageBreak/>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5"/>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b"/>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w:t>
            </w:r>
            <w:r>
              <w:rPr>
                <w:rFonts w:cs="Arial"/>
                <w:snapToGrid w:val="0"/>
                <w:sz w:val="20"/>
                <w:szCs w:val="20"/>
              </w:rPr>
              <w:lastRenderedPageBreak/>
              <w:t xml:space="preserve">anymore (since it has been relocated). Seems additional work might be needed (RAN3 may be impacted in addition to SA3/CT1) with this approach. </w:t>
            </w:r>
          </w:p>
          <w:p w14:paraId="341DDBC1"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D61929">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9" w:type="dxa"/>
          </w:tcPr>
          <w:p w14:paraId="75C8467C" w14:textId="6C10AD97"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bl>
    <w:p w14:paraId="6E26D7F5"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b"/>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lastRenderedPageBreak/>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D61929">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D61929">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D61929">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D61929">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bl>
    <w:p w14:paraId="6E2F3660"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w:t>
            </w:r>
            <w:r>
              <w:rPr>
                <w:rFonts w:cs="Arial"/>
                <w:snapToGrid w:val="0"/>
                <w:sz w:val="20"/>
                <w:szCs w:val="20"/>
              </w:rPr>
              <w:lastRenderedPageBreak/>
              <w:t xml:space="preserve">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D61929">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D61929">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17" w:type="dxa"/>
          </w:tcPr>
          <w:p w14:paraId="6D2E63BE" w14:textId="4F2536BA"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D61929">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lastRenderedPageBreak/>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D61929">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D61929">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D61929">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D61929">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D61929">
            <w:pPr>
              <w:snapToGrid w:val="0"/>
              <w:rPr>
                <w:rFonts w:eastAsiaTheme="minorEastAsia" w:cs="Arial"/>
                <w:snapToGrid w:val="0"/>
                <w:sz w:val="20"/>
                <w:szCs w:val="20"/>
                <w:lang w:eastAsia="zh-CN"/>
              </w:rPr>
            </w:pPr>
          </w:p>
        </w:tc>
      </w:tr>
      <w:tr w:rsidR="00F00F25" w14:paraId="7F714084" w14:textId="77777777" w:rsidTr="00B40759">
        <w:tc>
          <w:tcPr>
            <w:tcW w:w="1166" w:type="dxa"/>
          </w:tcPr>
          <w:p w14:paraId="7E27B99A" w14:textId="36C4FAF8" w:rsidR="00F00F25" w:rsidRDefault="00F00F25" w:rsidP="00D61929">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D61929">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D61929">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D61929">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hint="eastAsia"/>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hint="eastAsia"/>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5"/>
        <w:tblW w:w="0" w:type="auto"/>
        <w:tblLook w:val="04A0" w:firstRow="1" w:lastRow="0" w:firstColumn="1" w:lastColumn="0" w:noHBand="0" w:noVBand="1"/>
      </w:tblPr>
      <w:tblGrid>
        <w:gridCol w:w="1150"/>
        <w:gridCol w:w="528"/>
        <w:gridCol w:w="461"/>
        <w:gridCol w:w="461"/>
        <w:gridCol w:w="461"/>
        <w:gridCol w:w="461"/>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1843B9">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1843B9">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1843B9">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lastRenderedPageBreak/>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1843B9">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1843B9">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1843B9">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1843B9">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1843B9">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1843B9">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61"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F56763">
        <w:tc>
          <w:tcPr>
            <w:tcW w:w="1150" w:type="dxa"/>
          </w:tcPr>
          <w:p w14:paraId="6700856C" w14:textId="2E0DA0F1" w:rsidR="00F56763" w:rsidRDefault="00F56763" w:rsidP="00D61929">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D61929">
            <w:pPr>
              <w:snapToGrid w:val="0"/>
              <w:rPr>
                <w:rFonts w:cs="Arial"/>
                <w:snapToGrid w:val="0"/>
                <w:sz w:val="20"/>
                <w:szCs w:val="20"/>
              </w:rPr>
            </w:pPr>
            <w:r>
              <w:rPr>
                <w:rFonts w:cs="Arial" w:hint="eastAsia"/>
                <w:snapToGrid w:val="0"/>
                <w:sz w:val="20"/>
                <w:szCs w:val="20"/>
              </w:rPr>
              <w:t>Yes</w:t>
            </w:r>
          </w:p>
        </w:tc>
        <w:tc>
          <w:tcPr>
            <w:tcW w:w="461" w:type="dxa"/>
          </w:tcPr>
          <w:p w14:paraId="40FE5767"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5C5A5E15"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11D823F9"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D61929">
            <w:pPr>
              <w:snapToGrid w:val="0"/>
              <w:rPr>
                <w:rFonts w:eastAsiaTheme="minorEastAsia" w:cs="Arial"/>
                <w:snapToGrid w:val="0"/>
                <w:sz w:val="20"/>
                <w:szCs w:val="20"/>
                <w:lang w:eastAsia="zh-CN"/>
              </w:rPr>
            </w:pPr>
          </w:p>
        </w:tc>
      </w:tr>
      <w:tr w:rsidR="00F00F25" w14:paraId="4ED73FF5" w14:textId="77777777" w:rsidTr="00F56763">
        <w:tc>
          <w:tcPr>
            <w:tcW w:w="1150" w:type="dxa"/>
          </w:tcPr>
          <w:p w14:paraId="46D5B6E3" w14:textId="443C9138"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528" w:type="dxa"/>
          </w:tcPr>
          <w:p w14:paraId="0FD5F93C" w14:textId="629BD7ED" w:rsidR="00F00F25" w:rsidRDefault="00F00F25" w:rsidP="00D61929">
            <w:pPr>
              <w:snapToGrid w:val="0"/>
              <w:rPr>
                <w:rFonts w:cs="Arial"/>
                <w:snapToGrid w:val="0"/>
                <w:sz w:val="20"/>
                <w:szCs w:val="20"/>
                <w:lang w:eastAsia="zh-CN"/>
              </w:rPr>
            </w:pPr>
            <w:r>
              <w:rPr>
                <w:rFonts w:cs="Arial" w:hint="eastAsia"/>
                <w:snapToGrid w:val="0"/>
                <w:sz w:val="20"/>
                <w:szCs w:val="20"/>
                <w:lang w:eastAsia="zh-CN"/>
              </w:rPr>
              <w:t>Yes</w:t>
            </w:r>
          </w:p>
        </w:tc>
        <w:tc>
          <w:tcPr>
            <w:tcW w:w="461" w:type="dxa"/>
          </w:tcPr>
          <w:p w14:paraId="1EC73350" w14:textId="0FB77CFC" w:rsidR="00F00F25" w:rsidRDefault="00F00F25" w:rsidP="00D61929">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D61929">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678940CF" w14:textId="4F160768" w:rsidR="00F00F25" w:rsidRDefault="00F00F25" w:rsidP="00D61929">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17882E40" w14:textId="1B27033D" w:rsidR="00F00F25" w:rsidRDefault="00F00F25" w:rsidP="00D61929">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D61929">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D61929">
            <w:pPr>
              <w:snapToGrid w:val="0"/>
              <w:rPr>
                <w:rFonts w:eastAsiaTheme="minorEastAsia" w:cs="Arial"/>
                <w:snapToGrid w:val="0"/>
                <w:sz w:val="20"/>
                <w:szCs w:val="20"/>
                <w:lang w:eastAsia="zh-CN"/>
              </w:rPr>
            </w:pPr>
          </w:p>
        </w:tc>
      </w:tr>
      <w:tr w:rsidR="00760EB8" w14:paraId="51E45E82" w14:textId="77777777" w:rsidTr="00F56763">
        <w:tc>
          <w:tcPr>
            <w:tcW w:w="1150" w:type="dxa"/>
          </w:tcPr>
          <w:p w14:paraId="3DFD9150" w14:textId="17ABA2D1" w:rsidR="00760EB8" w:rsidRDefault="00760EB8" w:rsidP="00760EB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hint="eastAsia"/>
                <w:snapToGrid w:val="0"/>
                <w:sz w:val="20"/>
                <w:szCs w:val="20"/>
                <w:lang w:eastAsia="zh-CN"/>
              </w:rPr>
            </w:pPr>
            <w:r>
              <w:rPr>
                <w:rFonts w:cs="Arial" w:hint="eastAsia"/>
                <w:snapToGrid w:val="0"/>
                <w:sz w:val="20"/>
                <w:szCs w:val="20"/>
              </w:rPr>
              <w:t>Yes</w:t>
            </w:r>
          </w:p>
        </w:tc>
        <w:tc>
          <w:tcPr>
            <w:tcW w:w="461" w:type="dxa"/>
          </w:tcPr>
          <w:p w14:paraId="31CC8A36" w14:textId="2D3CE3B4" w:rsidR="00760EB8" w:rsidRDefault="00760EB8" w:rsidP="00760EB8">
            <w:pPr>
              <w:snapToGrid w:val="0"/>
              <w:rPr>
                <w:rFonts w:cs="Arial" w:hint="eastAsia"/>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hint="eastAsia"/>
                <w:snapToGrid w:val="0"/>
                <w:sz w:val="20"/>
                <w:szCs w:val="20"/>
                <w:lang w:eastAsia="zh-CN"/>
              </w:rPr>
            </w:pPr>
            <w:r>
              <w:rPr>
                <w:rFonts w:cs="Arial" w:hint="eastAsia"/>
                <w:snapToGrid w:val="0"/>
                <w:sz w:val="20"/>
                <w:szCs w:val="20"/>
              </w:rPr>
              <w:t>No</w:t>
            </w:r>
          </w:p>
        </w:tc>
        <w:tc>
          <w:tcPr>
            <w:tcW w:w="461" w:type="dxa"/>
          </w:tcPr>
          <w:p w14:paraId="1EF48170" w14:textId="35590139" w:rsidR="00760EB8" w:rsidRDefault="00760EB8" w:rsidP="00760EB8">
            <w:pPr>
              <w:snapToGrid w:val="0"/>
              <w:rPr>
                <w:rFonts w:cs="Arial" w:hint="eastAsia"/>
                <w:snapToGrid w:val="0"/>
                <w:sz w:val="20"/>
                <w:szCs w:val="20"/>
                <w:lang w:eastAsia="zh-CN"/>
              </w:rPr>
            </w:pPr>
            <w:r>
              <w:rPr>
                <w:rFonts w:cs="Arial" w:hint="eastAsia"/>
                <w:snapToGrid w:val="0"/>
                <w:sz w:val="20"/>
                <w:szCs w:val="20"/>
              </w:rPr>
              <w:t>No</w:t>
            </w:r>
          </w:p>
        </w:tc>
        <w:tc>
          <w:tcPr>
            <w:tcW w:w="461" w:type="dxa"/>
          </w:tcPr>
          <w:p w14:paraId="251660F5" w14:textId="3290A8E5" w:rsidR="00760EB8" w:rsidRDefault="00760EB8" w:rsidP="00760EB8">
            <w:pPr>
              <w:snapToGrid w:val="0"/>
              <w:rPr>
                <w:rFonts w:cs="Arial" w:hint="eastAsia"/>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hint="eastAsia"/>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b"/>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b"/>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b"/>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af8"/>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760EB8"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r w:rsidRPr="00121CE2">
              <w:rPr>
                <w:lang w:val="fr-FR" w:eastAsia="en-GB"/>
              </w:rPr>
              <w:t>Jussi Koskinen (</w:t>
            </w:r>
            <w:hyperlink r:id="rId14" w:history="1">
              <w:r w:rsidRPr="00121CE2">
                <w:rPr>
                  <w:rStyle w:val="af8"/>
                  <w:lang w:val="fr-FR" w:eastAsia="en-GB"/>
                </w:rPr>
                <w:t>Jussi-pekka.koskinen@nokia.com</w:t>
              </w:r>
            </w:hyperlink>
            <w:r w:rsidRPr="00121CE2">
              <w:rPr>
                <w:lang w:val="fr-FR" w:eastAsia="en-GB"/>
              </w:rPr>
              <w:t>)</w:t>
            </w:r>
          </w:p>
        </w:tc>
        <w:tc>
          <w:tcPr>
            <w:tcW w:w="5289" w:type="dxa"/>
          </w:tcPr>
          <w:p w14:paraId="3CB1F651" w14:textId="77777777" w:rsidR="00650F16" w:rsidRPr="00121CE2" w:rsidRDefault="00054D3D">
            <w:pPr>
              <w:rPr>
                <w:lang w:val="fr-FR"/>
              </w:rPr>
            </w:pPr>
            <w:hyperlink r:id="rId15" w:history="1">
              <w:r w:rsidR="00FC00DF" w:rsidRPr="00121CE2">
                <w:rPr>
                  <w:rStyle w:val="af8"/>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Anil Agiwal (</w:t>
            </w:r>
            <w:hyperlink r:id="rId16" w:history="1">
              <w:r w:rsidRPr="00B84851">
                <w:rPr>
                  <w:rStyle w:val="af8"/>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af8"/>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Faris Alfarhan (</w:t>
            </w:r>
            <w:hyperlink r:id="rId18" w:history="1">
              <w:r w:rsidRPr="008C7530">
                <w:rPr>
                  <w:rStyle w:val="af8"/>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7889" w:type="dxa"/>
          </w:tcPr>
          <w:p w14:paraId="56B0BAC1" w14:textId="58B60730" w:rsidR="00650F16" w:rsidRPr="008929B2" w:rsidRDefault="008929B2">
            <w:pPr>
              <w:rPr>
                <w:rFonts w:eastAsia="Malgun Gothic"/>
              </w:rPr>
            </w:pPr>
            <w:r>
              <w:rPr>
                <w:rFonts w:eastAsia="Malgun Gothic" w:hint="eastAsia"/>
              </w:rPr>
              <w:t>J</w:t>
            </w:r>
            <w:r>
              <w:rPr>
                <w:rFonts w:eastAsia="Malgun Gothic"/>
              </w:rPr>
              <w:t>aeheung Kim (</w:t>
            </w:r>
            <w:hyperlink r:id="rId19" w:history="1">
              <w:r w:rsidRPr="00D140D2">
                <w:rPr>
                  <w:rStyle w:val="af8"/>
                  <w:rFonts w:eastAsia="Malgun Gothic"/>
                </w:rPr>
                <w:t>kimjh@etri.re.kr</w:t>
              </w:r>
            </w:hyperlink>
            <w:r>
              <w:rPr>
                <w:rFonts w:eastAsia="Malgun Gothic"/>
              </w:rPr>
              <w:t xml:space="preserve">) </w:t>
            </w: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1A224818" w:rsidR="00650F16" w:rsidRPr="00950008" w:rsidRDefault="00B9164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889" w:type="dxa"/>
          </w:tcPr>
          <w:p w14:paraId="18E3716A" w14:textId="68A7E4D5" w:rsidR="00650F16" w:rsidRPr="00950008" w:rsidRDefault="00B91642">
            <w:pPr>
              <w:rPr>
                <w:rFonts w:eastAsiaTheme="minorEastAsia"/>
                <w:lang w:eastAsia="zh-CN"/>
              </w:rPr>
            </w:pPr>
            <w:r>
              <w:rPr>
                <w:rFonts w:eastAsiaTheme="minorEastAsia" w:hint="eastAsia"/>
                <w:lang w:eastAsia="zh-CN"/>
              </w:rPr>
              <w:t>Lifeng Han (</w:t>
            </w:r>
            <w:r w:rsidRPr="00B91642">
              <w:rPr>
                <w:rStyle w:val="af8"/>
                <w:rFonts w:eastAsia="Malgun Gothic"/>
              </w:rPr>
              <w:t>Lifeng.Han@unisoc.com</w:t>
            </w:r>
            <w:r>
              <w:rPr>
                <w:rFonts w:eastAsiaTheme="minorEastAsia" w:hint="eastAsia"/>
                <w:lang w:eastAsia="zh-CN"/>
              </w:rPr>
              <w:t>)</w:t>
            </w: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7889" w:type="dxa"/>
          </w:tcPr>
          <w:p w14:paraId="6A8CC68F" w14:textId="2ED56F4D" w:rsidR="00650F16" w:rsidRPr="00B91642" w:rsidRDefault="00760EB8">
            <w:pPr>
              <w:rPr>
                <w:rFonts w:eastAsiaTheme="minorEastAsia"/>
                <w:lang w:eastAsia="zh-CN"/>
              </w:rPr>
            </w:pPr>
            <w:r>
              <w:rPr>
                <w:rFonts w:eastAsiaTheme="minorEastAsia" w:hint="eastAsia"/>
                <w:lang w:eastAsia="zh-CN"/>
              </w:rPr>
              <w:t>W</w:t>
            </w:r>
            <w:r>
              <w:rPr>
                <w:rFonts w:eastAsiaTheme="minorEastAsia"/>
                <w:lang w:eastAsia="zh-CN"/>
              </w:rPr>
              <w:t>angda (</w:t>
            </w:r>
            <w:hyperlink r:id="rId20" w:history="1">
              <w:r w:rsidRPr="004547EF">
                <w:rPr>
                  <w:rStyle w:val="af8"/>
                  <w:rFonts w:eastAsiaTheme="minorEastAsia"/>
                  <w:lang w:eastAsia="zh-CN"/>
                </w:rPr>
                <w:t>wang_da@nec.cn</w:t>
              </w:r>
            </w:hyperlink>
            <w:r>
              <w:rPr>
                <w:rFonts w:eastAsiaTheme="minorEastAsia"/>
                <w:lang w:eastAsia="zh-CN"/>
              </w:rPr>
              <w:t xml:space="preserve"> )</w:t>
            </w: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760EB8" w:rsidRDefault="00650F16">
            <w:pPr>
              <w:rPr>
                <w:rFonts w:eastAsiaTheme="minorEastAsia"/>
                <w:lang w:eastAsia="zh-CN"/>
              </w:rPr>
            </w:pPr>
            <w:bookmarkStart w:id="3" w:name="_GoBack"/>
            <w:bookmarkEnd w:id="3"/>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afb"/>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C5D27" w14:textId="77777777" w:rsidR="00054D3D" w:rsidRDefault="00054D3D">
      <w:pPr>
        <w:spacing w:after="0" w:line="240" w:lineRule="auto"/>
      </w:pPr>
      <w:r>
        <w:separator/>
      </w:r>
    </w:p>
  </w:endnote>
  <w:endnote w:type="continuationSeparator" w:id="0">
    <w:p w14:paraId="2A2BC131" w14:textId="77777777" w:rsidR="00054D3D" w:rsidRDefault="0005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modern"/>
    <w:pitch w:val="variable"/>
    <w:sig w:usb0="00000000" w:usb1="69D77CFB" w:usb2="00000030" w:usb3="00000000" w:csb0="0008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C30C" w14:textId="77777777" w:rsidR="00054D3D" w:rsidRDefault="00054D3D">
      <w:pPr>
        <w:spacing w:after="0" w:line="240" w:lineRule="auto"/>
      </w:pPr>
      <w:r>
        <w:separator/>
      </w:r>
    </w:p>
  </w:footnote>
  <w:footnote w:type="continuationSeparator" w:id="0">
    <w:p w14:paraId="71C824A1" w14:textId="77777777" w:rsidR="00054D3D" w:rsidRDefault="00054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53EA"/>
    <w:rsid w:val="00053350"/>
    <w:rsid w:val="0005451A"/>
    <w:rsid w:val="00054D3D"/>
    <w:rsid w:val="000658E0"/>
    <w:rsid w:val="000659A9"/>
    <w:rsid w:val="00065ECB"/>
    <w:rsid w:val="00091FEB"/>
    <w:rsid w:val="0009651D"/>
    <w:rsid w:val="000B3630"/>
    <w:rsid w:val="000B48FC"/>
    <w:rsid w:val="000C6292"/>
    <w:rsid w:val="000F50E3"/>
    <w:rsid w:val="00114476"/>
    <w:rsid w:val="00120347"/>
    <w:rsid w:val="0012125C"/>
    <w:rsid w:val="00121CE2"/>
    <w:rsid w:val="0013540E"/>
    <w:rsid w:val="001679DC"/>
    <w:rsid w:val="001703AC"/>
    <w:rsid w:val="001838D4"/>
    <w:rsid w:val="001843B9"/>
    <w:rsid w:val="001A7887"/>
    <w:rsid w:val="001C45CE"/>
    <w:rsid w:val="001F5226"/>
    <w:rsid w:val="00233906"/>
    <w:rsid w:val="00235DE7"/>
    <w:rsid w:val="00240B69"/>
    <w:rsid w:val="00256FE7"/>
    <w:rsid w:val="002B1457"/>
    <w:rsid w:val="002F1A0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60EB8"/>
    <w:rsid w:val="00770FB4"/>
    <w:rsid w:val="00773BD3"/>
    <w:rsid w:val="007A334C"/>
    <w:rsid w:val="007E236E"/>
    <w:rsid w:val="007E7BD6"/>
    <w:rsid w:val="00823F27"/>
    <w:rsid w:val="0084132B"/>
    <w:rsid w:val="00844F26"/>
    <w:rsid w:val="008929B2"/>
    <w:rsid w:val="008E593E"/>
    <w:rsid w:val="008F22C0"/>
    <w:rsid w:val="008F53C6"/>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600DF"/>
    <w:rsid w:val="00A7681A"/>
    <w:rsid w:val="00A8700F"/>
    <w:rsid w:val="00B048EB"/>
    <w:rsid w:val="00B06FEF"/>
    <w:rsid w:val="00B11246"/>
    <w:rsid w:val="00B119BE"/>
    <w:rsid w:val="00B12146"/>
    <w:rsid w:val="00B40759"/>
    <w:rsid w:val="00B91642"/>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2600C"/>
    <w:rsid w:val="00E72407"/>
    <w:rsid w:val="00E818DF"/>
    <w:rsid w:val="00E93D55"/>
    <w:rsid w:val="00E96515"/>
    <w:rsid w:val="00EA3209"/>
    <w:rsid w:val="00EA689D"/>
    <w:rsid w:val="00EC4584"/>
    <w:rsid w:val="00ED1254"/>
    <w:rsid w:val="00EF3060"/>
    <w:rsid w:val="00F00F25"/>
    <w:rsid w:val="00F12BF5"/>
    <w:rsid w:val="00F27AA0"/>
    <w:rsid w:val="00F56763"/>
    <w:rsid w:val="00F6214A"/>
    <w:rsid w:val="00FB173F"/>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
    <w:name w:val="Unresolved Mention"/>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hyperlink" Target="mailto:wang_da@nec.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19" Type="http://schemas.openxmlformats.org/officeDocument/2006/relationships/hyperlink" Target="mailto:kimjh@etri.re.k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6.xml><?xml version="1.0" encoding="utf-8"?>
<ds:datastoreItem xmlns:ds="http://schemas.openxmlformats.org/officeDocument/2006/customXml" ds:itemID="{FBCF7FFB-B2AA-4AF0-8698-E6C8305C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11</Pages>
  <Words>3903</Words>
  <Characters>22248</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6</cp:revision>
  <dcterms:created xsi:type="dcterms:W3CDTF">2021-03-11T04:51:00Z</dcterms:created>
  <dcterms:modified xsi:type="dcterms:W3CDTF">2021-03-15T05:20:00Z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