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e-Meeting, 12 – 20 April,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w:t>
      </w:r>
      <w:proofErr w:type="gramStart"/>
      <w:r>
        <w:t>502][</w:t>
      </w:r>
      <w:proofErr w:type="gramEnd"/>
      <w:r>
        <w:t>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Heading1"/>
        <w:rPr>
          <w:snapToGrid w:val="0"/>
        </w:rPr>
      </w:pPr>
      <w:r>
        <w:rPr>
          <w:snapToGrid w:val="0"/>
        </w:rPr>
        <w:t>Discussion</w:t>
      </w:r>
    </w:p>
    <w:p w14:paraId="675CE12F" w14:textId="77777777" w:rsidR="00650F16" w:rsidRDefault="00FC00DF">
      <w:pPr>
        <w:pStyle w:val="Heading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TableGrid"/>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TableGrid"/>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Heading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TableGrid"/>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w:t>
            </w:r>
            <w:proofErr w:type="gramStart"/>
            <w:r w:rsidR="000453EA">
              <w:rPr>
                <w:rFonts w:eastAsiaTheme="minorEastAsia" w:cs="Arial"/>
                <w:snapToGrid w:val="0"/>
                <w:sz w:val="20"/>
                <w:szCs w:val="20"/>
                <w:lang w:eastAsia="zh-CN"/>
              </w:rPr>
              <w:t xml:space="preserve">layer </w:t>
            </w:r>
            <w:r w:rsidR="00DC27E9">
              <w:rPr>
                <w:rFonts w:eastAsiaTheme="minorEastAsia" w:cs="Arial"/>
                <w:snapToGrid w:val="0"/>
                <w:sz w:val="20"/>
                <w:szCs w:val="20"/>
                <w:lang w:eastAsia="zh-CN"/>
              </w:rPr>
              <w:t xml:space="preserve"> even</w:t>
            </w:r>
            <w:proofErr w:type="gramEnd"/>
            <w:r w:rsidR="00DC27E9">
              <w:rPr>
                <w:rFonts w:eastAsiaTheme="minorEastAsia" w:cs="Arial"/>
                <w:snapToGrid w:val="0"/>
                <w:sz w:val="20"/>
                <w:szCs w:val="20"/>
                <w:lang w:eastAsia="zh-CN"/>
              </w:rPr>
              <w:t xml:space="preserve">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InterDigital</w:t>
            </w:r>
          </w:p>
        </w:tc>
        <w:tc>
          <w:tcPr>
            <w:tcW w:w="1298" w:type="dxa"/>
          </w:tcPr>
          <w:p w14:paraId="3B62BEA0" w14:textId="3A5B06ED"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bl>
    <w:p w14:paraId="776B6961" w14:textId="77777777" w:rsidR="00650F16"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TableGrid"/>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 xml:space="preserve">Observation 1: Even if non-SDT DRB is resumed in RRC_INACTIVE, there is no gain from PDCP and RLC processing point of view, because the PDCP and RLC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not be resumed and scheduled over SDT transmission opportunities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lastRenderedPageBreak/>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w:t>
            </w:r>
            <w:proofErr w:type="gramStart"/>
            <w:r>
              <w:rPr>
                <w:rFonts w:cs="Arial"/>
                <w:snapToGrid w:val="0"/>
                <w:sz w:val="20"/>
                <w:szCs w:val="20"/>
              </w:rPr>
              <w:t>needs</w:t>
            </w:r>
            <w:proofErr w:type="gramEnd"/>
            <w:r>
              <w:rPr>
                <w:rFonts w:cs="Arial"/>
                <w:snapToGrid w:val="0"/>
                <w:sz w:val="20"/>
                <w:szCs w:val="20"/>
              </w:rPr>
              <w:t xml:space="preserve">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InterDigital</w:t>
            </w:r>
          </w:p>
        </w:tc>
        <w:tc>
          <w:tcPr>
            <w:tcW w:w="1324" w:type="dxa"/>
          </w:tcPr>
          <w:p w14:paraId="717F8987" w14:textId="714331F1"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 xml:space="preserve">Resuming non-SDT DRBs would require an LCP restriction to ensure only SDT DRBs are multiplexed on SDT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Heading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needs to be confirmed by SA3.</w:t>
      </w:r>
    </w:p>
    <w:p w14:paraId="3D3628D0"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TableGrid"/>
        <w:tblW w:w="0" w:type="auto"/>
        <w:tblLook w:val="04A0" w:firstRow="1" w:lastRow="0" w:firstColumn="1" w:lastColumn="0" w:noHBand="0" w:noVBand="1"/>
      </w:tblPr>
      <w:tblGrid>
        <w:gridCol w:w="1183"/>
        <w:gridCol w:w="1439"/>
        <w:gridCol w:w="6395"/>
      </w:tblGrid>
      <w:tr w:rsidR="00650F16" w14:paraId="03CE4531" w14:textId="77777777">
        <w:tc>
          <w:tcPr>
            <w:tcW w:w="9017"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lastRenderedPageBreak/>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tc>
          <w:tcPr>
            <w:tcW w:w="1183" w:type="dxa"/>
          </w:tcPr>
          <w:p w14:paraId="1B4125CC" w14:textId="77777777" w:rsidR="00650F16" w:rsidRDefault="00FC00DF">
            <w:pPr>
              <w:snapToGrid w:val="0"/>
              <w:rPr>
                <w:rFonts w:cs="Arial"/>
                <w:snapToGrid w:val="0"/>
                <w:sz w:val="20"/>
                <w:szCs w:val="20"/>
              </w:rPr>
            </w:pPr>
            <w:r>
              <w:rPr>
                <w:rFonts w:cs="Arial"/>
                <w:snapToGrid w:val="0"/>
                <w:sz w:val="20"/>
                <w:szCs w:val="20"/>
              </w:rPr>
              <w:lastRenderedPageBreak/>
              <w:t>Company</w:t>
            </w:r>
          </w:p>
        </w:tc>
        <w:tc>
          <w:tcPr>
            <w:tcW w:w="1439"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5"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tc>
          <w:tcPr>
            <w:tcW w:w="1183"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9"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5"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tc>
          <w:tcPr>
            <w:tcW w:w="1183"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9"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5"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w:t>
            </w:r>
            <w:proofErr w:type="gramStart"/>
            <w:r>
              <w:rPr>
                <w:rFonts w:cs="Arial"/>
                <w:snapToGrid w:val="0"/>
                <w:sz w:val="20"/>
                <w:szCs w:val="20"/>
              </w:rPr>
              <w:t>addition</w:t>
            </w:r>
            <w:proofErr w:type="gramEnd"/>
            <w:r>
              <w:rPr>
                <w:rFonts w:cs="Arial"/>
                <w:snapToGrid w:val="0"/>
                <w:sz w:val="20"/>
                <w:szCs w:val="20"/>
              </w:rPr>
              <w:t xml:space="preserve">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non-SDT data arrives during SDT procedure. </w:t>
            </w:r>
          </w:p>
        </w:tc>
      </w:tr>
      <w:tr w:rsidR="00650F16" w14:paraId="78845B78" w14:textId="77777777">
        <w:tc>
          <w:tcPr>
            <w:tcW w:w="1183"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9"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5"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RRC-based solution, for both RACH and CG based solutions, the CCCH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RRC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ListParagraph"/>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gNB based on the old I-RNTI and the old anchor gNB may not have the context anymore (since it has been relocated). Seems additional work might be needed (RAN3 may be impacted in addition to SA3/CT1) with this approach. </w:t>
            </w:r>
          </w:p>
          <w:p w14:paraId="341DDBC1"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tc>
          <w:tcPr>
            <w:tcW w:w="1183" w:type="dxa"/>
          </w:tcPr>
          <w:p w14:paraId="08B5FB11"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39"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5"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tc>
          <w:tcPr>
            <w:tcW w:w="1183"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9"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tc>
          <w:tcPr>
            <w:tcW w:w="1183" w:type="dxa"/>
          </w:tcPr>
          <w:p w14:paraId="0480A922" w14:textId="39760A56"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InterDigital</w:t>
            </w:r>
          </w:p>
        </w:tc>
        <w:tc>
          <w:tcPr>
            <w:tcW w:w="1439" w:type="dxa"/>
          </w:tcPr>
          <w:p w14:paraId="56E53A31" w14:textId="00774E3A"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No</w:t>
            </w:r>
          </w:p>
        </w:tc>
        <w:tc>
          <w:tcPr>
            <w:tcW w:w="6395" w:type="dxa"/>
          </w:tcPr>
          <w:p w14:paraId="32F65686" w14:textId="4288A3F7"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bl>
    <w:p w14:paraId="6E26D7F5"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82"/>
        <w:gridCol w:w="1436"/>
        <w:gridCol w:w="6399"/>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lastRenderedPageBreak/>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tc>
          <w:tcPr>
            <w:tcW w:w="1182" w:type="dxa"/>
          </w:tcPr>
          <w:p w14:paraId="33B143FE" w14:textId="77777777" w:rsidR="00650F16" w:rsidRDefault="00FC00DF">
            <w:pPr>
              <w:snapToGrid w:val="0"/>
              <w:rPr>
                <w:rFonts w:cs="Arial"/>
                <w:snapToGrid w:val="0"/>
                <w:sz w:val="20"/>
                <w:szCs w:val="20"/>
              </w:rPr>
            </w:pPr>
            <w:r>
              <w:rPr>
                <w:rFonts w:cs="Arial"/>
                <w:snapToGrid w:val="0"/>
                <w:sz w:val="20"/>
                <w:szCs w:val="20"/>
              </w:rPr>
              <w:lastRenderedPageBreak/>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9"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tc>
          <w:tcPr>
            <w:tcW w:w="1182"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9"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tc>
          <w:tcPr>
            <w:tcW w:w="1182"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9" w:type="dxa"/>
          </w:tcPr>
          <w:p w14:paraId="0FFE815C" w14:textId="77777777" w:rsidR="00650F16" w:rsidRDefault="00FC00DF">
            <w:pPr>
              <w:snapToGrid w:val="0"/>
              <w:rPr>
                <w:rFonts w:cs="Arial"/>
                <w:snapToGrid w:val="0"/>
                <w:sz w:val="20"/>
                <w:szCs w:val="20"/>
              </w:rPr>
            </w:pPr>
            <w:r>
              <w:rPr>
                <w:rFonts w:cs="Arial"/>
                <w:snapToGrid w:val="0"/>
                <w:sz w:val="20"/>
                <w:szCs w:val="20"/>
              </w:rPr>
              <w:t xml:space="preserve">MAC level indication would need UL grant before it can be sent causing possible delay or worst case it cannot be transmitted at all if UL grant is not scheduled for the UE. In </w:t>
            </w:r>
            <w:proofErr w:type="gramStart"/>
            <w:r>
              <w:rPr>
                <w:rFonts w:cs="Arial"/>
                <w:snapToGrid w:val="0"/>
                <w:sz w:val="20"/>
                <w:szCs w:val="20"/>
              </w:rPr>
              <w:t>addition</w:t>
            </w:r>
            <w:proofErr w:type="gramEnd"/>
            <w:r>
              <w:rPr>
                <w:rFonts w:cs="Arial"/>
                <w:snapToGrid w:val="0"/>
                <w:sz w:val="20"/>
                <w:szCs w:val="20"/>
              </w:rPr>
              <w:t xml:space="preserve">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tc>
          <w:tcPr>
            <w:tcW w:w="1182"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9"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ListParagraph"/>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tc>
          <w:tcPr>
            <w:tcW w:w="1182"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9"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tc>
          <w:tcPr>
            <w:tcW w:w="1182"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9"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gNB decides not to perform the context </w:t>
            </w:r>
            <w:proofErr w:type="spellStart"/>
            <w:r w:rsidR="00D77AB2">
              <w:rPr>
                <w:rFonts w:eastAsiaTheme="minorEastAsia" w:cs="Arial"/>
                <w:snapToGrid w:val="0"/>
                <w:sz w:val="20"/>
                <w:szCs w:val="20"/>
                <w:lang w:eastAsia="zh-CN"/>
              </w:rPr>
              <w:t>retrievial</w:t>
            </w:r>
            <w:proofErr w:type="spellEnd"/>
            <w:r w:rsidR="00D77AB2">
              <w:rPr>
                <w:rFonts w:eastAsiaTheme="minorEastAsia" w:cs="Arial"/>
                <w:snapToGrid w:val="0"/>
                <w:sz w:val="20"/>
                <w:szCs w:val="20"/>
                <w:lang w:eastAsia="zh-CN"/>
              </w:rPr>
              <w:t xml:space="preserve">, the target gNB is not able </w:t>
            </w:r>
            <w:proofErr w:type="gramStart"/>
            <w:r w:rsidR="00D77AB2">
              <w:rPr>
                <w:rFonts w:eastAsiaTheme="minorEastAsia" w:cs="Arial"/>
                <w:snapToGrid w:val="0"/>
                <w:sz w:val="20"/>
                <w:szCs w:val="20"/>
                <w:lang w:eastAsia="zh-CN"/>
              </w:rPr>
              <w:t>to  decode</w:t>
            </w:r>
            <w:proofErr w:type="gramEnd"/>
            <w:r w:rsidR="00D77AB2">
              <w:rPr>
                <w:rFonts w:eastAsiaTheme="minorEastAsia" w:cs="Arial"/>
                <w:snapToGrid w:val="0"/>
                <w:sz w:val="20"/>
                <w:szCs w:val="20"/>
                <w:lang w:eastAsia="zh-CN"/>
              </w:rPr>
              <w:t xml:space="preserve"> the DCCH message, but is able to decode the MAC CE. </w:t>
            </w:r>
            <w:r w:rsidR="00E93D55">
              <w:rPr>
                <w:rFonts w:eastAsiaTheme="minorEastAsia" w:cs="Arial"/>
                <w:snapToGrid w:val="0"/>
                <w:sz w:val="20"/>
                <w:szCs w:val="20"/>
                <w:lang w:eastAsia="zh-CN"/>
              </w:rPr>
              <w:t xml:space="preserve">In order to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gNB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w:t>
            </w:r>
            <w:proofErr w:type="gramStart"/>
            <w:r w:rsidR="00233906" w:rsidRPr="0047722D">
              <w:rPr>
                <w:rFonts w:eastAsiaTheme="minorEastAsia" w:cs="Arial"/>
                <w:snapToGrid w:val="0"/>
                <w:sz w:val="20"/>
                <w:szCs w:val="20"/>
                <w:lang w:eastAsia="zh-CN"/>
              </w:rPr>
              <w:t xml:space="preserve">CE </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p>
          <w:p w14:paraId="5B8CED02" w14:textId="161D8A64" w:rsidR="00233906" w:rsidRDefault="00F12BF5"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gNB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gNB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p>
          <w:p w14:paraId="2CD77739" w14:textId="27197AB1"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it is the source gNB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Target gNB receives</w:t>
            </w:r>
            <w:r>
              <w:rPr>
                <w:rFonts w:eastAsiaTheme="minorEastAsia" w:cs="Arial"/>
                <w:snapToGrid w:val="0"/>
                <w:sz w:val="20"/>
                <w:szCs w:val="20"/>
                <w:lang w:eastAsia="zh-CN"/>
              </w:rPr>
              <w:t xml:space="preserve"> the UL data including the DCCH </w:t>
            </w:r>
            <w:proofErr w:type="gramStart"/>
            <w:r>
              <w:rPr>
                <w:rFonts w:eastAsiaTheme="minorEastAsia" w:cs="Arial"/>
                <w:snapToGrid w:val="0"/>
                <w:sz w:val="20"/>
                <w:szCs w:val="20"/>
                <w:lang w:eastAsia="zh-CN"/>
              </w:rPr>
              <w:t>message</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r>
              <w:rPr>
                <w:rFonts w:eastAsiaTheme="minorEastAsia" w:cs="Arial"/>
                <w:snapToGrid w:val="0"/>
                <w:sz w:val="20"/>
                <w:szCs w:val="20"/>
                <w:lang w:eastAsia="zh-CN"/>
              </w:rPr>
              <w:t xml:space="preserve"> The target gNB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The source gNB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non-SDT data</w:t>
            </w:r>
            <w:r w:rsidR="007E7BD6">
              <w:rPr>
                <w:rFonts w:eastAsiaTheme="minorEastAsia" w:cs="Arial"/>
                <w:snapToGrid w:val="0"/>
                <w:sz w:val="20"/>
                <w:szCs w:val="20"/>
                <w:lang w:eastAsia="zh-CN"/>
              </w:rPr>
              <w:t xml:space="preserve"> after decoding the DCCH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r w:rsidR="001703AC">
              <w:rPr>
                <w:rFonts w:eastAsiaTheme="minorEastAsia" w:cs="Arial"/>
                <w:snapToGrid w:val="0"/>
                <w:sz w:val="20"/>
                <w:szCs w:val="20"/>
                <w:lang w:eastAsia="zh-CN"/>
              </w:rPr>
              <w:t xml:space="preserve"> </w:t>
            </w:r>
          </w:p>
          <w:p w14:paraId="3D18569E" w14:textId="6508C319" w:rsidR="00553167"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r w:rsidR="001703AC">
              <w:rPr>
                <w:rFonts w:eastAsiaTheme="minorEastAsia" w:cs="Arial"/>
                <w:snapToGrid w:val="0"/>
                <w:sz w:val="20"/>
                <w:szCs w:val="20"/>
                <w:lang w:eastAsia="zh-CN"/>
              </w:rPr>
              <w:t xml:space="preserve"> Maybe an additional indication from source gNB is needed since target gNB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w:t>
            </w:r>
            <w:proofErr w:type="gramStart"/>
            <w:r>
              <w:rPr>
                <w:rFonts w:eastAsiaTheme="minorEastAsia" w:cs="Arial"/>
                <w:snapToGrid w:val="0"/>
                <w:sz w:val="20"/>
                <w:szCs w:val="20"/>
                <w:lang w:eastAsia="zh-CN"/>
              </w:rPr>
              <w:t xml:space="preserve">CE </w:t>
            </w:r>
            <w:r w:rsidR="00065ECB">
              <w:rPr>
                <w:rFonts w:eastAsiaTheme="minorEastAsia" w:cs="Arial"/>
                <w:snapToGrid w:val="0"/>
                <w:sz w:val="20"/>
                <w:szCs w:val="20"/>
                <w:lang w:eastAsia="zh-CN"/>
              </w:rPr>
              <w:t xml:space="preserve"> is</w:t>
            </w:r>
            <w:proofErr w:type="gramEnd"/>
            <w:r w:rsidR="00065ECB">
              <w:rPr>
                <w:rFonts w:eastAsiaTheme="minorEastAsia" w:cs="Arial"/>
                <w:snapToGrid w:val="0"/>
                <w:sz w:val="20"/>
                <w:szCs w:val="20"/>
                <w:lang w:eastAsia="zh-CN"/>
              </w:rPr>
              <w:t xml:space="preserve"> a better a choice.</w:t>
            </w:r>
          </w:p>
        </w:tc>
      </w:tr>
      <w:tr w:rsidR="00121CE2" w14:paraId="39FC6047" w14:textId="77777777">
        <w:tc>
          <w:tcPr>
            <w:tcW w:w="1182" w:type="dxa"/>
          </w:tcPr>
          <w:p w14:paraId="253A7B35" w14:textId="19E612A9" w:rsidR="00121CE2" w:rsidRDefault="00121CE2" w:rsidP="00121CE2">
            <w:pPr>
              <w:tabs>
                <w:tab w:val="left" w:pos="870"/>
              </w:tabs>
              <w:snapToGrid w:val="0"/>
              <w:rPr>
                <w:rFonts w:eastAsiaTheme="minorEastAsia" w:cs="Arial" w:hint="eastAsia"/>
                <w:snapToGrid w:val="0"/>
                <w:sz w:val="20"/>
                <w:szCs w:val="20"/>
                <w:lang w:eastAsia="zh-CN"/>
              </w:rPr>
            </w:pPr>
            <w:r>
              <w:rPr>
                <w:rFonts w:cs="Arial"/>
                <w:snapToGrid w:val="0"/>
                <w:sz w:val="20"/>
                <w:szCs w:val="20"/>
              </w:rPr>
              <w:lastRenderedPageBreak/>
              <w:t>InterDigital</w:t>
            </w:r>
          </w:p>
        </w:tc>
        <w:tc>
          <w:tcPr>
            <w:tcW w:w="1436" w:type="dxa"/>
          </w:tcPr>
          <w:p w14:paraId="4F9554C7" w14:textId="2A668AF4"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No</w:t>
            </w:r>
          </w:p>
        </w:tc>
        <w:tc>
          <w:tcPr>
            <w:tcW w:w="6399"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bl>
    <w:p w14:paraId="6E2F3660"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has to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InterDigital</w:t>
            </w:r>
          </w:p>
        </w:tc>
        <w:tc>
          <w:tcPr>
            <w:tcW w:w="1417" w:type="dxa"/>
          </w:tcPr>
          <w:p w14:paraId="6AFCA7CF" w14:textId="2EB55F72"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w:t>
            </w:r>
            <w:proofErr w:type="gramStart"/>
            <w:r>
              <w:rPr>
                <w:rFonts w:cs="Arial"/>
                <w:snapToGrid w:val="0"/>
                <w:sz w:val="20"/>
                <w:szCs w:val="20"/>
              </w:rPr>
              <w:t>assuming that</w:t>
            </w:r>
            <w:proofErr w:type="gramEnd"/>
            <w:r>
              <w:rPr>
                <w:rFonts w:cs="Arial"/>
                <w:snapToGrid w:val="0"/>
                <w:sz w:val="20"/>
                <w:szCs w:val="20"/>
              </w:rPr>
              <w:t xml:space="preserve">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 xml:space="preserve">/Msg3 grants can face contention and the UE identity is not necessarily known. </w:t>
            </w:r>
            <w:r>
              <w:rPr>
                <w:rFonts w:cs="Arial"/>
                <w:snapToGrid w:val="0"/>
                <w:sz w:val="20"/>
                <w:szCs w:val="20"/>
              </w:rPr>
              <w:t xml:space="preserve">The UE context may also be unknown for a RA at the target gNB. </w:t>
            </w:r>
            <w:r>
              <w:rPr>
                <w:rFonts w:cs="Arial"/>
                <w:snapToGrid w:val="0"/>
                <w:sz w:val="20"/>
                <w:szCs w:val="20"/>
              </w:rPr>
              <w:t>Typically the UE has an RRC connection prior to transmitting a DCCH message. We are fine with this option provided it can be decoded for msg3/</w:t>
            </w:r>
            <w:proofErr w:type="spellStart"/>
            <w:r>
              <w:rPr>
                <w:rFonts w:cs="Arial"/>
                <w:snapToGrid w:val="0"/>
                <w:sz w:val="20"/>
                <w:szCs w:val="20"/>
              </w:rPr>
              <w:t>m</w:t>
            </w:r>
            <w:r>
              <w:rPr>
                <w:rFonts w:cs="Arial"/>
                <w:snapToGrid w:val="0"/>
                <w:sz w:val="20"/>
                <w:szCs w:val="20"/>
              </w:rPr>
              <w:t>sgA</w:t>
            </w:r>
            <w:proofErr w:type="spellEnd"/>
            <w:r>
              <w:rPr>
                <w:rFonts w:cs="Arial"/>
                <w:snapToGrid w:val="0"/>
                <w:sz w:val="20"/>
                <w:szCs w:val="20"/>
              </w:rPr>
              <w:t xml:space="preserve"> as well.</w:t>
            </w:r>
            <w:r>
              <w:rPr>
                <w:rFonts w:cs="Arial"/>
                <w:snapToGrid w:val="0"/>
                <w:sz w:val="20"/>
                <w:szCs w:val="20"/>
              </w:rPr>
              <w:t xml:space="preserve"> </w:t>
            </w: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proofErr w:type="gramStart"/>
            <w:r>
              <w:rPr>
                <w:rFonts w:eastAsiaTheme="minorEastAsia" w:cs="Arial" w:hint="eastAsia"/>
                <w:snapToGrid w:val="0"/>
                <w:sz w:val="20"/>
                <w:szCs w:val="20"/>
                <w:lang w:eastAsia="zh-CN"/>
              </w:rPr>
              <w:t>A</w:t>
            </w:r>
            <w:r>
              <w:rPr>
                <w:rFonts w:eastAsiaTheme="minorEastAsia" w:cs="Arial"/>
                <w:snapToGrid w:val="0"/>
                <w:sz w:val="20"/>
                <w:szCs w:val="20"/>
                <w:lang w:eastAsia="zh-CN"/>
              </w:rPr>
              <w:t>ctually</w:t>
            </w:r>
            <w:proofErr w:type="gramEnd"/>
            <w:r>
              <w:rPr>
                <w:rFonts w:eastAsiaTheme="minorEastAsia" w:cs="Arial"/>
                <w:snapToGrid w:val="0"/>
                <w:sz w:val="20"/>
                <w:szCs w:val="20"/>
                <w:lang w:eastAsia="zh-CN"/>
              </w:rPr>
              <w:t xml:space="preserve">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InterDigital</w:t>
            </w:r>
          </w:p>
        </w:tc>
        <w:tc>
          <w:tcPr>
            <w:tcW w:w="528" w:type="dxa"/>
          </w:tcPr>
          <w:p w14:paraId="12656E42" w14:textId="5DFAEE77"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hint="eastAsia"/>
                <w:snapToGrid w:val="0"/>
                <w:sz w:val="20"/>
                <w:szCs w:val="20"/>
                <w:lang w:eastAsia="zh-CN"/>
              </w:rPr>
            </w:pP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Heading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w:t>
      </w:r>
      <w:r>
        <w:rPr>
          <w:rFonts w:cs="Arial"/>
          <w:snapToGrid w:val="0"/>
          <w:sz w:val="20"/>
          <w:szCs w:val="20"/>
        </w:rPr>
        <w:lastRenderedPageBreak/>
        <w:t xml:space="preserve">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150"/>
        <w:gridCol w:w="528"/>
        <w:gridCol w:w="461"/>
        <w:gridCol w:w="461"/>
        <w:gridCol w:w="461"/>
        <w:gridCol w:w="461"/>
        <w:gridCol w:w="461"/>
        <w:gridCol w:w="5034"/>
      </w:tblGrid>
      <w:tr w:rsidR="00650F16" w14:paraId="77E6F2D3" w14:textId="77777777">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tc>
          <w:tcPr>
            <w:tcW w:w="1122"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2833"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5062"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tc>
          <w:tcPr>
            <w:tcW w:w="1122"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461"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461"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461"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5062" w:type="dxa"/>
            <w:vMerge/>
          </w:tcPr>
          <w:p w14:paraId="391A9A49" w14:textId="77777777" w:rsidR="00650F16" w:rsidRDefault="00650F16">
            <w:pPr>
              <w:snapToGrid w:val="0"/>
              <w:rPr>
                <w:rFonts w:cs="Arial"/>
                <w:snapToGrid w:val="0"/>
                <w:sz w:val="20"/>
                <w:szCs w:val="20"/>
              </w:rPr>
            </w:pPr>
          </w:p>
        </w:tc>
      </w:tr>
      <w:tr w:rsidR="00650F16" w14:paraId="6C6A2734" w14:textId="77777777">
        <w:tc>
          <w:tcPr>
            <w:tcW w:w="1122"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461"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461" w:type="dxa"/>
          </w:tcPr>
          <w:p w14:paraId="0B5EF745" w14:textId="77777777" w:rsidR="00650F16" w:rsidRDefault="00650F16">
            <w:pPr>
              <w:snapToGrid w:val="0"/>
              <w:rPr>
                <w:rFonts w:cs="Arial"/>
                <w:snapToGrid w:val="0"/>
                <w:sz w:val="20"/>
                <w:szCs w:val="20"/>
              </w:rPr>
            </w:pPr>
          </w:p>
        </w:tc>
        <w:tc>
          <w:tcPr>
            <w:tcW w:w="461"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5062"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rsidR="00650F16" w14:paraId="52AFE66A" w14:textId="77777777">
        <w:tc>
          <w:tcPr>
            <w:tcW w:w="1122"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461"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5062" w:type="dxa"/>
          </w:tcPr>
          <w:p w14:paraId="49440CE7" w14:textId="77777777" w:rsidR="00650F16" w:rsidRDefault="00650F16">
            <w:pPr>
              <w:snapToGrid w:val="0"/>
              <w:rPr>
                <w:rFonts w:cs="Arial"/>
                <w:snapToGrid w:val="0"/>
                <w:sz w:val="20"/>
                <w:szCs w:val="20"/>
              </w:rPr>
            </w:pPr>
          </w:p>
        </w:tc>
      </w:tr>
      <w:tr w:rsidR="00650F16" w14:paraId="252A47D4" w14:textId="77777777">
        <w:tc>
          <w:tcPr>
            <w:tcW w:w="1122"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5062"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If any of the SN terminated bearer types are to be supported, this would need more discussion (e.g., on how 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SDT work. </w:t>
            </w:r>
          </w:p>
        </w:tc>
      </w:tr>
      <w:tr w:rsidR="00E96515" w14:paraId="7F9B65A4" w14:textId="77777777">
        <w:tc>
          <w:tcPr>
            <w:tcW w:w="1122"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461"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5062" w:type="dxa"/>
          </w:tcPr>
          <w:p w14:paraId="00776647" w14:textId="77777777" w:rsidR="00E96515" w:rsidRDefault="00E96515">
            <w:pPr>
              <w:snapToGrid w:val="0"/>
              <w:rPr>
                <w:rFonts w:cs="Arial"/>
                <w:snapToGrid w:val="0"/>
                <w:sz w:val="20"/>
                <w:szCs w:val="20"/>
              </w:rPr>
            </w:pPr>
          </w:p>
        </w:tc>
      </w:tr>
      <w:tr w:rsidR="003A04C1" w14:paraId="11D3A8A7" w14:textId="77777777">
        <w:tc>
          <w:tcPr>
            <w:tcW w:w="1122"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61"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062"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tc>
          <w:tcPr>
            <w:tcW w:w="1122" w:type="dxa"/>
          </w:tcPr>
          <w:p w14:paraId="3A975258" w14:textId="1A743274" w:rsidR="00121CE2" w:rsidRDefault="00121CE2" w:rsidP="00121CE2">
            <w:pPr>
              <w:snapToGrid w:val="0"/>
              <w:rPr>
                <w:rFonts w:eastAsiaTheme="minorEastAsia" w:cs="Arial" w:hint="eastAsia"/>
                <w:snapToGrid w:val="0"/>
                <w:sz w:val="20"/>
                <w:szCs w:val="20"/>
                <w:lang w:eastAsia="zh-CN"/>
              </w:rPr>
            </w:pPr>
            <w:r>
              <w:rPr>
                <w:rFonts w:cs="Arial"/>
                <w:snapToGrid w:val="0"/>
                <w:sz w:val="20"/>
                <w:szCs w:val="20"/>
              </w:rPr>
              <w:t>InterDigital</w:t>
            </w:r>
          </w:p>
        </w:tc>
        <w:tc>
          <w:tcPr>
            <w:tcW w:w="528" w:type="dxa"/>
          </w:tcPr>
          <w:p w14:paraId="5A3ED3E2" w14:textId="76C03ECA" w:rsidR="00121CE2" w:rsidRDefault="00121CE2" w:rsidP="00121CE2">
            <w:pPr>
              <w:snapToGrid w:val="0"/>
              <w:rPr>
                <w:rFonts w:eastAsiaTheme="minorEastAsia" w:cs="Arial" w:hint="eastAsia"/>
                <w:snapToGrid w:val="0"/>
                <w:sz w:val="20"/>
                <w:szCs w:val="20"/>
                <w:lang w:eastAsia="zh-CN"/>
              </w:rPr>
            </w:pPr>
            <w:r>
              <w:rPr>
                <w:rFonts w:cs="Arial" w:hint="eastAsia"/>
                <w:snapToGrid w:val="0"/>
                <w:sz w:val="20"/>
                <w:szCs w:val="20"/>
              </w:rPr>
              <w:t>Yes</w:t>
            </w:r>
          </w:p>
        </w:tc>
        <w:tc>
          <w:tcPr>
            <w:tcW w:w="461" w:type="dxa"/>
          </w:tcPr>
          <w:p w14:paraId="37535DBE" w14:textId="4835C37E" w:rsidR="00121CE2" w:rsidRDefault="00121CE2" w:rsidP="00121CE2">
            <w:pPr>
              <w:snapToGrid w:val="0"/>
              <w:rPr>
                <w:rFonts w:eastAsiaTheme="minorEastAsia" w:cs="Arial" w:hint="eastAsia"/>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hint="eastAsia"/>
                <w:snapToGrid w:val="0"/>
                <w:sz w:val="20"/>
                <w:szCs w:val="20"/>
                <w:lang w:eastAsia="zh-CN"/>
              </w:rPr>
            </w:pPr>
            <w:r>
              <w:rPr>
                <w:rFonts w:cs="Arial" w:hint="eastAsia"/>
                <w:snapToGrid w:val="0"/>
                <w:sz w:val="20"/>
                <w:szCs w:val="20"/>
              </w:rPr>
              <w:t>No</w:t>
            </w:r>
          </w:p>
        </w:tc>
        <w:tc>
          <w:tcPr>
            <w:tcW w:w="461" w:type="dxa"/>
          </w:tcPr>
          <w:p w14:paraId="79CA66D8" w14:textId="0C975754" w:rsidR="00121CE2" w:rsidRDefault="00121CE2" w:rsidP="00121CE2">
            <w:pPr>
              <w:snapToGrid w:val="0"/>
              <w:rPr>
                <w:rFonts w:eastAsiaTheme="minorEastAsia" w:cs="Arial" w:hint="eastAsia"/>
                <w:snapToGrid w:val="0"/>
                <w:sz w:val="20"/>
                <w:szCs w:val="20"/>
                <w:lang w:eastAsia="zh-CN"/>
              </w:rPr>
            </w:pPr>
            <w:r>
              <w:rPr>
                <w:rFonts w:cs="Arial" w:hint="eastAsia"/>
                <w:snapToGrid w:val="0"/>
                <w:sz w:val="20"/>
                <w:szCs w:val="20"/>
              </w:rPr>
              <w:t>No</w:t>
            </w:r>
          </w:p>
        </w:tc>
        <w:tc>
          <w:tcPr>
            <w:tcW w:w="461" w:type="dxa"/>
          </w:tcPr>
          <w:p w14:paraId="64D85B10" w14:textId="24FDF986" w:rsidR="00121CE2" w:rsidRDefault="00121CE2" w:rsidP="00121CE2">
            <w:pPr>
              <w:snapToGrid w:val="0"/>
              <w:rPr>
                <w:rFonts w:eastAsiaTheme="minorEastAsia" w:cs="Arial" w:hint="eastAsia"/>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hint="eastAsia"/>
                <w:snapToGrid w:val="0"/>
                <w:sz w:val="20"/>
                <w:szCs w:val="20"/>
                <w:lang w:eastAsia="zh-CN"/>
              </w:rPr>
            </w:pPr>
            <w:r>
              <w:rPr>
                <w:rFonts w:cs="Arial" w:hint="eastAsia"/>
                <w:snapToGrid w:val="0"/>
                <w:sz w:val="20"/>
                <w:szCs w:val="20"/>
              </w:rPr>
              <w:t>No</w:t>
            </w:r>
          </w:p>
        </w:tc>
        <w:tc>
          <w:tcPr>
            <w:tcW w:w="5062" w:type="dxa"/>
          </w:tcPr>
          <w:p w14:paraId="01ADA79E" w14:textId="26CDABCC" w:rsidR="00121CE2" w:rsidRDefault="00121CE2" w:rsidP="00121CE2">
            <w:pPr>
              <w:snapToGrid w:val="0"/>
              <w:rPr>
                <w:rFonts w:eastAsiaTheme="minorEastAsia" w:cs="Arial" w:hint="eastAsia"/>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77777777" w:rsidR="00650F16" w:rsidRDefault="00650F16">
      <w:pPr>
        <w:pStyle w:val="ListParagraph"/>
        <w:snapToGrid w:val="0"/>
        <w:ind w:left="1440"/>
        <w:rPr>
          <w:rFonts w:cs="Arial"/>
          <w:snapToGrid w:val="0"/>
          <w:color w:val="ED7D31" w:themeColor="accent2"/>
          <w:sz w:val="20"/>
          <w:szCs w:val="20"/>
          <w:u w:val="single"/>
        </w:rPr>
      </w:pPr>
    </w:p>
    <w:p w14:paraId="67EB2E7D" w14:textId="77777777" w:rsidR="00650F16" w:rsidRDefault="00FC00DF">
      <w:pPr>
        <w:pStyle w:val="Heading1"/>
        <w:rPr>
          <w:snapToGrid w:val="0"/>
        </w:rPr>
      </w:pPr>
      <w:r>
        <w:rPr>
          <w:snapToGrid w:val="0"/>
        </w:rPr>
        <w:t>References</w:t>
      </w:r>
    </w:p>
    <w:p w14:paraId="44635644" w14:textId="77777777" w:rsidR="00650F16" w:rsidRDefault="00FC00DF">
      <w:pPr>
        <w:pStyle w:val="ListParagraph"/>
        <w:numPr>
          <w:ilvl w:val="0"/>
          <w:numId w:val="13"/>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650F16" w14:paraId="4BD3B833" w14:textId="77777777">
        <w:tc>
          <w:tcPr>
            <w:tcW w:w="2689" w:type="dxa"/>
            <w:shd w:val="clear" w:color="auto" w:fill="00B0F0"/>
          </w:tcPr>
          <w:p w14:paraId="2979C1A9" w14:textId="77777777" w:rsidR="00650F16" w:rsidRDefault="00FC00DF">
            <w:pPr>
              <w:jc w:val="center"/>
              <w:rPr>
                <w:lang w:val="en-GB" w:eastAsia="en-GB"/>
              </w:rPr>
            </w:pPr>
            <w:r>
              <w:rPr>
                <w:lang w:val="en-GB" w:eastAsia="en-GB"/>
              </w:rPr>
              <w:t>Company</w:t>
            </w:r>
          </w:p>
        </w:tc>
        <w:tc>
          <w:tcPr>
            <w:tcW w:w="7889" w:type="dxa"/>
            <w:shd w:val="clear" w:color="auto" w:fill="00B0F0"/>
          </w:tcPr>
          <w:p w14:paraId="3F072931" w14:textId="77777777" w:rsidR="00650F16" w:rsidRDefault="00FC00DF">
            <w:pPr>
              <w:jc w:val="center"/>
              <w:rPr>
                <w:lang w:val="en-GB" w:eastAsia="en-GB"/>
              </w:rPr>
            </w:pPr>
            <w:r>
              <w:rPr>
                <w:lang w:val="en-GB" w:eastAsia="en-GB"/>
              </w:rPr>
              <w:t>Contact name</w:t>
            </w:r>
          </w:p>
        </w:tc>
        <w:tc>
          <w:tcPr>
            <w:tcW w:w="5289" w:type="dxa"/>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121CE2" w14:paraId="1A4703FE" w14:textId="77777777">
        <w:tc>
          <w:tcPr>
            <w:tcW w:w="2689" w:type="dxa"/>
          </w:tcPr>
          <w:p w14:paraId="144E655B" w14:textId="77777777" w:rsidR="00650F16" w:rsidRDefault="00FC00DF">
            <w:pPr>
              <w:rPr>
                <w:lang w:val="en-GB"/>
              </w:rPr>
            </w:pPr>
            <w:r>
              <w:rPr>
                <w:rFonts w:hint="eastAsia"/>
                <w:lang w:val="en-GB"/>
              </w:rPr>
              <w:t>LG Electronics</w:t>
            </w:r>
          </w:p>
        </w:tc>
        <w:tc>
          <w:tcPr>
            <w:tcW w:w="7889" w:type="dxa"/>
          </w:tcPr>
          <w:p w14:paraId="1E930BF5" w14:textId="77777777" w:rsidR="00650F16" w:rsidRPr="00121CE2" w:rsidRDefault="00FC00DF">
            <w:pPr>
              <w:rPr>
                <w:lang w:val="fr-FR"/>
              </w:rPr>
            </w:pPr>
            <w:r w:rsidRPr="00121CE2">
              <w:rPr>
                <w:rFonts w:hint="eastAsia"/>
                <w:lang w:val="fr-FR"/>
              </w:rPr>
              <w:t>SeungJune Yi (</w:t>
            </w:r>
            <w:hyperlink r:id="rId13" w:history="1">
              <w:r w:rsidRPr="00121CE2">
                <w:rPr>
                  <w:rStyle w:val="Hyperlink"/>
                  <w:rFonts w:hint="eastAsia"/>
                  <w:lang w:val="fr-FR"/>
                </w:rPr>
                <w:t>seungjune.yi@lge.com</w:t>
              </w:r>
            </w:hyperlink>
            <w:r w:rsidRPr="00121CE2">
              <w:rPr>
                <w:rFonts w:hint="eastAsia"/>
                <w:lang w:val="fr-FR"/>
              </w:rPr>
              <w:t xml:space="preserve">) </w:t>
            </w:r>
          </w:p>
        </w:tc>
        <w:tc>
          <w:tcPr>
            <w:tcW w:w="5289" w:type="dxa"/>
          </w:tcPr>
          <w:p w14:paraId="0A3E7CD1" w14:textId="77777777" w:rsidR="00650F16" w:rsidRPr="00121CE2" w:rsidRDefault="00650F16">
            <w:pPr>
              <w:rPr>
                <w:lang w:val="fr-FR" w:eastAsia="en-GB"/>
              </w:rPr>
            </w:pPr>
          </w:p>
        </w:tc>
      </w:tr>
      <w:tr w:rsidR="00650F16" w:rsidRPr="00121CE2" w14:paraId="12435DBE" w14:textId="77777777">
        <w:tc>
          <w:tcPr>
            <w:tcW w:w="2689" w:type="dxa"/>
          </w:tcPr>
          <w:p w14:paraId="3170E53E" w14:textId="77777777" w:rsidR="00650F16" w:rsidRDefault="00FC00DF">
            <w:pPr>
              <w:rPr>
                <w:lang w:val="en-GB"/>
              </w:rPr>
            </w:pPr>
            <w:r>
              <w:rPr>
                <w:rFonts w:cs="Arial"/>
                <w:snapToGrid w:val="0"/>
                <w:sz w:val="20"/>
                <w:szCs w:val="20"/>
              </w:rPr>
              <w:t>Nokia, Nokia Shanghai Bell</w:t>
            </w:r>
          </w:p>
        </w:tc>
        <w:tc>
          <w:tcPr>
            <w:tcW w:w="7889" w:type="dxa"/>
          </w:tcPr>
          <w:p w14:paraId="53173751" w14:textId="77777777" w:rsidR="00650F16" w:rsidRPr="00121CE2" w:rsidRDefault="00FC00DF">
            <w:pPr>
              <w:rPr>
                <w:lang w:val="fr-FR"/>
              </w:rPr>
            </w:pPr>
            <w:proofErr w:type="spellStart"/>
            <w:r w:rsidRPr="00121CE2">
              <w:rPr>
                <w:lang w:val="fr-FR" w:eastAsia="en-GB"/>
              </w:rPr>
              <w:t>Jussi</w:t>
            </w:r>
            <w:proofErr w:type="spellEnd"/>
            <w:r w:rsidRPr="00121CE2">
              <w:rPr>
                <w:lang w:val="fr-FR" w:eastAsia="en-GB"/>
              </w:rPr>
              <w:t xml:space="preserve"> </w:t>
            </w:r>
            <w:proofErr w:type="spellStart"/>
            <w:r w:rsidRPr="00121CE2">
              <w:rPr>
                <w:lang w:val="fr-FR" w:eastAsia="en-GB"/>
              </w:rPr>
              <w:t>Koskinen</w:t>
            </w:r>
            <w:proofErr w:type="spellEnd"/>
            <w:r w:rsidRPr="00121CE2">
              <w:rPr>
                <w:lang w:val="fr-FR" w:eastAsia="en-GB"/>
              </w:rPr>
              <w:t xml:space="preserve"> (</w:t>
            </w:r>
            <w:hyperlink r:id="rId14" w:history="1">
              <w:r w:rsidRPr="00121CE2">
                <w:rPr>
                  <w:rStyle w:val="Hyperlink"/>
                  <w:lang w:val="fr-FR" w:eastAsia="en-GB"/>
                </w:rPr>
                <w:t>Jussi-pekka.koskinen@nokia.com</w:t>
              </w:r>
            </w:hyperlink>
            <w:r w:rsidRPr="00121CE2">
              <w:rPr>
                <w:lang w:val="fr-FR" w:eastAsia="en-GB"/>
              </w:rPr>
              <w:t>)</w:t>
            </w:r>
          </w:p>
        </w:tc>
        <w:tc>
          <w:tcPr>
            <w:tcW w:w="5289" w:type="dxa"/>
          </w:tcPr>
          <w:p w14:paraId="3CB1F651" w14:textId="77777777" w:rsidR="00650F16" w:rsidRPr="00121CE2" w:rsidRDefault="00500E7B">
            <w:pPr>
              <w:rPr>
                <w:lang w:val="fr-FR"/>
              </w:rPr>
            </w:pPr>
            <w:hyperlink r:id="rId15" w:history="1">
              <w:r w:rsidR="00FC00DF" w:rsidRPr="00121CE2">
                <w:rPr>
                  <w:rStyle w:val="Hyperlink"/>
                  <w:lang w:val="fr-FR" w:eastAsia="en-GB"/>
                </w:rPr>
                <w:t>Jussi-pekka.koskinen@nokia.com</w:t>
              </w:r>
            </w:hyperlink>
          </w:p>
        </w:tc>
      </w:tr>
      <w:tr w:rsidR="00650F16" w14:paraId="6845F063" w14:textId="77777777">
        <w:tc>
          <w:tcPr>
            <w:tcW w:w="2689" w:type="dxa"/>
          </w:tcPr>
          <w:p w14:paraId="3D6FED1C" w14:textId="77777777" w:rsidR="00650F16" w:rsidRDefault="008E593E">
            <w:pPr>
              <w:rPr>
                <w:lang w:val="en-GB"/>
              </w:rPr>
            </w:pPr>
            <w:r>
              <w:rPr>
                <w:rFonts w:hint="eastAsia"/>
                <w:lang w:val="en-GB"/>
              </w:rPr>
              <w:t>Samsung</w:t>
            </w:r>
          </w:p>
        </w:tc>
        <w:tc>
          <w:tcPr>
            <w:tcW w:w="7889" w:type="dxa"/>
          </w:tcPr>
          <w:p w14:paraId="09E80FA9" w14:textId="77777777" w:rsidR="008E593E" w:rsidRPr="008E593E" w:rsidRDefault="008E593E" w:rsidP="008E593E">
            <w:pPr>
              <w:rPr>
                <w:lang w:val="en-GB"/>
              </w:rPr>
            </w:pPr>
            <w:r>
              <w:rPr>
                <w:rFonts w:hint="eastAsia"/>
                <w:lang w:val="en-GB"/>
              </w:rPr>
              <w:t>Anil Agiwal (</w:t>
            </w:r>
            <w:hyperlink r:id="rId16" w:history="1">
              <w:r w:rsidRPr="00B84851">
                <w:rPr>
                  <w:rStyle w:val="Hyperlink"/>
                  <w:rFonts w:hint="eastAsia"/>
                  <w:lang w:val="en-GB"/>
                </w:rPr>
                <w:t>anilag@samsung.com</w:t>
              </w:r>
            </w:hyperlink>
            <w:r>
              <w:rPr>
                <w:rFonts w:hint="eastAsia"/>
                <w:lang w:val="en-GB"/>
              </w:rPr>
              <w:t>)</w:t>
            </w:r>
          </w:p>
        </w:tc>
        <w:tc>
          <w:tcPr>
            <w:tcW w:w="5289" w:type="dxa"/>
          </w:tcPr>
          <w:p w14:paraId="26AD7A9F" w14:textId="77777777" w:rsidR="00650F16" w:rsidRDefault="00650F16">
            <w:pPr>
              <w:rPr>
                <w:lang w:val="en-GB"/>
              </w:rPr>
            </w:pPr>
          </w:p>
        </w:tc>
      </w:tr>
      <w:tr w:rsidR="00650F16" w:rsidRPr="00121CE2" w14:paraId="5A062984" w14:textId="77777777">
        <w:tc>
          <w:tcPr>
            <w:tcW w:w="2689" w:type="dxa"/>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889" w:type="dxa"/>
          </w:tcPr>
          <w:p w14:paraId="268EF6FC" w14:textId="69B38D49" w:rsidR="00650F16" w:rsidRPr="00121CE2" w:rsidRDefault="00343ADA">
            <w:pPr>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7" w:history="1">
              <w:r w:rsidR="00A12880" w:rsidRPr="00121CE2">
                <w:rPr>
                  <w:rStyle w:val="Hyperlink"/>
                  <w:rFonts w:eastAsiaTheme="minorEastAsia"/>
                  <w:lang w:val="fr-FR" w:eastAsia="zh-CN"/>
                </w:rPr>
                <w:t>linxue@oppo.com</w:t>
              </w:r>
            </w:hyperlink>
            <w:r w:rsidR="00A12880" w:rsidRPr="00121CE2">
              <w:rPr>
                <w:rFonts w:eastAsiaTheme="minorEastAsia"/>
                <w:lang w:val="fr-FR" w:eastAsia="zh-CN"/>
              </w:rPr>
              <w:t>)</w:t>
            </w:r>
          </w:p>
        </w:tc>
        <w:tc>
          <w:tcPr>
            <w:tcW w:w="5289" w:type="dxa"/>
          </w:tcPr>
          <w:p w14:paraId="55A5F072" w14:textId="77777777" w:rsidR="00650F16" w:rsidRPr="00121CE2" w:rsidRDefault="00650F16">
            <w:pPr>
              <w:rPr>
                <w:rFonts w:eastAsiaTheme="minorEastAsia"/>
                <w:lang w:val="fr-FR" w:eastAsia="zh-CN"/>
              </w:rPr>
            </w:pPr>
          </w:p>
        </w:tc>
      </w:tr>
      <w:tr w:rsidR="00650F16" w:rsidRPr="00950008" w14:paraId="429A3B51" w14:textId="77777777">
        <w:tc>
          <w:tcPr>
            <w:tcW w:w="2689" w:type="dxa"/>
          </w:tcPr>
          <w:p w14:paraId="3973A091" w14:textId="0EF29BE7" w:rsidR="00650F16" w:rsidRPr="00121CE2" w:rsidRDefault="00950008">
            <w:pPr>
              <w:rPr>
                <w:rFonts w:eastAsiaTheme="minorEastAsia"/>
                <w:lang w:val="fr-FR" w:eastAsia="zh-CN"/>
              </w:rPr>
            </w:pPr>
            <w:r>
              <w:rPr>
                <w:rFonts w:eastAsiaTheme="minorEastAsia"/>
                <w:lang w:val="fr-FR" w:eastAsia="zh-CN"/>
              </w:rPr>
              <w:t>InterDigital</w:t>
            </w:r>
          </w:p>
        </w:tc>
        <w:tc>
          <w:tcPr>
            <w:tcW w:w="7889" w:type="dxa"/>
          </w:tcPr>
          <w:p w14:paraId="23E3BEEF" w14:textId="47FCB15A" w:rsidR="00650F16" w:rsidRPr="00950008" w:rsidRDefault="00950008">
            <w:pPr>
              <w:rPr>
                <w:rFonts w:eastAsiaTheme="minorEastAsia"/>
                <w:lang w:eastAsia="zh-CN"/>
              </w:rPr>
            </w:pPr>
            <w:r w:rsidRPr="00950008">
              <w:rPr>
                <w:rFonts w:eastAsiaTheme="minorEastAsia"/>
                <w:lang w:eastAsia="zh-CN"/>
              </w:rPr>
              <w:t>Faris Alfarhan (</w:t>
            </w:r>
            <w:hyperlink r:id="rId18" w:history="1">
              <w:r w:rsidRPr="008C7530">
                <w:rPr>
                  <w:rStyle w:val="Hyperlink"/>
                  <w:rFonts w:eastAsiaTheme="minorEastAsia"/>
                  <w:lang w:eastAsia="zh-CN"/>
                </w:rPr>
                <w:t>faris.alfarhan@interdigital.com</w:t>
              </w:r>
            </w:hyperlink>
            <w:r>
              <w:rPr>
                <w:rFonts w:eastAsiaTheme="minorEastAsia"/>
                <w:lang w:eastAsia="zh-CN"/>
              </w:rPr>
              <w:t>)</w:t>
            </w:r>
          </w:p>
        </w:tc>
        <w:tc>
          <w:tcPr>
            <w:tcW w:w="5289" w:type="dxa"/>
          </w:tcPr>
          <w:p w14:paraId="73208BA5" w14:textId="77777777" w:rsidR="00650F16" w:rsidRPr="00950008" w:rsidRDefault="00650F16">
            <w:pPr>
              <w:rPr>
                <w:rFonts w:eastAsiaTheme="minorEastAsia"/>
                <w:lang w:eastAsia="zh-CN"/>
              </w:rPr>
            </w:pPr>
          </w:p>
        </w:tc>
      </w:tr>
      <w:tr w:rsidR="00650F16" w:rsidRPr="00950008" w14:paraId="7C933E9A" w14:textId="77777777">
        <w:tc>
          <w:tcPr>
            <w:tcW w:w="2689" w:type="dxa"/>
          </w:tcPr>
          <w:p w14:paraId="31E26E5D" w14:textId="77777777" w:rsidR="00650F16" w:rsidRPr="00950008" w:rsidRDefault="00650F16">
            <w:pPr>
              <w:rPr>
                <w:rFonts w:eastAsiaTheme="minorEastAsia"/>
                <w:lang w:eastAsia="zh-CN"/>
              </w:rPr>
            </w:pPr>
          </w:p>
        </w:tc>
        <w:tc>
          <w:tcPr>
            <w:tcW w:w="7889" w:type="dxa"/>
          </w:tcPr>
          <w:p w14:paraId="56B0BAC1" w14:textId="77777777" w:rsidR="00650F16" w:rsidRPr="00950008" w:rsidRDefault="00650F16">
            <w:pPr>
              <w:rPr>
                <w:rFonts w:eastAsiaTheme="minorEastAsia"/>
                <w:lang w:eastAsia="zh-CN"/>
              </w:rPr>
            </w:pPr>
          </w:p>
        </w:tc>
        <w:tc>
          <w:tcPr>
            <w:tcW w:w="5289" w:type="dxa"/>
          </w:tcPr>
          <w:p w14:paraId="54F95734" w14:textId="77777777" w:rsidR="00650F16" w:rsidRPr="00950008" w:rsidRDefault="00650F16">
            <w:pPr>
              <w:rPr>
                <w:rFonts w:eastAsiaTheme="minorEastAsia"/>
                <w:lang w:eastAsia="zh-CN"/>
              </w:rPr>
            </w:pPr>
          </w:p>
        </w:tc>
      </w:tr>
      <w:tr w:rsidR="00650F16" w:rsidRPr="00950008" w14:paraId="7AE95EB8" w14:textId="77777777">
        <w:tc>
          <w:tcPr>
            <w:tcW w:w="2689" w:type="dxa"/>
          </w:tcPr>
          <w:p w14:paraId="37D59C8C" w14:textId="77777777" w:rsidR="00650F16" w:rsidRPr="00950008" w:rsidRDefault="00650F16">
            <w:pPr>
              <w:rPr>
                <w:rFonts w:eastAsiaTheme="minorEastAsia"/>
                <w:lang w:eastAsia="zh-CN"/>
              </w:rPr>
            </w:pPr>
          </w:p>
        </w:tc>
        <w:tc>
          <w:tcPr>
            <w:tcW w:w="7889" w:type="dxa"/>
          </w:tcPr>
          <w:p w14:paraId="18E3716A" w14:textId="77777777" w:rsidR="00650F16" w:rsidRPr="00950008" w:rsidRDefault="00650F16">
            <w:pPr>
              <w:rPr>
                <w:rFonts w:eastAsiaTheme="minorEastAsia"/>
                <w:lang w:eastAsia="zh-CN"/>
              </w:rPr>
            </w:pPr>
          </w:p>
        </w:tc>
        <w:tc>
          <w:tcPr>
            <w:tcW w:w="5289" w:type="dxa"/>
          </w:tcPr>
          <w:p w14:paraId="6882BF14" w14:textId="77777777" w:rsidR="00650F16" w:rsidRPr="00950008" w:rsidRDefault="00650F16">
            <w:pPr>
              <w:rPr>
                <w:rFonts w:eastAsiaTheme="minorEastAsia"/>
                <w:lang w:eastAsia="zh-CN"/>
              </w:rPr>
            </w:pPr>
          </w:p>
        </w:tc>
      </w:tr>
      <w:tr w:rsidR="00650F16" w:rsidRPr="00950008" w14:paraId="5F11EA37" w14:textId="77777777">
        <w:tc>
          <w:tcPr>
            <w:tcW w:w="2689" w:type="dxa"/>
          </w:tcPr>
          <w:p w14:paraId="65E3ADBB" w14:textId="77777777" w:rsidR="00650F16" w:rsidRPr="00950008" w:rsidRDefault="00650F16">
            <w:pPr>
              <w:rPr>
                <w:rFonts w:eastAsiaTheme="minorEastAsia"/>
                <w:lang w:eastAsia="zh-CN"/>
              </w:rPr>
            </w:pPr>
          </w:p>
        </w:tc>
        <w:tc>
          <w:tcPr>
            <w:tcW w:w="7889" w:type="dxa"/>
          </w:tcPr>
          <w:p w14:paraId="6A8CC68F" w14:textId="77777777" w:rsidR="00650F16" w:rsidRPr="00950008" w:rsidRDefault="00650F16">
            <w:pPr>
              <w:rPr>
                <w:rFonts w:eastAsiaTheme="minorEastAsia"/>
                <w:lang w:eastAsia="zh-CN"/>
              </w:rPr>
            </w:pPr>
          </w:p>
        </w:tc>
        <w:tc>
          <w:tcPr>
            <w:tcW w:w="5289" w:type="dxa"/>
          </w:tcPr>
          <w:p w14:paraId="35AA3DCE" w14:textId="77777777" w:rsidR="00650F16" w:rsidRPr="00950008" w:rsidRDefault="00650F16">
            <w:pPr>
              <w:rPr>
                <w:rFonts w:eastAsiaTheme="minorEastAsia"/>
                <w:lang w:eastAsia="zh-CN"/>
              </w:rPr>
            </w:pPr>
          </w:p>
        </w:tc>
      </w:tr>
      <w:tr w:rsidR="00650F16" w:rsidRPr="00950008" w14:paraId="277A1001" w14:textId="77777777">
        <w:tc>
          <w:tcPr>
            <w:tcW w:w="2689" w:type="dxa"/>
          </w:tcPr>
          <w:p w14:paraId="4D532CC7" w14:textId="77777777" w:rsidR="00650F16" w:rsidRPr="00950008" w:rsidRDefault="00650F16">
            <w:pPr>
              <w:rPr>
                <w:rFonts w:eastAsiaTheme="minorEastAsia"/>
                <w:lang w:eastAsia="zh-CN"/>
              </w:rPr>
            </w:pPr>
          </w:p>
        </w:tc>
        <w:tc>
          <w:tcPr>
            <w:tcW w:w="7889" w:type="dxa"/>
          </w:tcPr>
          <w:p w14:paraId="0AE99E3F" w14:textId="77777777" w:rsidR="00650F16" w:rsidRPr="00950008" w:rsidRDefault="00650F16">
            <w:pPr>
              <w:rPr>
                <w:rFonts w:eastAsiaTheme="minorEastAsia"/>
                <w:lang w:eastAsia="zh-CN"/>
              </w:rPr>
            </w:pPr>
          </w:p>
        </w:tc>
        <w:tc>
          <w:tcPr>
            <w:tcW w:w="5289" w:type="dxa"/>
          </w:tcPr>
          <w:p w14:paraId="3F688318" w14:textId="77777777" w:rsidR="00650F16" w:rsidRPr="00950008" w:rsidRDefault="00650F16">
            <w:pPr>
              <w:rPr>
                <w:rFonts w:eastAsiaTheme="minorEastAsia"/>
                <w:lang w:eastAsia="zh-CN"/>
              </w:rPr>
            </w:pPr>
          </w:p>
        </w:tc>
      </w:tr>
      <w:tr w:rsidR="00650F16" w:rsidRPr="00950008" w14:paraId="1036FF2E" w14:textId="77777777">
        <w:tc>
          <w:tcPr>
            <w:tcW w:w="2689" w:type="dxa"/>
          </w:tcPr>
          <w:p w14:paraId="10C4B981" w14:textId="77777777" w:rsidR="00650F16" w:rsidRPr="00950008" w:rsidRDefault="00650F16">
            <w:pPr>
              <w:rPr>
                <w:rFonts w:eastAsiaTheme="minorEastAsia"/>
                <w:lang w:eastAsia="zh-CN"/>
              </w:rPr>
            </w:pPr>
          </w:p>
        </w:tc>
        <w:tc>
          <w:tcPr>
            <w:tcW w:w="7889" w:type="dxa"/>
          </w:tcPr>
          <w:p w14:paraId="660D33BF" w14:textId="77777777" w:rsidR="00650F16" w:rsidRPr="00950008" w:rsidRDefault="00650F16">
            <w:pPr>
              <w:rPr>
                <w:rFonts w:eastAsia="PMingLiU"/>
                <w:lang w:eastAsia="zh-TW"/>
              </w:rPr>
            </w:pPr>
          </w:p>
        </w:tc>
        <w:tc>
          <w:tcPr>
            <w:tcW w:w="5289" w:type="dxa"/>
          </w:tcPr>
          <w:p w14:paraId="238714D5" w14:textId="77777777" w:rsidR="00650F16" w:rsidRPr="00950008" w:rsidRDefault="00650F16">
            <w:pPr>
              <w:rPr>
                <w:rFonts w:eastAsia="PMingLiU"/>
                <w:lang w:eastAsia="zh-TW"/>
              </w:rPr>
            </w:pPr>
          </w:p>
        </w:tc>
      </w:tr>
      <w:tr w:rsidR="00650F16" w:rsidRPr="00950008" w14:paraId="0CC7A220" w14:textId="77777777">
        <w:tc>
          <w:tcPr>
            <w:tcW w:w="2689" w:type="dxa"/>
          </w:tcPr>
          <w:p w14:paraId="28E84C59" w14:textId="77777777" w:rsidR="00650F16" w:rsidRPr="00950008" w:rsidRDefault="00650F16">
            <w:pPr>
              <w:rPr>
                <w:rFonts w:eastAsiaTheme="minorEastAsia"/>
                <w:lang w:eastAsia="zh-CN"/>
              </w:rPr>
            </w:pPr>
          </w:p>
        </w:tc>
        <w:tc>
          <w:tcPr>
            <w:tcW w:w="7889" w:type="dxa"/>
          </w:tcPr>
          <w:p w14:paraId="72C5B47E" w14:textId="77777777" w:rsidR="00650F16" w:rsidRPr="00950008" w:rsidRDefault="00650F16">
            <w:pPr>
              <w:rPr>
                <w:rFonts w:eastAsia="PMingLiU"/>
                <w:lang w:eastAsia="zh-TW"/>
              </w:rPr>
            </w:pPr>
          </w:p>
        </w:tc>
        <w:tc>
          <w:tcPr>
            <w:tcW w:w="5289" w:type="dxa"/>
          </w:tcPr>
          <w:p w14:paraId="25AA2E86" w14:textId="77777777" w:rsidR="00650F16" w:rsidRPr="00950008" w:rsidRDefault="00650F16">
            <w:pPr>
              <w:rPr>
                <w:rFonts w:eastAsia="PMingLiU"/>
                <w:lang w:eastAsia="zh-TW"/>
              </w:rPr>
            </w:pPr>
          </w:p>
        </w:tc>
      </w:tr>
      <w:tr w:rsidR="00650F16" w:rsidRPr="00950008" w14:paraId="59883679" w14:textId="77777777">
        <w:tc>
          <w:tcPr>
            <w:tcW w:w="2689" w:type="dxa"/>
          </w:tcPr>
          <w:p w14:paraId="61A35820" w14:textId="77777777" w:rsidR="00650F16" w:rsidRPr="00950008" w:rsidRDefault="00650F16">
            <w:pPr>
              <w:rPr>
                <w:rFonts w:eastAsiaTheme="minorEastAsia"/>
                <w:lang w:eastAsia="zh-CN"/>
              </w:rPr>
            </w:pPr>
          </w:p>
        </w:tc>
        <w:tc>
          <w:tcPr>
            <w:tcW w:w="7889" w:type="dxa"/>
          </w:tcPr>
          <w:p w14:paraId="5278ADCC" w14:textId="77777777" w:rsidR="00650F16" w:rsidRPr="00950008" w:rsidRDefault="00650F16">
            <w:pPr>
              <w:rPr>
                <w:rFonts w:eastAsiaTheme="minorEastAsia"/>
                <w:lang w:eastAsia="zh-CN"/>
              </w:rPr>
            </w:pPr>
          </w:p>
        </w:tc>
        <w:tc>
          <w:tcPr>
            <w:tcW w:w="5289" w:type="dxa"/>
          </w:tcPr>
          <w:p w14:paraId="7AB053B5" w14:textId="77777777" w:rsidR="00650F16" w:rsidRPr="00950008" w:rsidRDefault="00650F16">
            <w:pPr>
              <w:rPr>
                <w:rFonts w:eastAsiaTheme="minorEastAsia"/>
                <w:lang w:eastAsia="zh-CN"/>
              </w:rPr>
            </w:pPr>
          </w:p>
        </w:tc>
      </w:tr>
      <w:tr w:rsidR="00650F16" w:rsidRPr="00950008" w14:paraId="2F560ABE" w14:textId="77777777">
        <w:tc>
          <w:tcPr>
            <w:tcW w:w="2689" w:type="dxa"/>
          </w:tcPr>
          <w:p w14:paraId="599E9333" w14:textId="77777777" w:rsidR="00650F16" w:rsidRPr="00950008" w:rsidRDefault="00650F16">
            <w:pPr>
              <w:rPr>
                <w:rFonts w:eastAsiaTheme="minorEastAsia"/>
                <w:lang w:eastAsia="zh-CN"/>
              </w:rPr>
            </w:pPr>
          </w:p>
        </w:tc>
        <w:tc>
          <w:tcPr>
            <w:tcW w:w="7889" w:type="dxa"/>
          </w:tcPr>
          <w:p w14:paraId="3382042A" w14:textId="77777777" w:rsidR="00650F16" w:rsidRPr="00950008" w:rsidRDefault="00650F16">
            <w:pPr>
              <w:rPr>
                <w:rFonts w:eastAsiaTheme="minorEastAsia"/>
                <w:lang w:eastAsia="zh-CN"/>
              </w:rPr>
            </w:pPr>
          </w:p>
        </w:tc>
        <w:tc>
          <w:tcPr>
            <w:tcW w:w="5289" w:type="dxa"/>
          </w:tcPr>
          <w:p w14:paraId="1DE683AB" w14:textId="77777777" w:rsidR="00650F16" w:rsidRPr="00950008" w:rsidRDefault="00650F16"/>
        </w:tc>
      </w:tr>
      <w:tr w:rsidR="00650F16" w:rsidRPr="00950008" w14:paraId="6A054DE8" w14:textId="77777777">
        <w:tc>
          <w:tcPr>
            <w:tcW w:w="2689" w:type="dxa"/>
          </w:tcPr>
          <w:p w14:paraId="12E6E9C7" w14:textId="77777777" w:rsidR="00650F16" w:rsidRPr="00950008" w:rsidRDefault="00650F16">
            <w:pPr>
              <w:rPr>
                <w:rFonts w:eastAsiaTheme="minorEastAsia"/>
                <w:lang w:eastAsia="zh-CN"/>
              </w:rPr>
            </w:pPr>
          </w:p>
        </w:tc>
        <w:tc>
          <w:tcPr>
            <w:tcW w:w="7889" w:type="dxa"/>
          </w:tcPr>
          <w:p w14:paraId="3FA32719" w14:textId="77777777" w:rsidR="00650F16" w:rsidRPr="00950008" w:rsidRDefault="00650F16">
            <w:pPr>
              <w:rPr>
                <w:rFonts w:eastAsiaTheme="minorEastAsia"/>
                <w:lang w:eastAsia="zh-CN"/>
              </w:rPr>
            </w:pPr>
          </w:p>
        </w:tc>
        <w:tc>
          <w:tcPr>
            <w:tcW w:w="5289" w:type="dxa"/>
          </w:tcPr>
          <w:p w14:paraId="711FBF93" w14:textId="77777777" w:rsidR="00650F16" w:rsidRPr="00950008" w:rsidRDefault="00650F16">
            <w:pPr>
              <w:rPr>
                <w:rFonts w:eastAsiaTheme="minorEastAsia"/>
                <w:lang w:eastAsia="zh-CN"/>
              </w:rPr>
            </w:pPr>
          </w:p>
        </w:tc>
      </w:tr>
      <w:tr w:rsidR="00650F16" w:rsidRPr="00950008" w14:paraId="1AE27DEB" w14:textId="77777777">
        <w:tc>
          <w:tcPr>
            <w:tcW w:w="2689" w:type="dxa"/>
          </w:tcPr>
          <w:p w14:paraId="688A9F83" w14:textId="77777777" w:rsidR="00650F16" w:rsidRPr="00950008" w:rsidRDefault="00650F16">
            <w:pPr>
              <w:rPr>
                <w:rFonts w:eastAsiaTheme="minorEastAsia"/>
                <w:lang w:eastAsia="zh-CN"/>
              </w:rPr>
            </w:pPr>
          </w:p>
        </w:tc>
        <w:tc>
          <w:tcPr>
            <w:tcW w:w="7889" w:type="dxa"/>
          </w:tcPr>
          <w:p w14:paraId="29164373" w14:textId="77777777" w:rsidR="00650F16" w:rsidRPr="00950008" w:rsidRDefault="00650F16">
            <w:pPr>
              <w:rPr>
                <w:rFonts w:eastAsiaTheme="minorEastAsia"/>
                <w:lang w:eastAsia="zh-CN"/>
              </w:rPr>
            </w:pPr>
          </w:p>
        </w:tc>
        <w:tc>
          <w:tcPr>
            <w:tcW w:w="5289" w:type="dxa"/>
          </w:tcPr>
          <w:p w14:paraId="56266AF8" w14:textId="77777777" w:rsidR="00650F16" w:rsidRPr="00950008" w:rsidRDefault="00650F16">
            <w:pPr>
              <w:rPr>
                <w:rFonts w:eastAsiaTheme="minorEastAsia"/>
                <w:lang w:eastAsia="zh-CN"/>
              </w:rPr>
            </w:pPr>
          </w:p>
        </w:tc>
      </w:tr>
    </w:tbl>
    <w:p w14:paraId="7E056155" w14:textId="77777777" w:rsidR="00650F16" w:rsidRPr="00950008" w:rsidRDefault="00650F16">
      <w:pPr>
        <w:rPr>
          <w:lang w:eastAsia="en-GB"/>
        </w:rPr>
      </w:pPr>
    </w:p>
    <w:p w14:paraId="2F73E63A" w14:textId="77777777" w:rsidR="00650F16" w:rsidRPr="00950008" w:rsidRDefault="00650F16">
      <w:pPr>
        <w:pStyle w:val="ListParagraph"/>
        <w:ind w:left="360"/>
        <w:rPr>
          <w:lang w:eastAsia="en-GB"/>
        </w:rPr>
      </w:pPr>
    </w:p>
    <w:sectPr w:rsidR="00650F16" w:rsidRPr="00950008">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54A2F" w14:textId="77777777" w:rsidR="00500E7B" w:rsidRDefault="00500E7B">
      <w:pPr>
        <w:spacing w:after="0" w:line="240" w:lineRule="auto"/>
      </w:pPr>
      <w:r>
        <w:separator/>
      </w:r>
    </w:p>
  </w:endnote>
  <w:endnote w:type="continuationSeparator" w:id="0">
    <w:p w14:paraId="534407A0" w14:textId="77777777" w:rsidR="00500E7B" w:rsidRDefault="0050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785AC" w14:textId="77777777" w:rsidR="00500E7B" w:rsidRDefault="00500E7B">
      <w:pPr>
        <w:spacing w:after="0" w:line="240" w:lineRule="auto"/>
      </w:pPr>
      <w:r>
        <w:separator/>
      </w:r>
    </w:p>
  </w:footnote>
  <w:footnote w:type="continuationSeparator" w:id="0">
    <w:p w14:paraId="5283A342" w14:textId="77777777" w:rsidR="00500E7B" w:rsidRDefault="00500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33B1A"/>
    <w:rsid w:val="000453EA"/>
    <w:rsid w:val="00053350"/>
    <w:rsid w:val="0005451A"/>
    <w:rsid w:val="000658E0"/>
    <w:rsid w:val="000659A9"/>
    <w:rsid w:val="00065ECB"/>
    <w:rsid w:val="00091FEB"/>
    <w:rsid w:val="0009651D"/>
    <w:rsid w:val="000B3630"/>
    <w:rsid w:val="000B48FC"/>
    <w:rsid w:val="000C6292"/>
    <w:rsid w:val="00114476"/>
    <w:rsid w:val="00120347"/>
    <w:rsid w:val="0012125C"/>
    <w:rsid w:val="00121CE2"/>
    <w:rsid w:val="0013540E"/>
    <w:rsid w:val="001679DC"/>
    <w:rsid w:val="001703AC"/>
    <w:rsid w:val="001838D4"/>
    <w:rsid w:val="001A7887"/>
    <w:rsid w:val="001C45CE"/>
    <w:rsid w:val="001F5226"/>
    <w:rsid w:val="00233906"/>
    <w:rsid w:val="00235DE7"/>
    <w:rsid w:val="00240B69"/>
    <w:rsid w:val="00256FE7"/>
    <w:rsid w:val="002B1457"/>
    <w:rsid w:val="00300091"/>
    <w:rsid w:val="00327411"/>
    <w:rsid w:val="00343ADA"/>
    <w:rsid w:val="00362BDD"/>
    <w:rsid w:val="003A04C1"/>
    <w:rsid w:val="003D29D7"/>
    <w:rsid w:val="003E61AE"/>
    <w:rsid w:val="003F36F2"/>
    <w:rsid w:val="00407594"/>
    <w:rsid w:val="0042707A"/>
    <w:rsid w:val="0047722D"/>
    <w:rsid w:val="00500E7B"/>
    <w:rsid w:val="00511148"/>
    <w:rsid w:val="00553167"/>
    <w:rsid w:val="00557355"/>
    <w:rsid w:val="00595AF0"/>
    <w:rsid w:val="005A0920"/>
    <w:rsid w:val="005D7212"/>
    <w:rsid w:val="00624D76"/>
    <w:rsid w:val="00650561"/>
    <w:rsid w:val="00650F16"/>
    <w:rsid w:val="0065309D"/>
    <w:rsid w:val="006578C3"/>
    <w:rsid w:val="006634CB"/>
    <w:rsid w:val="006640D6"/>
    <w:rsid w:val="006871ED"/>
    <w:rsid w:val="00711A5C"/>
    <w:rsid w:val="007166C2"/>
    <w:rsid w:val="00770FB4"/>
    <w:rsid w:val="00773BD3"/>
    <w:rsid w:val="007A334C"/>
    <w:rsid w:val="007E236E"/>
    <w:rsid w:val="007E7BD6"/>
    <w:rsid w:val="00823F27"/>
    <w:rsid w:val="0084132B"/>
    <w:rsid w:val="008E593E"/>
    <w:rsid w:val="008F22C0"/>
    <w:rsid w:val="008F53C6"/>
    <w:rsid w:val="00944333"/>
    <w:rsid w:val="00950008"/>
    <w:rsid w:val="00973DAD"/>
    <w:rsid w:val="00977CFF"/>
    <w:rsid w:val="009A1CD2"/>
    <w:rsid w:val="009C0F0A"/>
    <w:rsid w:val="009E7305"/>
    <w:rsid w:val="009F1B65"/>
    <w:rsid w:val="009F4064"/>
    <w:rsid w:val="00A108CF"/>
    <w:rsid w:val="00A12880"/>
    <w:rsid w:val="00A309FC"/>
    <w:rsid w:val="00A7681A"/>
    <w:rsid w:val="00A8700F"/>
    <w:rsid w:val="00B048EB"/>
    <w:rsid w:val="00B06FEF"/>
    <w:rsid w:val="00B11246"/>
    <w:rsid w:val="00B119BE"/>
    <w:rsid w:val="00B12146"/>
    <w:rsid w:val="00BC7207"/>
    <w:rsid w:val="00BF048A"/>
    <w:rsid w:val="00C47736"/>
    <w:rsid w:val="00C92075"/>
    <w:rsid w:val="00CD534D"/>
    <w:rsid w:val="00D01762"/>
    <w:rsid w:val="00D4019C"/>
    <w:rsid w:val="00D607A7"/>
    <w:rsid w:val="00D64DBF"/>
    <w:rsid w:val="00D77AB2"/>
    <w:rsid w:val="00D9108A"/>
    <w:rsid w:val="00D924B9"/>
    <w:rsid w:val="00DB5A44"/>
    <w:rsid w:val="00DC27E9"/>
    <w:rsid w:val="00DC572C"/>
    <w:rsid w:val="00DD5AF5"/>
    <w:rsid w:val="00E2600C"/>
    <w:rsid w:val="00E72407"/>
    <w:rsid w:val="00E818DF"/>
    <w:rsid w:val="00E93D55"/>
    <w:rsid w:val="00E96515"/>
    <w:rsid w:val="00EA3209"/>
    <w:rsid w:val="00EA689D"/>
    <w:rsid w:val="00EC4584"/>
    <w:rsid w:val="00ED1254"/>
    <w:rsid w:val="00EF3060"/>
    <w:rsid w:val="00F12BF5"/>
    <w:rsid w:val="00F27AA0"/>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8C78C4E0-BB0B-465A-9315-FA3344A6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styleId="UnresolvedMention">
    <w:name w:val="Unresolved Mention"/>
    <w:basedOn w:val="DefaultParagraphFont"/>
    <w:uiPriority w:val="99"/>
    <w:semiHidden/>
    <w:unhideWhenUsed/>
    <w:rsid w:val="00A1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ungjune.yi@lge.com" TargetMode="External"/><Relationship Id="rId18" Type="http://schemas.openxmlformats.org/officeDocument/2006/relationships/hyperlink" Target="mailto:faris.alfarhan@interdigital.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nxue@oppo.com" TargetMode="External"/><Relationship Id="rId2" Type="http://schemas.openxmlformats.org/officeDocument/2006/relationships/customXml" Target="../customXml/item2.xml"/><Relationship Id="rId16" Type="http://schemas.openxmlformats.org/officeDocument/2006/relationships/hyperlink" Target="mailto:anilag@samsu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6D2E69FD-0451-4278-B79F-83E4B590906D}">
  <ds:schemaRefs>
    <ds:schemaRef ds:uri="http://schemas.openxmlformats.org/officeDocument/2006/bibliography"/>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692A4BF-28E7-4ECD-834D-2E600A9324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InterDigital- Faris</cp:lastModifiedBy>
  <cp:revision>6</cp:revision>
  <dcterms:created xsi:type="dcterms:W3CDTF">2021-03-10T14:20:00Z</dcterms:created>
  <dcterms:modified xsi:type="dcterms:W3CDTF">2021-03-10T14:48:00Z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