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508FF29"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397715">
        <w:rPr>
          <w:rFonts w:cs="Arial"/>
          <w:bCs/>
          <w:color w:val="0D0D0D" w:themeColor="text1" w:themeTint="F2"/>
          <w:sz w:val="28"/>
          <w:szCs w:val="24"/>
          <w:highlight w:val="yellow"/>
          <w:lang w:eastAsia="zh-TW"/>
        </w:rPr>
        <w:t>R2-210</w:t>
      </w:r>
      <w:r w:rsidR="00397715" w:rsidRPr="00397715">
        <w:rPr>
          <w:rFonts w:cs="Arial"/>
          <w:bCs/>
          <w:color w:val="0D0D0D" w:themeColor="text1" w:themeTint="F2"/>
          <w:sz w:val="28"/>
          <w:szCs w:val="24"/>
          <w:highlight w:val="yellow"/>
          <w:lang w:eastAsia="zh-TW"/>
        </w:rPr>
        <w:t>xxxx</w:t>
      </w:r>
    </w:p>
    <w:p w14:paraId="2C5EFEC7" w14:textId="4BCC8E2E" w:rsidR="00336DC2" w:rsidRPr="004162CD" w:rsidRDefault="00336DC2" w:rsidP="00336DC2">
      <w:pPr>
        <w:pStyle w:val="a3"/>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af3"/>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4A749B09" w14:textId="743BAB26" w:rsidR="00DC2359" w:rsidRDefault="00DC2359" w:rsidP="00FC58DF">
      <w:pPr>
        <w:pStyle w:val="EW"/>
        <w:rPr>
          <w:ins w:id="18" w:author="Intelsat (Rapporteur)" w:date="2021-02-19T20:51:00Z"/>
          <w:rFonts w:eastAsia="Calibri"/>
        </w:rPr>
      </w:pPr>
      <w:ins w:id="19" w:author="Intelsat (Rapporteur)" w:date="2021-02-19T20:51: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proofErr w:type="spellStart"/>
      <w:r>
        <w:t>e</w:t>
      </w:r>
      <w:r w:rsidRPr="00450CE8">
        <w:t>NB</w:t>
      </w:r>
      <w:proofErr w:type="spellEnd"/>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commentRangeStart w:id="28"/>
      <w:ins w:id="29" w:author="Eutelsat (Rapporteur)" w:date="2021-02-22T11:25:00Z">
        <w:r>
          <w:t>TA</w:t>
        </w:r>
        <w:r>
          <w:tab/>
          <w:t>Tracking Area</w:t>
        </w:r>
      </w:ins>
      <w:commentRangeEnd w:id="28"/>
      <w:r w:rsidR="00252569">
        <w:rPr>
          <w:rStyle w:val="af5"/>
        </w:rPr>
        <w:commentReference w:id="28"/>
      </w:r>
    </w:p>
    <w:p w14:paraId="4EFD835B" w14:textId="42749E02" w:rsidR="00591FF4" w:rsidRDefault="00591FF4" w:rsidP="00591FF4">
      <w:pPr>
        <w:pStyle w:val="EW"/>
        <w:rPr>
          <w:ins w:id="30" w:author="Eutelsat (Rapporteur)" w:date="2021-02-22T11:25:00Z"/>
        </w:rPr>
      </w:pPr>
      <w:ins w:id="31" w:author="Eutelsat (Rapporteur)" w:date="2021-02-22T11:25:00Z">
        <w:r>
          <w:t>TAC</w:t>
        </w:r>
        <w:r>
          <w:tab/>
          <w:t>Tracking Area Code</w:t>
        </w:r>
      </w:ins>
    </w:p>
    <w:p w14:paraId="6A1BC58F" w14:textId="3046A21E" w:rsidR="00591FF4" w:rsidRDefault="00591FF4" w:rsidP="00591FF4">
      <w:pPr>
        <w:pStyle w:val="EW"/>
        <w:rPr>
          <w:ins w:id="32" w:author="Eutelsat (Rapporteur)" w:date="2021-02-22T11:26:00Z"/>
        </w:rPr>
      </w:pPr>
      <w:ins w:id="33"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4" w:author="Eutelsat (Rapporteur)" w:date="2021-02-22T11:25:00Z" w:name="move64885526"/>
      <w:moveFrom w:id="35" w:author="Eutelsat (Rapporteur)" w:date="2021-02-22T11:25:00Z">
        <w:r w:rsidRPr="00450CE8" w:rsidDel="00591FF4">
          <w:t>Rx</w:t>
        </w:r>
        <w:r w:rsidRPr="00450CE8" w:rsidDel="00591FF4">
          <w:tab/>
          <w:t>Receiver</w:t>
        </w:r>
      </w:moveFrom>
    </w:p>
    <w:moveFromRangeEnd w:id="34"/>
    <w:p w14:paraId="666570F2" w14:textId="77777777" w:rsidR="0040508F" w:rsidRPr="00450CE8" w:rsidRDefault="0040508F" w:rsidP="0040508F">
      <w:pPr>
        <w:pStyle w:val="EW"/>
        <w:rPr>
          <w:ins w:id="36" w:author="Eutelsat (Rapporteur)" w:date="2021-02-23T19:41:00Z"/>
        </w:rPr>
      </w:pPr>
      <w:ins w:id="37"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6D702FA" w14:textId="77777777" w:rsidR="00E95F8B" w:rsidRPr="004162CD" w:rsidRDefault="00E95F8B" w:rsidP="00E95F8B">
      <w:pPr>
        <w:jc w:val="center"/>
        <w:rPr>
          <w:color w:val="0D0D0D" w:themeColor="text1" w:themeTint="F2"/>
          <w:kern w:val="2"/>
          <w:sz w:val="40"/>
          <w:lang w:eastAsia="zh-CN"/>
        </w:rPr>
      </w:pPr>
      <w:bookmarkStart w:id="38" w:name="_Toc26621099"/>
      <w:bookmarkStart w:id="39" w:name="_Toc30079911"/>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1"/>
      </w:pPr>
      <w:bookmarkStart w:id="40" w:name="_Toc64555804"/>
      <w:r w:rsidRPr="002C48BF">
        <w:t>7</w:t>
      </w:r>
      <w:r w:rsidRPr="002C48BF">
        <w:tab/>
        <w:t>Radio Protocol Issues and Solutions</w:t>
      </w:r>
      <w:bookmarkEnd w:id="40"/>
    </w:p>
    <w:p w14:paraId="25603DFE" w14:textId="77777777" w:rsidR="00FC58DF" w:rsidRPr="00A33D41" w:rsidRDefault="00FC58DF" w:rsidP="002C48BF">
      <w:pPr>
        <w:pStyle w:val="2"/>
        <w:numPr>
          <w:ilvl w:val="0"/>
          <w:numId w:val="0"/>
        </w:numPr>
      </w:pPr>
      <w:bookmarkStart w:id="41" w:name="_Toc64555805"/>
      <w:r w:rsidRPr="00A33D41">
        <w:t>7.1</w:t>
      </w:r>
      <w:r w:rsidRPr="00A33D41">
        <w:tab/>
        <w:t>Requirements and key issues</w:t>
      </w:r>
      <w:bookmarkEnd w:id="41"/>
    </w:p>
    <w:p w14:paraId="7836F1EB" w14:textId="77777777" w:rsidR="00FC58DF" w:rsidRPr="00A33D41" w:rsidRDefault="00FC58DF" w:rsidP="002C48BF">
      <w:pPr>
        <w:pStyle w:val="3"/>
        <w:numPr>
          <w:ilvl w:val="0"/>
          <w:numId w:val="0"/>
        </w:numPr>
        <w:rPr>
          <w:rFonts w:eastAsia="PMingLiU"/>
        </w:rPr>
      </w:pPr>
      <w:bookmarkStart w:id="42" w:name="_Toc64555806"/>
      <w:r w:rsidRPr="00A33D41">
        <w:t>7.1.1</w:t>
      </w:r>
      <w:r w:rsidRPr="00A33D41">
        <w:tab/>
        <w:t>Delay</w:t>
      </w:r>
      <w:bookmarkEnd w:id="42"/>
    </w:p>
    <w:p w14:paraId="6EEBAA7F" w14:textId="77777777" w:rsidR="00FC58DF" w:rsidRPr="00A33D41" w:rsidRDefault="00FC58DF" w:rsidP="00FC58DF">
      <w:r w:rsidRPr="00A33D41">
        <w:t>The table below is amended from TR 38.821 [3] to identify the worst case IoT-NTN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2"/>
        <w:numPr>
          <w:ilvl w:val="0"/>
          <w:numId w:val="0"/>
        </w:numPr>
      </w:pPr>
      <w:bookmarkStart w:id="43" w:name="_Toc64555807"/>
      <w:r w:rsidRPr="00A33D41">
        <w:t>7.2</w:t>
      </w:r>
      <w:r w:rsidRPr="00A33D41">
        <w:tab/>
        <w:t>User plane enhancements</w:t>
      </w:r>
      <w:bookmarkEnd w:id="43"/>
    </w:p>
    <w:p w14:paraId="2B24315F" w14:textId="77777777" w:rsidR="00FC58DF" w:rsidRPr="00A33D41" w:rsidRDefault="00FC58DF" w:rsidP="002C48BF">
      <w:pPr>
        <w:pStyle w:val="3"/>
        <w:numPr>
          <w:ilvl w:val="0"/>
          <w:numId w:val="0"/>
        </w:numPr>
      </w:pPr>
      <w:bookmarkStart w:id="44" w:name="_Toc64555808"/>
      <w:r w:rsidRPr="00A33D41">
        <w:t>7.2.1</w:t>
      </w:r>
      <w:r w:rsidRPr="00A33D41">
        <w:tab/>
        <w:t>MAC</w:t>
      </w:r>
      <w:bookmarkEnd w:id="44"/>
    </w:p>
    <w:p w14:paraId="2686DB7C" w14:textId="77777777" w:rsidR="00FC58DF" w:rsidRPr="00A33D41" w:rsidRDefault="00FC58DF" w:rsidP="00FC58DF">
      <w:r w:rsidRPr="00A33D41">
        <w:t>The challenges associated with the expiry of MAC timers in NR-NTN remain the same in IoT-NTN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4"/>
        <w:numPr>
          <w:ilvl w:val="0"/>
          <w:numId w:val="0"/>
        </w:numPr>
      </w:pPr>
      <w:r w:rsidRPr="00A33D41">
        <w:t>7.2.1.1</w:t>
      </w:r>
      <w:r w:rsidRPr="00A33D41">
        <w:tab/>
        <w:t>Random Access</w:t>
      </w:r>
    </w:p>
    <w:p w14:paraId="394F1711" w14:textId="77777777" w:rsidR="00FC58DF" w:rsidRPr="001539F4" w:rsidRDefault="00FC58DF" w:rsidP="00FC58DF">
      <w:pPr>
        <w:rPr>
          <w:rFonts w:eastAsia="宋体"/>
          <w:b/>
          <w:bCs/>
        </w:rPr>
      </w:pPr>
      <w:r w:rsidRPr="001539F4">
        <w:rPr>
          <w:rFonts w:eastAsia="宋体"/>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77777777"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IoT-NTN.</w:t>
      </w:r>
    </w:p>
    <w:p w14:paraId="70BBACDC" w14:textId="77777777" w:rsidR="00FC58DF" w:rsidRPr="00CB5781" w:rsidRDefault="00FC58DF" w:rsidP="00FC58DF">
      <w:pPr>
        <w:rPr>
          <w:i/>
          <w:iCs/>
        </w:rPr>
      </w:pPr>
      <w:r w:rsidRPr="00CB5781">
        <w:rPr>
          <w:i/>
          <w:iCs/>
        </w:rPr>
        <w:t>Solution Overview</w:t>
      </w:r>
    </w:p>
    <w:p w14:paraId="6AE36F40" w14:textId="77777777" w:rsidR="00FC58DF" w:rsidRPr="00A33D41" w:rsidRDefault="00FC58DF" w:rsidP="00FC58DF">
      <w:r w:rsidRPr="00A33D41">
        <w:t xml:space="preserve">Similar to NR-NTN [3], the offset can be adjusted to delay the start of the RA Response window for IoT-NTN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宋体"/>
          <w:color w:val="0D0D0D"/>
        </w:rPr>
      </w:pPr>
    </w:p>
    <w:p w14:paraId="732B36EB" w14:textId="77777777" w:rsidR="00FC58DF" w:rsidRPr="00A33D41" w:rsidRDefault="00FC58DF" w:rsidP="00FC58DF">
      <w:pPr>
        <w:keepLines/>
        <w:rPr>
          <w:rFonts w:eastAsia="宋体"/>
          <w:b/>
          <w:bCs/>
          <w:color w:val="0D0D0D"/>
        </w:rPr>
      </w:pPr>
      <w:r w:rsidRPr="00A33D41">
        <w:rPr>
          <w:rFonts w:eastAsia="宋体"/>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77777777" w:rsidR="00FC58DF" w:rsidRPr="00A33D41" w:rsidRDefault="00FC58DF" w:rsidP="00FC58DF">
      <w:r w:rsidRPr="00A33D41">
        <w:t xml:space="preserve">Similar to NR-NTN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77777777"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45" w:name="_Hlk63283108"/>
      <w:r w:rsidRPr="00A33D41">
        <w:rPr>
          <w:iCs/>
        </w:rPr>
        <w:t xml:space="preserve"> </w:t>
      </w:r>
      <w:bookmarkEnd w:id="45"/>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IoT-NTN, the handling of DL </w:t>
      </w:r>
      <w:r w:rsidRPr="00A33D41">
        <w:rPr>
          <w:iCs/>
        </w:rPr>
        <w:t>HARQ RTT Timer</w:t>
      </w:r>
      <w:r w:rsidRPr="00A33D41">
        <w:rPr>
          <w:i/>
          <w:iCs/>
        </w:rPr>
        <w:t xml:space="preserve"> </w:t>
      </w:r>
      <w:r w:rsidRPr="00A33D41">
        <w:rPr>
          <w:iCs/>
        </w:rPr>
        <w:t>and UL HARQ RTT Timer, should be modified to support IoT-NTN.</w:t>
      </w:r>
    </w:p>
    <w:p w14:paraId="7DCFAC2D" w14:textId="77777777" w:rsidR="00FC58DF" w:rsidRPr="00A33D41" w:rsidRDefault="00FC58DF" w:rsidP="00FC58DF">
      <w:r w:rsidRPr="00A33D41">
        <w:t xml:space="preserve">Modification of the remaining timers related to </w:t>
      </w:r>
      <w:r w:rsidRPr="00A33D41">
        <w:rPr>
          <w:lang w:eastAsia="ko-KR"/>
        </w:rPr>
        <w:t>DRX is not needed to support IoT-</w:t>
      </w:r>
      <w:r w:rsidRPr="00A33D41">
        <w:t>NTN, similar to NR-NTN [3].</w:t>
      </w:r>
    </w:p>
    <w:p w14:paraId="230D3D2D" w14:textId="77777777" w:rsidR="00FC58DF" w:rsidRPr="00CB5781" w:rsidRDefault="00FC58DF" w:rsidP="00FC58DF">
      <w:pPr>
        <w:rPr>
          <w:i/>
          <w:iCs/>
        </w:rPr>
      </w:pPr>
      <w:r w:rsidRPr="00CB5781">
        <w:rPr>
          <w:i/>
          <w:iCs/>
        </w:rPr>
        <w:t>Solution Overview</w:t>
      </w:r>
    </w:p>
    <w:p w14:paraId="4DF0A084" w14:textId="77777777" w:rsidR="00FC58DF" w:rsidRPr="00A33D41" w:rsidRDefault="00FC58DF" w:rsidP="00FC58DF">
      <w:pPr>
        <w:rPr>
          <w:iCs/>
        </w:rPr>
      </w:pPr>
      <w:r w:rsidRPr="00A33D41">
        <w:t xml:space="preserve">As the challenges associated with the expiry of MAC timers in NR-NTN [3] remain the same in IoT-NTN, it is assumed that the same solutions as NR-NTN for the start of DL </w:t>
      </w:r>
      <w:r w:rsidRPr="00A33D41">
        <w:rPr>
          <w:iCs/>
        </w:rPr>
        <w:t xml:space="preserve">HARQ RTT Timer and UL HARQ RTT Timer can be reused as a baseline </w:t>
      </w:r>
      <w:r w:rsidRPr="00A33D41">
        <w:t>to support</w:t>
      </w:r>
      <w:r w:rsidRPr="00A33D41">
        <w:rPr>
          <w:iCs/>
        </w:rPr>
        <w:t xml:space="preserve"> IoT-NTN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E047618"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46"/>
      <w:r w:rsidRPr="00A33D41">
        <w:rPr>
          <w:lang w:eastAsia="ja-JP"/>
        </w:rPr>
        <w:t>560ms</w:t>
      </w:r>
      <w:commentRangeEnd w:id="46"/>
      <w:r w:rsidR="00335072">
        <w:rPr>
          <w:rStyle w:val="af5"/>
        </w:rPr>
        <w:commentReference w:id="46"/>
      </w:r>
      <w:r w:rsidRPr="00A33D41">
        <w:rPr>
          <w:lang w:eastAsia="ja-JP"/>
        </w:rPr>
        <w:t xml:space="preserve"> for </w:t>
      </w:r>
      <w:proofErr w:type="spellStart"/>
      <w:r w:rsidRPr="00A33D41">
        <w:rPr>
          <w:lang w:eastAsia="ja-JP"/>
        </w:rPr>
        <w:t>eMTC</w:t>
      </w:r>
      <w:proofErr w:type="spellEnd"/>
      <w:r w:rsidRPr="00A33D41">
        <w:rPr>
          <w:lang w:eastAsia="ja-JP"/>
        </w:rPr>
        <w:t xml:space="preserve"> or </w:t>
      </w:r>
      <w:r>
        <w:t xml:space="preserve">after </w:t>
      </w:r>
      <w:commentRangeStart w:id="47"/>
      <w:r>
        <w:t>8</w:t>
      </w:r>
      <w:commentRangeEnd w:id="47"/>
      <w:r w:rsidR="00335072">
        <w:rPr>
          <w:rStyle w:val="af5"/>
        </w:rPr>
        <w:commentReference w:id="47"/>
      </w:r>
      <w:r>
        <w:t xml:space="preserve"> NPRACH opportunities</w:t>
      </w:r>
      <w:r w:rsidRPr="00A33D41">
        <w:rPr>
          <w:lang w:eastAsia="ja-JP"/>
        </w:rPr>
        <w:t xml:space="preserve"> for NB-IoT [7] and initiate a SR. For GEO systems the value range may not be sufficient because of the large RTT. The </w:t>
      </w:r>
      <w:proofErr w:type="spellStart"/>
      <w:r w:rsidRPr="00A33D41">
        <w:rPr>
          <w:i/>
          <w:lang w:eastAsia="ja-JP"/>
        </w:rPr>
        <w:t>sr-ProhibitTimer</w:t>
      </w:r>
      <w:proofErr w:type="spellEnd"/>
      <w:r w:rsidRPr="00A33D41">
        <w:rPr>
          <w:lang w:eastAsia="ja-JP"/>
        </w:rPr>
        <w:t xml:space="preserve"> </w:t>
      </w:r>
      <w:del w:id="48" w:author="Eutelsat (Rapporteur)" w:date="2021-02-23T19:20:00Z">
        <w:r w:rsidRPr="00A33D41" w:rsidDel="00C10FB1">
          <w:rPr>
            <w:lang w:eastAsia="ja-JP"/>
          </w:rPr>
          <w:delText>may have</w:delText>
        </w:r>
      </w:del>
      <w:ins w:id="49" w:author="Eutelsat (Rapporteur)" w:date="2021-02-23T19:20:00Z">
        <w:r w:rsidR="00C10FB1">
          <w:rPr>
            <w:lang w:eastAsia="ja-JP"/>
          </w:rPr>
          <w:t>needs</w:t>
        </w:r>
      </w:ins>
      <w:r w:rsidRPr="00A33D41">
        <w:rPr>
          <w:lang w:eastAsia="ja-JP"/>
        </w:rPr>
        <w:t xml:space="preserve"> to be modified </w:t>
      </w:r>
      <w:ins w:id="50" w:author="Eutelsat (Rapporteur)" w:date="2021-02-23T19:20:00Z">
        <w:r w:rsidR="00C10FB1">
          <w:rPr>
            <w:lang w:eastAsia="ja-JP"/>
          </w:rPr>
          <w:t xml:space="preserve">for including larger values </w:t>
        </w:r>
      </w:ins>
      <w:r w:rsidRPr="00A33D41">
        <w:rPr>
          <w:lang w:eastAsia="ja-JP"/>
        </w:rPr>
        <w:t>to support IoT-NTN.</w:t>
      </w:r>
    </w:p>
    <w:p w14:paraId="03941B3D" w14:textId="77777777" w:rsidR="00FC58DF" w:rsidRPr="00CB5781" w:rsidRDefault="00FC58DF" w:rsidP="00FC58DF">
      <w:pPr>
        <w:rPr>
          <w:i/>
          <w:iCs/>
        </w:rPr>
      </w:pPr>
      <w:r w:rsidRPr="00CB5781">
        <w:rPr>
          <w:i/>
          <w:iCs/>
        </w:rPr>
        <w:t>Solution Overview</w:t>
      </w:r>
    </w:p>
    <w:p w14:paraId="63E5A297" w14:textId="6AB2D036" w:rsidR="00FC58DF" w:rsidRPr="002C48BF" w:rsidRDefault="00FC58DF" w:rsidP="002C48BF">
      <w:pPr>
        <w:pStyle w:val="EditorsNote"/>
      </w:pPr>
      <w:r w:rsidRPr="002C48BF">
        <w:t xml:space="preserve">Editor’s Note: </w:t>
      </w:r>
      <w:commentRangeStart w:id="51"/>
      <w:r w:rsidRPr="002C48BF">
        <w:t xml:space="preserve">The value range of </w:t>
      </w:r>
      <w:proofErr w:type="spellStart"/>
      <w:r w:rsidRPr="002C48BF">
        <w:t>sr-ProhibitTimer</w:t>
      </w:r>
      <w:proofErr w:type="spellEnd"/>
      <w:r w:rsidRPr="002C48BF">
        <w:t xml:space="preserve"> for IoT-NTN needs to be decided.</w:t>
      </w:r>
      <w:ins w:id="52" w:author="Eutelsat (Rapporteur)" w:date="2021-02-23T19:20:00Z">
        <w:r w:rsidR="00C10FB1">
          <w:t xml:space="preserve"> </w:t>
        </w:r>
      </w:ins>
      <w:commentRangeEnd w:id="51"/>
      <w:r w:rsidR="008D0E97">
        <w:rPr>
          <w:rStyle w:val="af5"/>
          <w:color w:val="auto"/>
        </w:rPr>
        <w:commentReference w:id="51"/>
      </w:r>
      <w:ins w:id="53" w:author="Eutelsat (Rapporteur)" w:date="2021-02-23T19:20:00Z">
        <w:r w:rsidR="00C10FB1" w:rsidRPr="00F42F41">
          <w:t xml:space="preserve">Alignment to NR NTN </w:t>
        </w:r>
        <w:r w:rsidR="00C10FB1">
          <w:t>could</w:t>
        </w:r>
        <w:r w:rsidR="00C10FB1" w:rsidRPr="00F42F41">
          <w:t xml:space="preserve"> be considered</w:t>
        </w:r>
        <w:r w:rsidR="00C10FB1">
          <w:t>.</w:t>
        </w:r>
      </w:ins>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7777777"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 xml:space="preserve">Based on these reasons, some enhancements for UL scheduling are discussed for NR-NTN. However, unlike NR-NTN, </w:t>
      </w:r>
      <w:bookmarkStart w:id="54" w:name="_Hlk63115971"/>
      <w:r w:rsidRPr="00A33D41">
        <w:rPr>
          <w:lang w:eastAsia="ja-JP"/>
        </w:rPr>
        <w:t>UL scheduling enhancements for delay reduction is not neede</w:t>
      </w:r>
      <w:bookmarkEnd w:id="54"/>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3"/>
        <w:numPr>
          <w:ilvl w:val="0"/>
          <w:numId w:val="0"/>
        </w:numPr>
      </w:pPr>
      <w:bookmarkStart w:id="55" w:name="_Toc64555809"/>
      <w:r w:rsidRPr="00A33D41">
        <w:t>7.2.2</w:t>
      </w:r>
      <w:r w:rsidRPr="00A33D41">
        <w:tab/>
        <w:t>RLC</w:t>
      </w:r>
      <w:bookmarkEnd w:id="55"/>
    </w:p>
    <w:p w14:paraId="67BF90E2" w14:textId="77777777" w:rsidR="00FC58DF" w:rsidRPr="00A33D41" w:rsidRDefault="00FC58DF" w:rsidP="002C48BF">
      <w:pPr>
        <w:pStyle w:val="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56" w:author="Eutelsat (Rapporteur)" w:date="2021-02-23T19:21:00Z"/>
          <w:color w:val="auto"/>
        </w:rPr>
      </w:pPr>
      <w:ins w:id="57"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58" w:author="Eutelsat (Rapporteur)" w:date="2021-02-23T19:21:00Z"/>
        </w:rPr>
      </w:pPr>
      <w:del w:id="59"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4"/>
        <w:numPr>
          <w:ilvl w:val="0"/>
          <w:numId w:val="0"/>
        </w:numPr>
      </w:pPr>
      <w:r w:rsidRPr="00A33D41">
        <w:t>7.2.2.2</w:t>
      </w:r>
      <w:r w:rsidRPr="00A33D41">
        <w:tab/>
        <w:t>RLC Sequence Numbers</w:t>
      </w:r>
    </w:p>
    <w:p w14:paraId="3BBC6D25" w14:textId="77777777"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IoT-NTN are significantly lower than NR-NTN, there is no need to extend the RLC SN length for IoT-NTN.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3"/>
        <w:numPr>
          <w:ilvl w:val="0"/>
          <w:numId w:val="0"/>
        </w:numPr>
      </w:pPr>
      <w:bookmarkStart w:id="60" w:name="_Toc64555810"/>
      <w:r w:rsidRPr="00A33D41">
        <w:t>7.2.3</w:t>
      </w:r>
      <w:r w:rsidRPr="00A33D41">
        <w:tab/>
        <w:t>PDCP</w:t>
      </w:r>
      <w:bookmarkEnd w:id="60"/>
    </w:p>
    <w:p w14:paraId="7CE86958" w14:textId="77777777" w:rsidR="00FC58DF" w:rsidRPr="00A33D41" w:rsidRDefault="00FC58DF" w:rsidP="002C48BF">
      <w:pPr>
        <w:pStyle w:val="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77777777" w:rsidR="00FC58DF" w:rsidRPr="002C48BF" w:rsidRDefault="00FC58DF" w:rsidP="002C48BF">
      <w:pPr>
        <w:pStyle w:val="EditorsNote"/>
      </w:pPr>
      <w:r w:rsidRPr="002C48BF">
        <w:lastRenderedPageBreak/>
        <w:t xml:space="preserve">Editor’s Note: It is FFS if there is a need to extend PDCP </w:t>
      </w:r>
      <w:proofErr w:type="spellStart"/>
      <w:r w:rsidRPr="002C48BF">
        <w:t>discardTimer</w:t>
      </w:r>
      <w:proofErr w:type="spellEnd"/>
      <w:r w:rsidRPr="002C48BF">
        <w:t xml:space="preserve"> in IoT-NTN.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4"/>
        <w:numPr>
          <w:ilvl w:val="0"/>
          <w:numId w:val="0"/>
        </w:numPr>
      </w:pPr>
      <w:r w:rsidRPr="00A33D41">
        <w:t>7.2.3.2</w:t>
      </w:r>
      <w:r w:rsidRPr="00A33D41">
        <w:tab/>
        <w:t>PDCP Sequence Numbers</w:t>
      </w:r>
    </w:p>
    <w:p w14:paraId="3DE54E95" w14:textId="77777777"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IoT-NTN are significantly lower than NR-NTN, there is no need to extend the PDCP SN length for IoT-NTN.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2"/>
        <w:numPr>
          <w:ilvl w:val="0"/>
          <w:numId w:val="0"/>
        </w:numPr>
      </w:pPr>
      <w:bookmarkStart w:id="61" w:name="_Toc64555811"/>
      <w:r w:rsidRPr="00A33D41">
        <w:t>7.3</w:t>
      </w:r>
      <w:r w:rsidRPr="00A33D41">
        <w:tab/>
        <w:t>Control plane enhancements</w:t>
      </w:r>
      <w:bookmarkEnd w:id="61"/>
    </w:p>
    <w:p w14:paraId="1D665D6A" w14:textId="77777777" w:rsidR="00FC58DF" w:rsidRPr="00A33D41" w:rsidRDefault="00FC58DF" w:rsidP="00FC58DF">
      <w:pPr>
        <w:pStyle w:val="EditorsNote"/>
        <w:rPr>
          <w:color w:val="0D0D0D"/>
        </w:rPr>
      </w:pPr>
      <w:r w:rsidRPr="00590C71">
        <w:t>Editor’s Note: RAN2 should wait for RAN1’s input on supporting multiple beams per cell for IoT-NTN</w:t>
      </w:r>
      <w:r>
        <w:t>.</w:t>
      </w:r>
    </w:p>
    <w:p w14:paraId="7B1A716A" w14:textId="77777777" w:rsidR="00FC58DF" w:rsidRPr="00A33D41" w:rsidRDefault="00FC58DF" w:rsidP="002C48BF">
      <w:pPr>
        <w:pStyle w:val="3"/>
        <w:numPr>
          <w:ilvl w:val="0"/>
          <w:numId w:val="0"/>
        </w:numPr>
      </w:pPr>
      <w:bookmarkStart w:id="62" w:name="_Toc64555812"/>
      <w:r w:rsidRPr="00A33D41">
        <w:t>7.3.1</w:t>
      </w:r>
      <w:r w:rsidRPr="00A33D41">
        <w:tab/>
        <w:t>Idle mode mobility enhancements</w:t>
      </w:r>
      <w:bookmarkEnd w:id="62"/>
    </w:p>
    <w:p w14:paraId="407DDB68" w14:textId="77777777" w:rsidR="00FC58DF" w:rsidRPr="00A33D41" w:rsidRDefault="00FC58DF" w:rsidP="002C48BF">
      <w:pPr>
        <w:pStyle w:val="4"/>
        <w:numPr>
          <w:ilvl w:val="0"/>
          <w:numId w:val="0"/>
        </w:numPr>
      </w:pPr>
      <w:bookmarkStart w:id="63" w:name="_Toc26620993"/>
      <w:bookmarkStart w:id="64" w:name="_Toc30079805"/>
      <w:r w:rsidRPr="00A33D41">
        <w:t>7.3.1.1</w:t>
      </w:r>
      <w:r w:rsidRPr="00A33D41">
        <w:tab/>
        <w:t>Tracking Area</w:t>
      </w:r>
      <w:bookmarkEnd w:id="63"/>
      <w:bookmarkEnd w:id="64"/>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eastAsia="zh-CN"/>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eastAsia="zh-CN"/>
        </w:rPr>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lastRenderedPageBreak/>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77777777" w:rsidR="00FC58DF" w:rsidRPr="00A33D41" w:rsidRDefault="00FC58DF" w:rsidP="00FC58DF">
      <w:r w:rsidRPr="00A33D41">
        <w:t xml:space="preserve">In order not to have TAU performed </w:t>
      </w:r>
      <w:r w:rsidRPr="00A33D41">
        <w:rPr>
          <w:rFonts w:eastAsia="宋体"/>
        </w:rPr>
        <w:t>frequently</w:t>
      </w:r>
      <w:r w:rsidRPr="00A33D41">
        <w:t xml:space="preserve"> by the UE</w:t>
      </w:r>
      <w:r w:rsidRPr="00A33D41">
        <w:rPr>
          <w:rFonts w:eastAsia="宋体"/>
        </w:rPr>
        <w:t xml:space="preserve"> triggered by the satellite motion</w:t>
      </w:r>
      <w:r w:rsidRPr="00A33D41">
        <w:t>, the tracking area should be designed to be fixed on ground (i.e. earth-fixes TA similar to NR-NTN). For NTN LEO, this implies that while the cells sweep on the ground, the tracking area</w:t>
      </w:r>
      <w:r w:rsidRPr="00A33D41">
        <w:rPr>
          <w:rFonts w:eastAsia="宋体"/>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宋体"/>
        </w:rPr>
        <w:t>tracking</w:t>
      </w:r>
      <w:r w:rsidRPr="00A33D41">
        <w:t xml:space="preserve"> area. When the UE detects entering a tracking area that is not in the list of tracking areas that the UE previously registered in the </w:t>
      </w:r>
      <w:r w:rsidRPr="00A33D41">
        <w:rPr>
          <w:rFonts w:eastAsia="宋体"/>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55pt" o:ole="">
            <v:imagedata r:id="rId19" o:title=""/>
            <o:lock v:ext="edit" aspectratio="f"/>
          </v:shape>
          <o:OLEObject Type="Embed" ProgID="Visio.Drawing.11" ShapeID="_x0000_i1025" DrawAspect="Content" ObjectID="_1675772116"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65" w:author="Eutelsat (Rapporteur)" w:date="2021-02-22T00:56:00Z"/>
        </w:rPr>
      </w:pPr>
      <w:ins w:id="66" w:author="Eutelsat (Rapporteur)" w:date="2021-02-22T01:11:00Z">
        <w:r>
          <w:t>The t</w:t>
        </w:r>
      </w:ins>
      <w:ins w:id="67" w:author="Eutelsat (Rapporteur)" w:date="2021-02-22T00:56:00Z">
        <w:r w:rsidR="003E3008" w:rsidRPr="00B923D6">
          <w:t xml:space="preserve">wo </w:t>
        </w:r>
      </w:ins>
      <w:ins w:id="68" w:author="Eutelsat (Rapporteur)" w:date="2021-02-22T00:57:00Z">
        <w:r w:rsidR="003E3008">
          <w:t xml:space="preserve">signalling </w:t>
        </w:r>
      </w:ins>
      <w:ins w:id="69" w:author="Eutelsat (Rapporteur)" w:date="2021-02-22T00:56:00Z">
        <w:r w:rsidR="003E3008" w:rsidRPr="00B923D6">
          <w:t xml:space="preserve">options </w:t>
        </w:r>
      </w:ins>
      <w:ins w:id="70" w:author="Eutelsat (Rapporteur)" w:date="2021-02-22T01:10:00Z">
        <w:r>
          <w:t xml:space="preserve">to </w:t>
        </w:r>
      </w:ins>
      <w:ins w:id="71" w:author="Eutelsat (Rapporteur)" w:date="2021-02-22T00:56:00Z">
        <w:r w:rsidR="003E3008" w:rsidRPr="00B923D6">
          <w:t>update the broadcast TAC</w:t>
        </w:r>
      </w:ins>
      <w:ins w:id="72" w:author="Eutelsat (Rapporteur)" w:date="2021-02-22T01:10:00Z">
        <w:r>
          <w:t xml:space="preserve"> </w:t>
        </w:r>
      </w:ins>
      <w:ins w:id="73" w:author="Eutelsat (Rapporteur)" w:date="2021-02-22T01:11:00Z">
        <w:r>
          <w:t xml:space="preserve">for IoT NTN </w:t>
        </w:r>
      </w:ins>
      <w:ins w:id="74" w:author="Eutelsat (Rapporteur)" w:date="2021-02-22T01:10:00Z">
        <w:r>
          <w:t>are described as follows</w:t>
        </w:r>
      </w:ins>
      <w:ins w:id="75" w:author="Eutelsat (Rapporteur)" w:date="2021-02-22T00:56:00Z">
        <w:r w:rsidR="003E3008" w:rsidRPr="00B923D6">
          <w:t>:</w:t>
        </w:r>
      </w:ins>
    </w:p>
    <w:p w14:paraId="3C717291" w14:textId="616D31D8" w:rsidR="00D8531A" w:rsidRDefault="00D8531A" w:rsidP="003E3008">
      <w:pPr>
        <w:pStyle w:val="B1"/>
        <w:rPr>
          <w:ins w:id="76" w:author="Eutelsat (Rapporteur)" w:date="2021-02-22T00:58:00Z"/>
          <w:b/>
          <w:bCs/>
        </w:rPr>
      </w:pPr>
      <w:ins w:id="77" w:author="Eutelsat (Rapporteur)" w:date="2021-02-22T00:58:00Z">
        <w:r>
          <w:rPr>
            <w:b/>
            <w:bCs/>
          </w:rPr>
          <w:t>(1)</w:t>
        </w:r>
        <w:r>
          <w:rPr>
            <w:b/>
            <w:bCs/>
          </w:rPr>
          <w:tab/>
        </w:r>
      </w:ins>
      <w:ins w:id="78" w:author="Eutelsat (Rapporteur)" w:date="2021-02-22T00:56:00Z">
        <w:r w:rsidR="003E3008" w:rsidRPr="003E3008">
          <w:rPr>
            <w:b/>
            <w:bCs/>
          </w:rPr>
          <w:t>"</w:t>
        </w:r>
      </w:ins>
      <w:ins w:id="79" w:author="Eutelsat (Rapporteur)" w:date="2021-02-23T19:21:00Z">
        <w:r w:rsidR="00C10FB1">
          <w:rPr>
            <w:b/>
            <w:bCs/>
          </w:rPr>
          <w:t>H</w:t>
        </w:r>
      </w:ins>
      <w:ins w:id="80"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81" w:author="Eutelsat (Rapporteur)" w:date="2021-02-22T00:56:00Z"/>
        </w:rPr>
      </w:pPr>
      <w:ins w:id="82" w:author="Eutelsat (Rapporteur)" w:date="2021-02-22T00:58:00Z">
        <w:r>
          <w:t>O</w:t>
        </w:r>
      </w:ins>
      <w:ins w:id="83" w:author="Eutelsat (Rapporteur)" w:date="2021-02-22T00:56:00Z">
        <w:r w:rsidR="003E3008" w:rsidRPr="00B923D6">
          <w:t>ne cell broadcast only one TAC per PLMN. The new TAC replaces the old TAC and there may be some fluctuation at the border area. As shown in Figure 7.3.1.1-</w:t>
        </w:r>
      </w:ins>
      <w:ins w:id="84" w:author="Eutelsat (Rapporteur)" w:date="2021-02-22T01:07:00Z">
        <w:r>
          <w:t>4</w:t>
        </w:r>
      </w:ins>
      <w:ins w:id="85" w:author="Eutelsat (Rapporteur)" w:date="2021-02-22T00:56:00Z">
        <w:r w:rsidR="003E3008" w:rsidRPr="00B923D6">
          <w:t>, the UE will see its TAC changing like TAC-2</w:t>
        </w:r>
      </w:ins>
      <w:ins w:id="86" w:author="Eutelsat (Rapporteur)" w:date="2021-02-22T01:07:00Z">
        <w:r>
          <w:t xml:space="preserve"> </w:t>
        </w:r>
      </w:ins>
      <w:ins w:id="87" w:author="Eutelsat (Rapporteur)" w:date="2021-02-22T00:56:00Z">
        <w:r w:rsidR="003E3008" w:rsidRPr="00B923D6">
          <w:t>-&gt; TAC-1</w:t>
        </w:r>
      </w:ins>
      <w:ins w:id="88" w:author="Eutelsat (Rapporteur)" w:date="2021-02-22T01:07:00Z">
        <w:r>
          <w:t xml:space="preserve"> </w:t>
        </w:r>
      </w:ins>
      <w:ins w:id="89" w:author="Eutelsat (Rapporteur)" w:date="2021-02-22T00:56:00Z">
        <w:r w:rsidR="003E3008" w:rsidRPr="00B923D6">
          <w:t>-&gt; TAC-2 from T1 to T3.</w:t>
        </w:r>
      </w:ins>
    </w:p>
    <w:p w14:paraId="3977385B" w14:textId="77777777" w:rsidR="003E3008" w:rsidRPr="00450CE8" w:rsidRDefault="003E3008" w:rsidP="003E3008">
      <w:pPr>
        <w:pStyle w:val="TH"/>
        <w:rPr>
          <w:ins w:id="90" w:author="Eutelsat (Rapporteur)" w:date="2021-02-22T00:56:00Z"/>
        </w:rPr>
      </w:pPr>
      <w:ins w:id="91" w:author="Eutelsat (Rapporteur)" w:date="2021-02-22T00:56:00Z">
        <w:r w:rsidRPr="00450CE8">
          <w:object w:dxaOrig="6492" w:dyaOrig="3312" w14:anchorId="36F9C7E6">
            <v:shape id="_x0000_i1026" type="#_x0000_t75" style="width:322.55pt;height:166.45pt" o:ole="">
              <v:imagedata r:id="rId21" o:title=""/>
              <o:lock v:ext="edit" aspectratio="f"/>
            </v:shape>
            <o:OLEObject Type="Embed" ProgID="Visio.Drawing.11" ShapeID="_x0000_i1026" DrawAspect="Content" ObjectID="_1675772117" r:id="rId22"/>
          </w:object>
        </w:r>
      </w:ins>
    </w:p>
    <w:p w14:paraId="2DB9C696" w14:textId="7651C257" w:rsidR="003E3008" w:rsidRPr="00A90872" w:rsidRDefault="003E3008" w:rsidP="003E3008">
      <w:pPr>
        <w:pStyle w:val="TF"/>
        <w:rPr>
          <w:ins w:id="92" w:author="Eutelsat (Rapporteur)" w:date="2021-02-22T00:56:00Z"/>
          <w:lang w:eastAsia="zh-CN"/>
        </w:rPr>
      </w:pPr>
      <w:ins w:id="93" w:author="Eutelsat (Rapporteur)" w:date="2021-02-22T00:56:00Z">
        <w:r w:rsidRPr="00A90872">
          <w:rPr>
            <w:lang w:eastAsia="zh-CN"/>
          </w:rPr>
          <w:t xml:space="preserve">Figure </w:t>
        </w:r>
      </w:ins>
      <w:ins w:id="94" w:author="Eutelsat (Rapporteur)" w:date="2021-02-22T01:06:00Z">
        <w:r w:rsidR="00D8531A" w:rsidRPr="00A33D41">
          <w:rPr>
            <w:color w:val="0D0D0D"/>
          </w:rPr>
          <w:t>7.3.1.1-</w:t>
        </w:r>
        <w:r w:rsidR="00D8531A">
          <w:rPr>
            <w:color w:val="0D0D0D"/>
          </w:rPr>
          <w:t>4</w:t>
        </w:r>
      </w:ins>
      <w:ins w:id="95"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96" w:author="Eutelsat (Rapporteur)" w:date="2021-02-22T00:58:00Z"/>
          <w:b/>
          <w:bCs/>
        </w:rPr>
      </w:pPr>
      <w:ins w:id="97" w:author="Eutelsat (Rapporteur)" w:date="2021-02-22T00:58:00Z">
        <w:r w:rsidRPr="00D8531A">
          <w:rPr>
            <w:b/>
            <w:bCs/>
          </w:rPr>
          <w:t>(2)</w:t>
        </w:r>
        <w:r w:rsidRPr="00D8531A">
          <w:rPr>
            <w:b/>
            <w:bCs/>
          </w:rPr>
          <w:tab/>
        </w:r>
      </w:ins>
      <w:ins w:id="98" w:author="Eutelsat (Rapporteur)" w:date="2021-02-22T00:56:00Z">
        <w:r w:rsidR="003E3008" w:rsidRPr="00D8531A">
          <w:rPr>
            <w:b/>
            <w:bCs/>
          </w:rPr>
          <w:t>"</w:t>
        </w:r>
      </w:ins>
      <w:ins w:id="99" w:author="Eutelsat (Rapporteur)" w:date="2021-02-23T19:21:00Z">
        <w:r w:rsidR="00C10FB1">
          <w:rPr>
            <w:b/>
            <w:bCs/>
          </w:rPr>
          <w:t>S</w:t>
        </w:r>
      </w:ins>
      <w:ins w:id="100"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101" w:author="Eutelsat (Rapporteur)" w:date="2021-02-22T00:56:00Z"/>
        </w:rPr>
      </w:pPr>
      <w:ins w:id="102" w:author="Eutelsat (Rapporteur)" w:date="2021-02-22T01:06:00Z">
        <w:r>
          <w:t>O</w:t>
        </w:r>
      </w:ins>
      <w:ins w:id="103"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104" w:author="Eutelsat (Rapporteur)" w:date="2021-02-23T20:45:00Z">
        <w:r w:rsidR="00B13D0A">
          <w:t xml:space="preserve">one </w:t>
        </w:r>
      </w:ins>
      <w:ins w:id="105" w:author="Eutelsat (Rapporteur)" w:date="2021-02-22T00:56:00Z">
        <w:r w:rsidR="003E3008" w:rsidRPr="00B923D6">
          <w:t xml:space="preserve">and removes the old </w:t>
        </w:r>
      </w:ins>
      <w:ins w:id="106" w:author="Eutelsat (Rapporteur)" w:date="2021-02-22T01:08:00Z">
        <w:r>
          <w:t xml:space="preserve">TAC </w:t>
        </w:r>
      </w:ins>
      <w:ins w:id="107" w:author="Eutelsat (Rapporteur)" w:date="2021-02-22T00:56:00Z">
        <w:r w:rsidR="003E3008" w:rsidRPr="00B923D6">
          <w:t>a bit later. If there is a chain of T</w:t>
        </w:r>
      </w:ins>
      <w:ins w:id="108" w:author="Eutelsat (Rapporteur)" w:date="2021-02-22T01:08:00Z">
        <w:r w:rsidR="004A6254">
          <w:t xml:space="preserve">racking </w:t>
        </w:r>
      </w:ins>
      <w:ins w:id="109" w:author="Eutelsat (Rapporteur)" w:date="2021-02-22T00:56:00Z">
        <w:r w:rsidR="003E3008" w:rsidRPr="00B923D6">
          <w:t>A</w:t>
        </w:r>
      </w:ins>
      <w:ins w:id="110" w:author="Eutelsat (Rapporteur)" w:date="2021-02-22T01:08:00Z">
        <w:r w:rsidR="004A6254">
          <w:t>rea</w:t>
        </w:r>
      </w:ins>
      <w:ins w:id="111" w:author="Eutelsat (Rapporteur)" w:date="2021-02-22T00:56:00Z">
        <w:r w:rsidR="003E3008" w:rsidRPr="00B923D6">
          <w:t xml:space="preserve">s, the TA list adds one TA more and removes one old </w:t>
        </w:r>
      </w:ins>
      <w:ins w:id="112" w:author="Eutelsat (Rapporteur)" w:date="2021-02-23T20:45:00Z">
        <w:r w:rsidR="00B13D0A">
          <w:t xml:space="preserve">TAC </w:t>
        </w:r>
      </w:ins>
      <w:ins w:id="113"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CBB6E8" w:rsidR="003E3008" w:rsidRPr="00B923D6" w:rsidRDefault="003E3008" w:rsidP="003E3008">
      <w:pPr>
        <w:rPr>
          <w:ins w:id="114" w:author="Eutelsat (Rapporteur)" w:date="2021-02-22T00:56:00Z"/>
        </w:rPr>
      </w:pPr>
      <w:ins w:id="115" w:author="Eutelsat (Rapporteur)" w:date="2021-02-22T00:56:00Z">
        <w:r w:rsidRPr="00B923D6">
          <w:t>In some area</w:t>
        </w:r>
      </w:ins>
      <w:ins w:id="116" w:author="Eutelsat (Rapporteur)" w:date="2021-02-23T20:46:00Z">
        <w:r w:rsidR="00B13D0A">
          <w:t>s</w:t>
        </w:r>
      </w:ins>
      <w:ins w:id="117" w:author="Eutelsat (Rapporteur)" w:date="2021-02-22T00:56:00Z">
        <w:r w:rsidRPr="00B923D6">
          <w:t xml:space="preserve">, the gNB may not be able to provide NTN service and thus </w:t>
        </w:r>
      </w:ins>
      <w:ins w:id="118" w:author="Eutelsat (Rapporteur)" w:date="2021-02-23T20:47:00Z">
        <w:r w:rsidR="00B13D0A">
          <w:t xml:space="preserve">does </w:t>
        </w:r>
      </w:ins>
      <w:ins w:id="119" w:author="Eutelsat (Rapporteur)" w:date="2021-02-22T00:56:00Z">
        <w:r w:rsidRPr="00B923D6">
          <w:t>not broadcast TAC(s).</w:t>
        </w:r>
      </w:ins>
    </w:p>
    <w:p w14:paraId="1338D74F" w14:textId="75C0F1D8" w:rsidR="00D8531A" w:rsidRPr="002C48BF" w:rsidRDefault="00D8531A" w:rsidP="00D8531A">
      <w:pPr>
        <w:pStyle w:val="EditorsNote"/>
      </w:pPr>
      <w:r w:rsidRPr="002C48BF">
        <w:t xml:space="preserve">Editor’s Note: </w:t>
      </w:r>
      <w:del w:id="120"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121" w:author="Eutelsat (Rapporteur)" w:date="2021-02-22T01:13:00Z">
        <w:r w:rsidRPr="002C48BF" w:rsidDel="004A6254">
          <w:delText>The same solution as NR-NTN can be reused for IoT-NTN, if applicable.</w:delText>
        </w:r>
      </w:del>
      <w:ins w:id="122" w:author="Eutelsat (Rapporteur)" w:date="2021-02-22T01:13:00Z">
        <w:r w:rsidR="004A6254" w:rsidRPr="004A6254">
          <w:t xml:space="preserve"> RAN2 will wait for progress in NR-NTN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123" w:author="Eutelsat (Rapporteur)" w:date="2021-02-21T21:42:00Z">
        <w:r>
          <w:rPr>
            <w:rFonts w:eastAsia="Malgun Gothic"/>
          </w:rPr>
          <w:t xml:space="preserve">Satellite assistance (e.g. </w:t>
        </w:r>
      </w:ins>
      <w:r w:rsidR="00FC58DF" w:rsidRPr="00A33D41">
        <w:rPr>
          <w:rFonts w:eastAsia="Malgun Gothic"/>
        </w:rPr>
        <w:t>Ephemeris information</w:t>
      </w:r>
      <w:ins w:id="124" w:author="Eutelsat (Rapporteur)" w:date="2021-02-21T21:42:00Z">
        <w:r>
          <w:rPr>
            <w:rFonts w:eastAsia="Malgun Gothic"/>
          </w:rPr>
          <w:t>)</w:t>
        </w:r>
      </w:ins>
      <w:r w:rsidR="00FC58DF" w:rsidRPr="00A33D41">
        <w:rPr>
          <w:rFonts w:eastAsia="Malgun Gothic"/>
        </w:rPr>
        <w:t xml:space="preserve"> and UE location information can be used to help UEs </w:t>
      </w:r>
      <w:ins w:id="125"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77777777" w:rsidR="00FC58DF" w:rsidRPr="002C48BF" w:rsidRDefault="00FC58DF" w:rsidP="002C48BF">
      <w:pPr>
        <w:pStyle w:val="EditorsNote"/>
      </w:pPr>
      <w:r w:rsidRPr="002C48BF">
        <w:t>Editor’s Note: Provisioning of satellite ephemeris data and other information using System Information (SI) message for IoT-NTN is FFS.</w:t>
      </w:r>
    </w:p>
    <w:p w14:paraId="681E515B" w14:textId="32626EEC" w:rsidR="00740AF0" w:rsidRPr="002C48BF" w:rsidRDefault="00740AF0" w:rsidP="00740AF0">
      <w:pPr>
        <w:pStyle w:val="EditorsNote"/>
        <w:rPr>
          <w:ins w:id="126" w:author="Eutelsat (Rapporteur)" w:date="2021-02-21T21:40:00Z"/>
        </w:rPr>
      </w:pPr>
      <w:ins w:id="127"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4"/>
        <w:numPr>
          <w:ilvl w:val="0"/>
          <w:numId w:val="0"/>
        </w:numPr>
      </w:pPr>
      <w:r w:rsidRPr="00A33D41">
        <w:t>7.3.1.3</w:t>
      </w:r>
      <w:r w:rsidRPr="00A33D41">
        <w:tab/>
        <w:t xml:space="preserve">Enhancements to UE </w:t>
      </w:r>
      <w:ins w:id="128" w:author="Eutelsat (Rapporteur)" w:date="2021-02-21T21:35:00Z">
        <w:r w:rsidR="006D2E5A">
          <w:t xml:space="preserve">Idle mode </w:t>
        </w:r>
      </w:ins>
      <w:r w:rsidRPr="00A33D41">
        <w:t>mobility</w:t>
      </w:r>
      <w:del w:id="129" w:author="Eutelsat (Rapporteur)" w:date="2021-02-21T21:39:00Z">
        <w:r w:rsidRPr="00A33D41" w:rsidDel="00740AF0">
          <w:delText xml:space="preserve"> procedure</w:delText>
        </w:r>
      </w:del>
    </w:p>
    <w:p w14:paraId="545B7141" w14:textId="274A7454" w:rsidR="00FC58DF" w:rsidRPr="00A33D41" w:rsidRDefault="00FC58DF" w:rsidP="00FC58DF">
      <w:pPr>
        <w:rPr>
          <w:rFonts w:eastAsia="Malgun Gothic"/>
        </w:rPr>
      </w:pPr>
      <w:r w:rsidRPr="00A33D41">
        <w:rPr>
          <w:rFonts w:eastAsia="Malgun Gothic"/>
        </w:rPr>
        <w:t xml:space="preserve">Cell selection/reselection </w:t>
      </w:r>
      <w:ins w:id="130" w:author="Eutelsat (Rapporteur)" w:date="2021-02-21T21:31:00Z">
        <w:r w:rsidR="006D2E5A">
          <w:rPr>
            <w:rFonts w:eastAsia="Malgun Gothic"/>
          </w:rPr>
          <w:t xml:space="preserve">mechanisms specified </w:t>
        </w:r>
      </w:ins>
      <w:r w:rsidRPr="00A33D41">
        <w:rPr>
          <w:rFonts w:eastAsia="Malgun Gothic"/>
        </w:rPr>
        <w:t xml:space="preserve">for </w:t>
      </w:r>
      <w:del w:id="131" w:author="Eutelsat (Rapporteur)" w:date="2021-02-21T21:32:00Z">
        <w:r w:rsidRPr="00A33D41" w:rsidDel="006D2E5A">
          <w:rPr>
            <w:rFonts w:eastAsia="Malgun Gothic"/>
          </w:rPr>
          <w:delText xml:space="preserve">NR-NTN can </w:delText>
        </w:r>
      </w:del>
      <w:ins w:id="132"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133" w:author="Eutelsat (Rapporteur)" w:date="2021-02-21T21:34:00Z">
        <w:r w:rsidR="006D2E5A">
          <w:rPr>
            <w:rFonts w:eastAsia="Malgun Gothic"/>
          </w:rPr>
          <w:t xml:space="preserve">[11] </w:t>
        </w:r>
      </w:ins>
      <w:ins w:id="134" w:author="Eutelsat (Rapporteur)" w:date="2021-02-21T21:32:00Z">
        <w:r w:rsidR="006D2E5A">
          <w:rPr>
            <w:lang w:eastAsia="zh-CN"/>
          </w:rPr>
          <w:t xml:space="preserve">will </w:t>
        </w:r>
      </w:ins>
      <w:r w:rsidRPr="00A33D41">
        <w:rPr>
          <w:rFonts w:eastAsia="Malgun Gothic"/>
        </w:rPr>
        <w:t>be reused as a baseline</w:t>
      </w:r>
      <w:ins w:id="135"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136" w:author="Eutelsat (Rapporteur)" w:date="2021-02-21T21:34:00Z">
        <w:r w:rsidR="006D2E5A" w:rsidRPr="006D2E5A">
          <w:rPr>
            <w:lang w:eastAsia="zh-CN"/>
          </w:rPr>
          <w:t xml:space="preserve"> </w:t>
        </w:r>
        <w:r w:rsidR="006D2E5A">
          <w:rPr>
            <w:lang w:eastAsia="zh-CN"/>
          </w:rPr>
          <w:t>will be considered if applicable to IoT-NTN</w:t>
        </w:r>
      </w:ins>
      <w:r w:rsidRPr="00A33D41">
        <w:rPr>
          <w:rFonts w:eastAsia="Malgun Gothic"/>
        </w:rPr>
        <w:t>.</w:t>
      </w:r>
    </w:p>
    <w:p w14:paraId="5314BEE7" w14:textId="7AA0E794" w:rsidR="00FC58DF" w:rsidRPr="002C48BF" w:rsidDel="00C10FB1" w:rsidRDefault="00FC58DF" w:rsidP="002C48BF">
      <w:pPr>
        <w:pStyle w:val="EditorsNote"/>
        <w:rPr>
          <w:del w:id="137" w:author="Eutelsat (Rapporteur)" w:date="2021-02-23T19:21:00Z"/>
        </w:rPr>
      </w:pPr>
      <w:del w:id="138"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3"/>
        <w:numPr>
          <w:ilvl w:val="0"/>
          <w:numId w:val="0"/>
        </w:numPr>
      </w:pPr>
      <w:bookmarkStart w:id="139" w:name="_Toc64555813"/>
      <w:r w:rsidRPr="00A33D41">
        <w:lastRenderedPageBreak/>
        <w:t>7.3.2</w:t>
      </w:r>
      <w:r w:rsidRPr="00A33D41">
        <w:tab/>
        <w:t>Connected mode mobility enhancements</w:t>
      </w:r>
      <w:bookmarkEnd w:id="139"/>
    </w:p>
    <w:p w14:paraId="3880F1D2" w14:textId="50C3D9BC" w:rsidR="00740AF0" w:rsidRPr="00A33D41" w:rsidRDefault="00740AF0" w:rsidP="00740AF0">
      <w:pPr>
        <w:pStyle w:val="4"/>
        <w:numPr>
          <w:ilvl w:val="0"/>
          <w:numId w:val="0"/>
        </w:numPr>
        <w:rPr>
          <w:ins w:id="140" w:author="Eutelsat (Rapporteur)" w:date="2021-02-21T21:37:00Z"/>
        </w:rPr>
      </w:pPr>
      <w:ins w:id="141" w:author="Eutelsat (Rapporteur)" w:date="2021-02-21T21:37:00Z">
        <w:r w:rsidRPr="00A33D41">
          <w:t>7.3.2.1</w:t>
        </w:r>
        <w:r w:rsidRPr="00A33D41">
          <w:tab/>
        </w:r>
      </w:ins>
      <w:ins w:id="142" w:author="Eutelsat (Rapporteur)" w:date="2021-02-21T21:38:00Z">
        <w:r>
          <w:t>General</w:t>
        </w:r>
      </w:ins>
    </w:p>
    <w:p w14:paraId="1DE5A972" w14:textId="77777777" w:rsidR="00FC58DF" w:rsidRPr="00A33D41" w:rsidRDefault="00FC58DF" w:rsidP="00FC58DF">
      <w:r w:rsidRPr="00A33D41">
        <w:t>Similar to NR-NTN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4"/>
        <w:numPr>
          <w:ilvl w:val="0"/>
          <w:numId w:val="0"/>
        </w:numPr>
      </w:pPr>
      <w:r w:rsidRPr="00A33D41">
        <w:t>7.3.2.</w:t>
      </w:r>
      <w:ins w:id="143" w:author="Eutelsat (Rapporteur)" w:date="2021-02-21T21:38:00Z">
        <w:r w:rsidR="00740AF0">
          <w:t>2</w:t>
        </w:r>
      </w:ins>
      <w:del w:id="144"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145" w:author="Eutelsat (Rapporteur)" w:date="2021-02-21T21:16:00Z">
        <w:r>
          <w:t xml:space="preserve">Rel-16 RLF-based NB-IoT mobility </w:t>
        </w:r>
      </w:ins>
      <w:ins w:id="146" w:author="Eutelsat (Rapporteur)" w:date="2021-02-21T21:17:00Z">
        <w:r>
          <w:t xml:space="preserve">is used </w:t>
        </w:r>
      </w:ins>
      <w:ins w:id="147" w:author="Eutelsat (Rapporteur)" w:date="2021-02-21T21:16:00Z">
        <w:r>
          <w:t xml:space="preserve">as a baseline for mobility in NB-IoT over NTN. </w:t>
        </w:r>
      </w:ins>
      <w:ins w:id="148" w:author="Eutelsat (Rapporteur)" w:date="2021-02-21T21:15:00Z">
        <w:r w:rsidRPr="00206D01">
          <w:t>Rel-17 RLF enhancements in NB-IoT can be considered in NB-I</w:t>
        </w:r>
      </w:ins>
      <w:ins w:id="149" w:author="Eutelsat (Rapporteur)" w:date="2021-02-21T21:16:00Z">
        <w:r>
          <w:t>o</w:t>
        </w:r>
      </w:ins>
      <w:ins w:id="150" w:author="Eutelsat (Rapporteur)" w:date="2021-02-21T21:15:00Z">
        <w:r w:rsidRPr="00206D01">
          <w:t xml:space="preserve">T </w:t>
        </w:r>
      </w:ins>
      <w:ins w:id="151" w:author="Eutelsat (Rapporteur)" w:date="2021-02-21T21:16:00Z">
        <w:r>
          <w:t xml:space="preserve">over </w:t>
        </w:r>
      </w:ins>
      <w:ins w:id="152"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4"/>
        <w:numPr>
          <w:ilvl w:val="0"/>
          <w:numId w:val="0"/>
        </w:numPr>
      </w:pPr>
      <w:r w:rsidRPr="00A33D41">
        <w:t>7.3.2.</w:t>
      </w:r>
      <w:ins w:id="153" w:author="Eutelsat (Rapporteur)" w:date="2021-02-21T21:38:00Z">
        <w:r w:rsidR="00740AF0">
          <w:t>3</w:t>
        </w:r>
      </w:ins>
      <w:del w:id="154"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in NTN</w:t>
      </w:r>
    </w:p>
    <w:p w14:paraId="30F39D9A" w14:textId="77777777" w:rsidR="00FC58DF" w:rsidRPr="00A33D41" w:rsidRDefault="00FC58DF" w:rsidP="00FC58DF">
      <w:r w:rsidRPr="00A33D41">
        <w:t xml:space="preserve">Challenges in connected mode mobility for </w:t>
      </w:r>
      <w:proofErr w:type="spellStart"/>
      <w:r w:rsidRPr="00A33D41">
        <w:t>eMTC</w:t>
      </w:r>
      <w:proofErr w:type="spellEnd"/>
      <w:r w:rsidRPr="00A33D41">
        <w:t xml:space="preserve"> based NTN are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155" w:author="Eutelsat (Rapporteur)" w:date="2021-02-20T01:42:00Z"/>
          <w:color w:val="0D0D0D"/>
        </w:rPr>
      </w:pPr>
      <w:ins w:id="156"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157" w:author="Eutelsat (Rapporteur)" w:date="2021-02-20T01:42:00Z"/>
        </w:rPr>
      </w:pPr>
      <w:ins w:id="158" w:author="Eutelsat (Rapporteur)" w:date="2021-02-20T01:42:00Z">
        <w:r>
          <w:t>-</w:t>
        </w:r>
        <w:r>
          <w:tab/>
        </w:r>
        <w:r w:rsidRPr="00DC2359">
          <w:t>The existing measurement framework for CHO (e.g. measurement configuration, execution) is the baseline</w:t>
        </w:r>
        <w:r>
          <w:t>.</w:t>
        </w:r>
      </w:ins>
    </w:p>
    <w:p w14:paraId="1F6750D9" w14:textId="77777777" w:rsidR="00EF7D75" w:rsidRPr="00DC2359" w:rsidRDefault="00EF7D75" w:rsidP="00EF7D75">
      <w:pPr>
        <w:pStyle w:val="B1"/>
        <w:rPr>
          <w:ins w:id="159" w:author="Eutelsat (Rapporteur)" w:date="2021-02-20T01:42:00Z"/>
        </w:rPr>
      </w:pPr>
      <w:ins w:id="160"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161" w:author="Eutelsat (Rapporteur)" w:date="2021-02-20T01:42:00Z"/>
        </w:rPr>
      </w:pPr>
      <w:ins w:id="162"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163" w:author="Eutelsat (Rapporteur)" w:date="2021-02-20T01:42:00Z"/>
        </w:rPr>
      </w:pPr>
      <w:ins w:id="164" w:author="Eutelsat (Rapporteur)" w:date="2021-02-20T01:42:00Z">
        <w:r>
          <w:t>NOTE 1:</w:t>
        </w:r>
        <w:r>
          <w:tab/>
        </w:r>
      </w:ins>
      <w:ins w:id="165" w:author="Eutelsat (Rapporteur)" w:date="2021-02-21T20:47:00Z">
        <w:r w:rsidR="0071162A" w:rsidRPr="00DC2359">
          <w:t>CHO</w:t>
        </w:r>
        <w:r w:rsidR="0071162A">
          <w:t xml:space="preserve"> for</w:t>
        </w:r>
      </w:ins>
      <w:ins w:id="166" w:author="Eutelsat (Rapporteur)" w:date="2021-02-21T20:43:00Z">
        <w:r w:rsidR="0071162A">
          <w:t xml:space="preserve"> </w:t>
        </w:r>
      </w:ins>
      <w:ins w:id="167" w:author="Eutelsat (Rapporteur)" w:date="2021-02-21T20:44:00Z">
        <w:r w:rsidR="0071162A">
          <w:t>IoT NTN</w:t>
        </w:r>
        <w:r w:rsidR="0071162A" w:rsidRPr="00DC2359">
          <w:t xml:space="preserve"> </w:t>
        </w:r>
      </w:ins>
      <w:ins w:id="168" w:author="Eutelsat (Rapporteur)" w:date="2021-02-21T20:47:00Z">
        <w:r w:rsidR="0071162A">
          <w:t xml:space="preserve">does not apply </w:t>
        </w:r>
      </w:ins>
      <w:ins w:id="169" w:author="Eutelsat (Rapporteur)" w:date="2021-02-21T20:44:00Z">
        <w:r w:rsidR="0071162A">
          <w:t>for E-UTRA connected to 5GC</w:t>
        </w:r>
      </w:ins>
      <w:ins w:id="170" w:author="Eutelsat (Rapporteur)" w:date="2021-02-21T20:48:00Z">
        <w:r w:rsidR="0071162A">
          <w:t xml:space="preserve"> (</w:t>
        </w:r>
      </w:ins>
      <w:ins w:id="171" w:author="Eutelsat (Rapporteur)" w:date="2021-02-21T20:47:00Z">
        <w:r w:rsidR="0071162A">
          <w:t xml:space="preserve">a similar </w:t>
        </w:r>
      </w:ins>
      <w:ins w:id="172" w:author="Eutelsat (Rapporteur)" w:date="2021-02-21T20:43:00Z">
        <w:r w:rsidR="0071162A">
          <w:t>limitation appl</w:t>
        </w:r>
      </w:ins>
      <w:ins w:id="173" w:author="Eutelsat (Rapporteur)" w:date="2021-02-21T20:48:00Z">
        <w:r w:rsidR="0071162A">
          <w:t>ies</w:t>
        </w:r>
      </w:ins>
      <w:ins w:id="174" w:author="Eutelsat (Rapporteur)" w:date="2021-02-21T20:43:00Z">
        <w:r w:rsidR="0071162A">
          <w:t xml:space="preserve"> </w:t>
        </w:r>
      </w:ins>
      <w:ins w:id="175" w:author="Eutelsat (Rapporteur)" w:date="2021-02-21T20:48:00Z">
        <w:r w:rsidR="0071162A">
          <w:t xml:space="preserve">in </w:t>
        </w:r>
      </w:ins>
      <w:ins w:id="176" w:author="Eutelsat (Rapporteur)" w:date="2021-02-20T01:42:00Z">
        <w:r>
          <w:t>Rel-16</w:t>
        </w:r>
      </w:ins>
      <w:ins w:id="177" w:author="Eutelsat (Rapporteur)" w:date="2021-02-23T14:01:00Z">
        <w:r w:rsidR="00F429E6">
          <w:t>)</w:t>
        </w:r>
      </w:ins>
      <w:ins w:id="178" w:author="Eutelsat (Rapporteur)" w:date="2021-02-20T01:42:00Z">
        <w:r w:rsidRPr="00DC2359">
          <w:t>.</w:t>
        </w:r>
      </w:ins>
    </w:p>
    <w:p w14:paraId="0CF1DDB0" w14:textId="784E160E" w:rsidR="00FC58DF" w:rsidRPr="00FC58DF" w:rsidDel="00C10FB1" w:rsidRDefault="00FC58DF" w:rsidP="00FC58DF">
      <w:pPr>
        <w:pStyle w:val="EditorsNote"/>
        <w:rPr>
          <w:del w:id="179" w:author="Eutelsat (Rapporteur)" w:date="2021-02-23T19:22:00Z"/>
        </w:rPr>
      </w:pPr>
      <w:del w:id="180"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181" w:author="Eutelsat (Rapporteur)" w:date="2021-02-22T01:23:00Z"/>
        </w:rPr>
      </w:pPr>
    </w:p>
    <w:p w14:paraId="597DFEBF" w14:textId="4B749BE7" w:rsidR="00133970" w:rsidRDefault="00133970" w:rsidP="00133970">
      <w:pPr>
        <w:pStyle w:val="3"/>
        <w:numPr>
          <w:ilvl w:val="0"/>
          <w:numId w:val="0"/>
        </w:numPr>
        <w:rPr>
          <w:ins w:id="182" w:author="Eutelsat (Rapporteur)" w:date="2021-02-22T01:25:00Z"/>
        </w:rPr>
      </w:pPr>
      <w:ins w:id="183" w:author="Eutelsat (Rapporteur)" w:date="2021-02-22T01:23:00Z">
        <w:r w:rsidRPr="00A33D41">
          <w:t>7.3.</w:t>
        </w:r>
      </w:ins>
      <w:ins w:id="184" w:author="Eutelsat (Rapporteur)" w:date="2021-02-22T01:24:00Z">
        <w:r>
          <w:t>3</w:t>
        </w:r>
      </w:ins>
      <w:ins w:id="185" w:author="Eutelsat (Rapporteur)" w:date="2021-02-22T01:23:00Z">
        <w:r w:rsidRPr="00A33D41">
          <w:tab/>
        </w:r>
      </w:ins>
      <w:ins w:id="186" w:author="Eutelsat (Rapporteur)" w:date="2021-02-22T01:24:00Z">
        <w:r w:rsidRPr="00B923D6">
          <w:t>Paging Capacity</w:t>
        </w:r>
      </w:ins>
    </w:p>
    <w:p w14:paraId="538DCEC6" w14:textId="09079ECA" w:rsidR="00133970" w:rsidRPr="00133970" w:rsidRDefault="00133970" w:rsidP="00743DBF">
      <w:pPr>
        <w:rPr>
          <w:ins w:id="187" w:author="Eutelsat (Rapporteur)" w:date="2021-02-22T01:23:00Z"/>
        </w:rPr>
      </w:pPr>
      <w:ins w:id="188" w:author="Eutelsat (Rapporteur)" w:date="2021-02-22T01:25:00Z">
        <w:r>
          <w:rPr>
            <w:lang w:eastAsia="zh-CN"/>
          </w:rPr>
          <w:t xml:space="preserve">The paging capacity and the impact on the size of the Tracking Area </w:t>
        </w:r>
      </w:ins>
      <w:ins w:id="189" w:author="Eutelsat (Rapporteur)" w:date="2021-02-22T01:26:00Z">
        <w:r>
          <w:rPr>
            <w:lang w:eastAsia="zh-CN"/>
          </w:rPr>
          <w:t>are</w:t>
        </w:r>
      </w:ins>
      <w:ins w:id="190" w:author="Eutelsat (Rapporteur)" w:date="2021-02-22T01:25:00Z">
        <w:r>
          <w:rPr>
            <w:lang w:eastAsia="zh-CN"/>
          </w:rPr>
          <w:t xml:space="preserve"> evaluated considering the target IoT NTN device density captured in </w:t>
        </w:r>
      </w:ins>
      <w:ins w:id="191" w:author="Eutelsat (Rapporteur)" w:date="2021-02-22T01:26:00Z">
        <w:r>
          <w:rPr>
            <w:lang w:eastAsia="zh-CN"/>
          </w:rPr>
          <w:t>Annex B.</w:t>
        </w:r>
      </w:ins>
      <w:ins w:id="192" w:author="Eutelsat (Rapporteur)" w:date="2021-02-22T01:31:00Z">
        <w:r>
          <w:rPr>
            <w:lang w:eastAsia="zh-CN"/>
          </w:rPr>
          <w:t>2</w:t>
        </w:r>
      </w:ins>
      <w:ins w:id="193" w:author="Eutelsat (Rapporteur)" w:date="2021-02-22T01:26:00Z">
        <w:r>
          <w:rPr>
            <w:lang w:eastAsia="zh-CN"/>
          </w:rPr>
          <w:t>.</w:t>
        </w:r>
      </w:ins>
    </w:p>
    <w:p w14:paraId="211FB095" w14:textId="0E32291D" w:rsidR="00133970" w:rsidRPr="00FC58DF" w:rsidRDefault="00133970" w:rsidP="00133970">
      <w:pPr>
        <w:pStyle w:val="EditorsNote"/>
        <w:rPr>
          <w:ins w:id="194" w:author="Eutelsat (Rapporteur)" w:date="2021-02-22T01:24:00Z"/>
        </w:rPr>
      </w:pPr>
      <w:ins w:id="195" w:author="Eutelsat (Rapporteur)" w:date="2021-02-22T01:24:00Z">
        <w:r w:rsidRPr="00FC58DF">
          <w:t xml:space="preserve">Editor’s Note: </w:t>
        </w:r>
      </w:ins>
      <w:ins w:id="196" w:author="Eutelsat (Rapporteur)" w:date="2021-02-22T01:25:00Z">
        <w:r w:rsidRPr="00133970">
          <w:t>Paging capacity is evaluated using the methodology captured in TR 38.821 as the baseline</w:t>
        </w:r>
      </w:ins>
      <w:ins w:id="197"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8"/>
    <w:bookmarkEnd w:id="39"/>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w:t>
      </w:r>
      <w:proofErr w:type="spellStart"/>
      <w:r w:rsidR="00BD515F" w:rsidRPr="004162CD">
        <w:rPr>
          <w:rFonts w:eastAsia="宋体"/>
          <w:color w:val="0D0D0D" w:themeColor="text1" w:themeTint="F2"/>
        </w:rPr>
        <w:t>eMTC</w:t>
      </w:r>
      <w:proofErr w:type="spellEnd"/>
      <w:r w:rsidR="00BD515F" w:rsidRPr="004162CD">
        <w:rPr>
          <w:rFonts w:eastAsia="宋体"/>
          <w:color w:val="0D0D0D" w:themeColor="text1" w:themeTint="F2"/>
        </w:rPr>
        <w:t>)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9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198"/>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19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199"/>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Lenovo" w:date="2021-02-25T15:12:00Z" w:initials="Lenovo">
    <w:p w14:paraId="7770FB58" w14:textId="6A4FF425" w:rsidR="00252569" w:rsidRPr="00252569" w:rsidRDefault="00252569">
      <w:pPr>
        <w:pStyle w:val="af6"/>
        <w:rPr>
          <w:rFonts w:eastAsiaTheme="minorEastAsia" w:hint="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af5"/>
        </w:rPr>
        <w:annotationRef/>
      </w:r>
    </w:p>
  </w:comment>
  <w:comment w:id="46" w:author="OPPO" w:date="2021-02-24T11:38:00Z" w:initials="8">
    <w:p w14:paraId="0EE6F7AB" w14:textId="2A551AED" w:rsidR="00335072" w:rsidRDefault="00335072">
      <w:pPr>
        <w:pStyle w:val="af6"/>
      </w:pPr>
      <w:r>
        <w:rPr>
          <w:rStyle w:val="af5"/>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47" w:author="OPPO" w:date="2021-02-24T11:40:00Z" w:initials="8">
    <w:p w14:paraId="156C0142" w14:textId="7BE3085F" w:rsidR="00335072" w:rsidRPr="00335072" w:rsidRDefault="00335072">
      <w:pPr>
        <w:pStyle w:val="af6"/>
        <w:rPr>
          <w:rFonts w:eastAsiaTheme="minorEastAsia"/>
          <w:lang w:eastAsia="zh-CN"/>
        </w:rPr>
      </w:pPr>
      <w:r>
        <w:rPr>
          <w:rStyle w:val="af5"/>
        </w:rPr>
        <w:annotationRef/>
      </w:r>
      <w:r w:rsidR="001B6B23">
        <w:rPr>
          <w:rFonts w:eastAsiaTheme="minorEastAsia"/>
          <w:lang w:eastAsia="zh-CN"/>
        </w:rPr>
        <w:t>Since t</w:t>
      </w:r>
      <w:r>
        <w:rPr>
          <w:rFonts w:eastAsiaTheme="minorEastAsia"/>
          <w:lang w:eastAsia="zh-CN"/>
        </w:rPr>
        <w:t xml:space="preserve">he value range of </w:t>
      </w:r>
      <w:proofErr w:type="spellStart"/>
      <w:r w:rsidRPr="00A33D41">
        <w:rPr>
          <w:i/>
          <w:lang w:eastAsia="ja-JP"/>
        </w:rPr>
        <w:t>sr-ProhibitTimer</w:t>
      </w:r>
      <w:proofErr w:type="spellEnd"/>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51" w:author="OPPO" w:date="2021-02-24T11:47:00Z" w:initials="8">
    <w:p w14:paraId="66AB6FAD" w14:textId="2763C5FC" w:rsidR="008D0E97" w:rsidRDefault="008D0E97">
      <w:pPr>
        <w:pStyle w:val="af6"/>
        <w:rPr>
          <w:rFonts w:eastAsiaTheme="minorEastAsia"/>
          <w:lang w:eastAsia="zh-CN"/>
        </w:rPr>
      </w:pPr>
      <w:r>
        <w:rPr>
          <w:rStyle w:val="af5"/>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af6"/>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70FB58" w15:done="0"/>
  <w15:commentEx w15:paraId="0EE6F7AB" w15:done="0"/>
  <w15:commentEx w15:paraId="156C0142" w15:done="0"/>
  <w15:commentEx w15:paraId="17249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CC2" w16cex:dateUtc="2021-02-25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70FB58" w16cid:durableId="23E23CC2"/>
  <w16cid:commentId w16cid:paraId="0EE6F7AB" w16cid:durableId="23E23CAA"/>
  <w16cid:commentId w16cid:paraId="156C0142" w16cid:durableId="23E23CAB"/>
  <w16cid:commentId w16cid:paraId="172494B8" w16cid:durableId="23E23C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9903" w14:textId="77777777" w:rsidR="002D67AB" w:rsidRDefault="002D67AB">
      <w:r>
        <w:separator/>
      </w:r>
    </w:p>
  </w:endnote>
  <w:endnote w:type="continuationSeparator" w:id="0">
    <w:p w14:paraId="6587F193" w14:textId="77777777" w:rsidR="002D67AB" w:rsidRDefault="002D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82AD" w14:textId="77777777" w:rsidR="002D67AB" w:rsidRDefault="002D67AB">
      <w:r>
        <w:separator/>
      </w:r>
    </w:p>
  </w:footnote>
  <w:footnote w:type="continuationSeparator" w:id="0">
    <w:p w14:paraId="6DB436D6" w14:textId="77777777" w:rsidR="002D67AB" w:rsidRDefault="002D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sat (Rapporteur)">
    <w15:presenceInfo w15:providerId="None" w15:userId="Intelsat (Rapporteur)"/>
  </w15:person>
  <w15:person w15:author="Eutelsat (Rapporteur)">
    <w15:presenceInfo w15:providerId="None" w15:userId="Eutelsat (Rapporteur)"/>
  </w15:person>
  <w15:person w15:author="Lenovo">
    <w15:presenceInfo w15:providerId="None" w15:userId="Leno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163F"/>
    <w:rsid w:val="008C166B"/>
    <w:rsid w:val="008C1BED"/>
    <w:rsid w:val="008C2A5D"/>
    <w:rsid w:val="008C3442"/>
    <w:rsid w:val="008C3932"/>
    <w:rsid w:val="008C409A"/>
    <w:rsid w:val="008C60E9"/>
    <w:rsid w:val="008D0537"/>
    <w:rsid w:val="008D0E97"/>
    <w:rsid w:val="008D170D"/>
    <w:rsid w:val="008D3F4C"/>
    <w:rsid w:val="008D455D"/>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4069C"/>
    <w:rsid w:val="00F415BB"/>
    <w:rsid w:val="00F429E6"/>
    <w:rsid w:val="00F42F41"/>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5BF"/>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0"/>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0"/>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862C5C"/>
    <w:pPr>
      <w:numPr>
        <w:ilvl w:val="3"/>
      </w:numPr>
      <w:outlineLvl w:val="3"/>
    </w:pPr>
    <w:rPr>
      <w:sz w:val="24"/>
    </w:rPr>
  </w:style>
  <w:style w:type="paragraph" w:styleId="5">
    <w:name w:val="heading 5"/>
    <w:aliases w:val="h5,Heading5,H5,5,mh2,Module heading 2"/>
    <w:basedOn w:val="4"/>
    <w:next w:val="a"/>
    <w:link w:val="50"/>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ind w:left="1134" w:hanging="1134"/>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a"/>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E55BF"/>
    <w:pPr>
      <w:spacing w:after="0"/>
    </w:pPr>
    <w:rPr>
      <w:rFonts w:ascii="Tahoma" w:hAnsi="Tahoma"/>
      <w:szCs w:val="16"/>
    </w:rPr>
  </w:style>
  <w:style w:type="character" w:customStyle="1" w:styleId="af9">
    <w:name w:val="批注框文本 字符"/>
    <w:link w:val="af8"/>
    <w:rsid w:val="009E55BF"/>
    <w:rPr>
      <w:rFonts w:ascii="Tahoma" w:hAnsi="Tahoma"/>
      <w:szCs w:val="16"/>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T2 字符,l2 字符,I2 字符"/>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eastAsia="Times New Roman" w:hAnsi="Arial"/>
      <w:sz w:val="24"/>
      <w:lang w:val="en-GB"/>
    </w:rPr>
  </w:style>
  <w:style w:type="paragraph" w:styleId="afa">
    <w:name w:val="List Paragraph"/>
    <w:aliases w:val="- Bullets,Lista1,?? ??,?????,????,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3"/>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50">
    <w:name w:val="标题 5 字符"/>
    <w:aliases w:val="h5 字符,Heading5 字符,H5 字符,5 字符,mh2 字符,Module heading 2 字符"/>
    <w:basedOn w:val="a0"/>
    <w:link w:val="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7BA20-E988-435C-96A5-CF16CDB1DF3C}">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12</Pages>
  <Words>3765</Words>
  <Characters>21463</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Lenovo</cp:lastModifiedBy>
  <cp:revision>6</cp:revision>
  <cp:lastPrinted>2017-11-03T15:53:00Z</cp:lastPrinted>
  <dcterms:created xsi:type="dcterms:W3CDTF">2021-02-24T03:26:00Z</dcterms:created>
  <dcterms:modified xsi:type="dcterms:W3CDTF">2021-02-25T07:15:00Z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