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7128DD0" w:rsidR="00362A6B" w:rsidRPr="000E7D1B" w:rsidRDefault="00BD1DEA" w:rsidP="00C470E1">
      <w:pPr>
        <w:pStyle w:val="a8"/>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8"/>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宋体"/>
          <w:lang w:val="en-US"/>
        </w:rPr>
      </w:pPr>
      <w:r w:rsidRPr="000E7D1B">
        <w:rPr>
          <w:rFonts w:eastAsia="宋体"/>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65pt;height:247.8pt;mso-width-percent:0;mso-height-percent:0;mso-width-percent:0;mso-height-percent:0" o:ole="">
            <v:imagedata r:id="rId11" o:title=""/>
          </v:shape>
          <o:OLEObject Type="Embed" ProgID="Mscgen.Chart" ShapeID="_x0000_i1025" DrawAspect="Content" ObjectID="_1662962617" r:id="rId12"/>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8"/>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8"/>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5239FA" w:rsidRPr="000E7D1B" w14:paraId="3477A6F5" w14:textId="6B900C3F" w:rsidTr="00CE61BA">
        <w:tc>
          <w:tcPr>
            <w:tcW w:w="1587" w:type="dxa"/>
            <w:shd w:val="clear" w:color="auto" w:fill="auto"/>
          </w:tcPr>
          <w:p w14:paraId="7DC604C5" w14:textId="77777777" w:rsidR="005239FA" w:rsidRPr="000E7D1B" w:rsidRDefault="005239FA" w:rsidP="0000439C">
            <w:pPr>
              <w:jc w:val="left"/>
            </w:pPr>
          </w:p>
        </w:tc>
        <w:tc>
          <w:tcPr>
            <w:tcW w:w="4238" w:type="dxa"/>
            <w:shd w:val="clear" w:color="auto" w:fill="auto"/>
          </w:tcPr>
          <w:p w14:paraId="30B1EA56" w14:textId="77777777" w:rsidR="005239FA" w:rsidRPr="000E7D1B" w:rsidRDefault="005239FA" w:rsidP="0000439C">
            <w:pPr>
              <w:jc w:val="left"/>
            </w:pPr>
          </w:p>
        </w:tc>
        <w:tc>
          <w:tcPr>
            <w:tcW w:w="3804" w:type="dxa"/>
          </w:tcPr>
          <w:p w14:paraId="2E2D7950" w14:textId="77777777" w:rsidR="001C77C2" w:rsidRPr="000E7D1B" w:rsidRDefault="001C77C2" w:rsidP="0000439C">
            <w:pPr>
              <w:jc w:val="left"/>
            </w:pPr>
          </w:p>
        </w:tc>
      </w:tr>
      <w:tr w:rsidR="005239FA" w:rsidRPr="000E7D1B" w14:paraId="73778976" w14:textId="02461A01" w:rsidTr="00CE61BA">
        <w:tc>
          <w:tcPr>
            <w:tcW w:w="1587" w:type="dxa"/>
            <w:shd w:val="clear" w:color="auto" w:fill="auto"/>
          </w:tcPr>
          <w:p w14:paraId="3E1E7DCB" w14:textId="77777777" w:rsidR="005239FA" w:rsidRPr="000E7D1B" w:rsidRDefault="005239FA" w:rsidP="0000439C">
            <w:pPr>
              <w:jc w:val="left"/>
            </w:pPr>
          </w:p>
        </w:tc>
        <w:tc>
          <w:tcPr>
            <w:tcW w:w="4238" w:type="dxa"/>
            <w:shd w:val="clear" w:color="auto" w:fill="auto"/>
          </w:tcPr>
          <w:p w14:paraId="32CCBCE6" w14:textId="77777777" w:rsidR="005239FA" w:rsidRPr="000E7D1B" w:rsidRDefault="005239FA" w:rsidP="0000439C">
            <w:pPr>
              <w:jc w:val="left"/>
            </w:pPr>
          </w:p>
        </w:tc>
        <w:tc>
          <w:tcPr>
            <w:tcW w:w="3804" w:type="dxa"/>
          </w:tcPr>
          <w:p w14:paraId="5CAE3739" w14:textId="77777777" w:rsidR="001C77C2" w:rsidRPr="000E7D1B" w:rsidRDefault="001C77C2" w:rsidP="0000439C">
            <w:pPr>
              <w:jc w:val="left"/>
            </w:pPr>
          </w:p>
        </w:tc>
      </w:tr>
      <w:tr w:rsidR="005239FA" w:rsidRPr="000E7D1B" w14:paraId="00135266" w14:textId="639AA7E3" w:rsidTr="00CE61BA">
        <w:tc>
          <w:tcPr>
            <w:tcW w:w="1587" w:type="dxa"/>
            <w:shd w:val="clear" w:color="auto" w:fill="auto"/>
          </w:tcPr>
          <w:p w14:paraId="136DE0A4" w14:textId="77777777" w:rsidR="005239FA" w:rsidRPr="000E7D1B" w:rsidRDefault="005239FA" w:rsidP="0000439C">
            <w:pPr>
              <w:jc w:val="left"/>
            </w:pPr>
          </w:p>
        </w:tc>
        <w:tc>
          <w:tcPr>
            <w:tcW w:w="4238" w:type="dxa"/>
            <w:shd w:val="clear" w:color="auto" w:fill="auto"/>
          </w:tcPr>
          <w:p w14:paraId="794FA900" w14:textId="77777777" w:rsidR="005239FA" w:rsidRPr="000E7D1B" w:rsidRDefault="005239FA" w:rsidP="0000439C">
            <w:pPr>
              <w:jc w:val="left"/>
            </w:pPr>
          </w:p>
        </w:tc>
        <w:tc>
          <w:tcPr>
            <w:tcW w:w="3804" w:type="dxa"/>
          </w:tcPr>
          <w:p w14:paraId="63EF3547" w14:textId="77777777" w:rsidR="001C77C2" w:rsidRPr="000E7D1B" w:rsidRDefault="001C77C2" w:rsidP="0000439C">
            <w:pPr>
              <w:jc w:val="left"/>
            </w:pP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af8"/>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af8"/>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8"/>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8"/>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8"/>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af8"/>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8"/>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af8"/>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8"/>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85048B" w:rsidRPr="000E7D1B" w14:paraId="124859DB" w14:textId="77777777" w:rsidTr="007B7873">
        <w:tc>
          <w:tcPr>
            <w:tcW w:w="1587" w:type="dxa"/>
            <w:shd w:val="clear" w:color="auto" w:fill="auto"/>
          </w:tcPr>
          <w:p w14:paraId="277EE73D" w14:textId="77777777" w:rsidR="0085048B" w:rsidRPr="000E7D1B" w:rsidRDefault="0085048B" w:rsidP="007B7873">
            <w:pPr>
              <w:jc w:val="left"/>
            </w:pPr>
          </w:p>
        </w:tc>
        <w:tc>
          <w:tcPr>
            <w:tcW w:w="4238" w:type="dxa"/>
            <w:shd w:val="clear" w:color="auto" w:fill="auto"/>
          </w:tcPr>
          <w:p w14:paraId="4A79D9F0" w14:textId="77777777" w:rsidR="0085048B" w:rsidRPr="000E7D1B" w:rsidRDefault="0085048B" w:rsidP="007B7873">
            <w:pPr>
              <w:jc w:val="left"/>
            </w:pPr>
          </w:p>
        </w:tc>
        <w:tc>
          <w:tcPr>
            <w:tcW w:w="3804" w:type="dxa"/>
          </w:tcPr>
          <w:p w14:paraId="3FAAB0AB" w14:textId="77777777" w:rsidR="0085048B" w:rsidRPr="000E7D1B" w:rsidRDefault="0085048B" w:rsidP="007B7873">
            <w:pPr>
              <w:jc w:val="left"/>
            </w:pPr>
          </w:p>
        </w:tc>
      </w:tr>
      <w:tr w:rsidR="0085048B" w:rsidRPr="000E7D1B" w14:paraId="68C5A9F0" w14:textId="77777777" w:rsidTr="007B7873">
        <w:tc>
          <w:tcPr>
            <w:tcW w:w="1587" w:type="dxa"/>
            <w:shd w:val="clear" w:color="auto" w:fill="auto"/>
          </w:tcPr>
          <w:p w14:paraId="7CABCFD7" w14:textId="77777777" w:rsidR="0085048B" w:rsidRPr="000E7D1B" w:rsidRDefault="0085048B" w:rsidP="007B7873">
            <w:pPr>
              <w:jc w:val="left"/>
            </w:pPr>
          </w:p>
        </w:tc>
        <w:tc>
          <w:tcPr>
            <w:tcW w:w="4238" w:type="dxa"/>
            <w:shd w:val="clear" w:color="auto" w:fill="auto"/>
          </w:tcPr>
          <w:p w14:paraId="66516E87" w14:textId="77777777" w:rsidR="0085048B" w:rsidRPr="000E7D1B" w:rsidRDefault="0085048B" w:rsidP="007B7873">
            <w:pPr>
              <w:jc w:val="left"/>
            </w:pPr>
          </w:p>
        </w:tc>
        <w:tc>
          <w:tcPr>
            <w:tcW w:w="3804" w:type="dxa"/>
          </w:tcPr>
          <w:p w14:paraId="5D0A21F5" w14:textId="77777777" w:rsidR="0085048B" w:rsidRPr="000E7D1B" w:rsidRDefault="0085048B" w:rsidP="007B7873">
            <w:pPr>
              <w:jc w:val="left"/>
            </w:pPr>
          </w:p>
        </w:tc>
      </w:tr>
      <w:tr w:rsidR="0085048B" w:rsidRPr="000E7D1B" w14:paraId="424A9669" w14:textId="77777777" w:rsidTr="007B7873">
        <w:tc>
          <w:tcPr>
            <w:tcW w:w="1587" w:type="dxa"/>
            <w:shd w:val="clear" w:color="auto" w:fill="auto"/>
          </w:tcPr>
          <w:p w14:paraId="021558A6" w14:textId="77777777" w:rsidR="0085048B" w:rsidRPr="000E7D1B" w:rsidRDefault="0085048B" w:rsidP="007B7873">
            <w:pPr>
              <w:jc w:val="left"/>
            </w:pPr>
          </w:p>
        </w:tc>
        <w:tc>
          <w:tcPr>
            <w:tcW w:w="4238" w:type="dxa"/>
            <w:shd w:val="clear" w:color="auto" w:fill="auto"/>
          </w:tcPr>
          <w:p w14:paraId="07F68078" w14:textId="77777777" w:rsidR="0085048B" w:rsidRPr="000E7D1B" w:rsidRDefault="0085048B" w:rsidP="007B7873">
            <w:pPr>
              <w:jc w:val="left"/>
            </w:pPr>
          </w:p>
        </w:tc>
        <w:tc>
          <w:tcPr>
            <w:tcW w:w="3804" w:type="dxa"/>
          </w:tcPr>
          <w:p w14:paraId="16AB3CDD" w14:textId="77777777" w:rsidR="0085048B" w:rsidRPr="000E7D1B" w:rsidRDefault="0085048B" w:rsidP="007B7873">
            <w:pPr>
              <w:jc w:val="left"/>
            </w:pPr>
          </w:p>
        </w:tc>
      </w:tr>
    </w:tbl>
    <w:p w14:paraId="4C419B9D" w14:textId="761F95CA"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EC5792" w:rsidRPr="000E7D1B" w14:paraId="4A039237" w14:textId="77777777" w:rsidTr="005E4376">
        <w:tc>
          <w:tcPr>
            <w:tcW w:w="1587" w:type="dxa"/>
            <w:shd w:val="clear" w:color="auto" w:fill="auto"/>
          </w:tcPr>
          <w:p w14:paraId="47924A2A" w14:textId="77777777" w:rsidR="00EC5792" w:rsidRPr="000E7D1B" w:rsidRDefault="00EC5792" w:rsidP="005E4376">
            <w:pPr>
              <w:jc w:val="left"/>
            </w:pPr>
          </w:p>
        </w:tc>
        <w:tc>
          <w:tcPr>
            <w:tcW w:w="4238" w:type="dxa"/>
            <w:shd w:val="clear" w:color="auto" w:fill="auto"/>
          </w:tcPr>
          <w:p w14:paraId="5233FAF5" w14:textId="77777777" w:rsidR="00EC5792" w:rsidRPr="000E7D1B" w:rsidRDefault="00EC5792" w:rsidP="005E4376">
            <w:pPr>
              <w:jc w:val="left"/>
            </w:pPr>
          </w:p>
        </w:tc>
        <w:tc>
          <w:tcPr>
            <w:tcW w:w="3804" w:type="dxa"/>
          </w:tcPr>
          <w:p w14:paraId="2F2F70B5" w14:textId="77777777" w:rsidR="00EC5792" w:rsidRPr="000E7D1B" w:rsidRDefault="00EC5792" w:rsidP="005E4376">
            <w:pPr>
              <w:jc w:val="left"/>
            </w:pPr>
          </w:p>
        </w:tc>
      </w:tr>
      <w:tr w:rsidR="00EC5792" w:rsidRPr="000E7D1B" w14:paraId="318770AB" w14:textId="77777777" w:rsidTr="005E4376">
        <w:tc>
          <w:tcPr>
            <w:tcW w:w="1587" w:type="dxa"/>
            <w:shd w:val="clear" w:color="auto" w:fill="auto"/>
          </w:tcPr>
          <w:p w14:paraId="060D263E" w14:textId="77777777" w:rsidR="00EC5792" w:rsidRPr="000E7D1B" w:rsidRDefault="00EC5792" w:rsidP="005E4376">
            <w:pPr>
              <w:jc w:val="left"/>
            </w:pPr>
          </w:p>
        </w:tc>
        <w:tc>
          <w:tcPr>
            <w:tcW w:w="4238" w:type="dxa"/>
            <w:shd w:val="clear" w:color="auto" w:fill="auto"/>
          </w:tcPr>
          <w:p w14:paraId="4180DF55" w14:textId="77777777" w:rsidR="00EC5792" w:rsidRPr="000E7D1B" w:rsidRDefault="00EC5792" w:rsidP="005E4376">
            <w:pPr>
              <w:jc w:val="left"/>
            </w:pPr>
          </w:p>
        </w:tc>
        <w:tc>
          <w:tcPr>
            <w:tcW w:w="3804" w:type="dxa"/>
          </w:tcPr>
          <w:p w14:paraId="08048C4F" w14:textId="77777777" w:rsidR="00EC5792" w:rsidRPr="000E7D1B" w:rsidRDefault="00EC5792" w:rsidP="005E4376">
            <w:pPr>
              <w:jc w:val="left"/>
            </w:pPr>
          </w:p>
        </w:tc>
      </w:tr>
      <w:tr w:rsidR="00EC5792" w:rsidRPr="000E7D1B" w14:paraId="3E109C19" w14:textId="77777777" w:rsidTr="005E4376">
        <w:tc>
          <w:tcPr>
            <w:tcW w:w="1587" w:type="dxa"/>
            <w:shd w:val="clear" w:color="auto" w:fill="auto"/>
          </w:tcPr>
          <w:p w14:paraId="33FA0BEA" w14:textId="77777777" w:rsidR="00EC5792" w:rsidRPr="000E7D1B" w:rsidRDefault="00EC5792" w:rsidP="005E4376">
            <w:pPr>
              <w:jc w:val="left"/>
            </w:pPr>
          </w:p>
        </w:tc>
        <w:tc>
          <w:tcPr>
            <w:tcW w:w="4238" w:type="dxa"/>
            <w:shd w:val="clear" w:color="auto" w:fill="auto"/>
          </w:tcPr>
          <w:p w14:paraId="1AA7E7E7" w14:textId="77777777" w:rsidR="00EC5792" w:rsidRPr="000E7D1B" w:rsidRDefault="00EC5792" w:rsidP="005E4376">
            <w:pPr>
              <w:jc w:val="left"/>
            </w:pPr>
          </w:p>
        </w:tc>
        <w:tc>
          <w:tcPr>
            <w:tcW w:w="3804" w:type="dxa"/>
          </w:tcPr>
          <w:p w14:paraId="36783EDE" w14:textId="77777777" w:rsidR="00EC5792" w:rsidRPr="000E7D1B" w:rsidRDefault="00EC5792" w:rsidP="005E4376">
            <w:pPr>
              <w:jc w:val="left"/>
            </w:pP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F01AEB" w:rsidRPr="000E7D1B" w14:paraId="765BE70E" w14:textId="77777777" w:rsidTr="00702F4A">
        <w:tc>
          <w:tcPr>
            <w:tcW w:w="1587" w:type="dxa"/>
            <w:shd w:val="clear" w:color="auto" w:fill="auto"/>
          </w:tcPr>
          <w:p w14:paraId="552FDC1B" w14:textId="77777777" w:rsidR="00F01AEB" w:rsidRPr="000E7D1B" w:rsidRDefault="00F01AEB" w:rsidP="00702F4A">
            <w:pPr>
              <w:jc w:val="left"/>
            </w:pPr>
          </w:p>
        </w:tc>
        <w:tc>
          <w:tcPr>
            <w:tcW w:w="4238" w:type="dxa"/>
            <w:shd w:val="clear" w:color="auto" w:fill="auto"/>
          </w:tcPr>
          <w:p w14:paraId="281BD94B" w14:textId="77777777" w:rsidR="00F01AEB" w:rsidRPr="000E7D1B" w:rsidRDefault="00F01AEB" w:rsidP="00702F4A">
            <w:pPr>
              <w:jc w:val="left"/>
            </w:pPr>
          </w:p>
        </w:tc>
        <w:tc>
          <w:tcPr>
            <w:tcW w:w="3804" w:type="dxa"/>
          </w:tcPr>
          <w:p w14:paraId="4F6BD1C9" w14:textId="77777777" w:rsidR="00F01AEB" w:rsidRPr="000E7D1B" w:rsidRDefault="00F01AEB" w:rsidP="00702F4A">
            <w:pPr>
              <w:jc w:val="left"/>
            </w:pPr>
          </w:p>
        </w:tc>
      </w:tr>
      <w:tr w:rsidR="00F01AEB" w:rsidRPr="000E7D1B" w14:paraId="4AF0C4FE" w14:textId="77777777" w:rsidTr="00702F4A">
        <w:tc>
          <w:tcPr>
            <w:tcW w:w="1587" w:type="dxa"/>
            <w:shd w:val="clear" w:color="auto" w:fill="auto"/>
          </w:tcPr>
          <w:p w14:paraId="3EBBF886" w14:textId="77777777" w:rsidR="00F01AEB" w:rsidRPr="000E7D1B" w:rsidRDefault="00F01AEB" w:rsidP="00702F4A">
            <w:pPr>
              <w:jc w:val="left"/>
            </w:pPr>
          </w:p>
        </w:tc>
        <w:tc>
          <w:tcPr>
            <w:tcW w:w="4238" w:type="dxa"/>
            <w:shd w:val="clear" w:color="auto" w:fill="auto"/>
          </w:tcPr>
          <w:p w14:paraId="4C3A1102" w14:textId="77777777" w:rsidR="00F01AEB" w:rsidRPr="000E7D1B" w:rsidRDefault="00F01AEB" w:rsidP="00702F4A">
            <w:pPr>
              <w:jc w:val="left"/>
            </w:pPr>
          </w:p>
        </w:tc>
        <w:tc>
          <w:tcPr>
            <w:tcW w:w="3804" w:type="dxa"/>
          </w:tcPr>
          <w:p w14:paraId="6AAB5BE1" w14:textId="77777777" w:rsidR="00F01AEB" w:rsidRPr="000E7D1B" w:rsidRDefault="00F01AEB" w:rsidP="00702F4A">
            <w:pPr>
              <w:jc w:val="left"/>
            </w:pPr>
          </w:p>
        </w:tc>
      </w:tr>
      <w:tr w:rsidR="00F01AEB" w:rsidRPr="000E7D1B" w14:paraId="713BD0DB" w14:textId="77777777" w:rsidTr="00702F4A">
        <w:tc>
          <w:tcPr>
            <w:tcW w:w="1587" w:type="dxa"/>
            <w:shd w:val="clear" w:color="auto" w:fill="auto"/>
          </w:tcPr>
          <w:p w14:paraId="11C22097" w14:textId="77777777" w:rsidR="00F01AEB" w:rsidRPr="000E7D1B" w:rsidRDefault="00F01AEB" w:rsidP="00702F4A">
            <w:pPr>
              <w:jc w:val="left"/>
            </w:pPr>
          </w:p>
        </w:tc>
        <w:tc>
          <w:tcPr>
            <w:tcW w:w="4238" w:type="dxa"/>
            <w:shd w:val="clear" w:color="auto" w:fill="auto"/>
          </w:tcPr>
          <w:p w14:paraId="5F68EBF0" w14:textId="77777777" w:rsidR="00F01AEB" w:rsidRPr="000E7D1B" w:rsidRDefault="00F01AEB" w:rsidP="00702F4A">
            <w:pPr>
              <w:jc w:val="left"/>
            </w:pPr>
          </w:p>
        </w:tc>
        <w:tc>
          <w:tcPr>
            <w:tcW w:w="3804" w:type="dxa"/>
          </w:tcPr>
          <w:p w14:paraId="57304109" w14:textId="77777777" w:rsidR="00F01AEB" w:rsidRPr="000E7D1B" w:rsidRDefault="00F01AEB" w:rsidP="00702F4A">
            <w:pPr>
              <w:jc w:val="left"/>
            </w:pP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8"/>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8"/>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8"/>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CF6239" w:rsidRPr="000E7D1B" w14:paraId="6BD7C4D9" w14:textId="77777777" w:rsidTr="00CF6239">
        <w:tc>
          <w:tcPr>
            <w:tcW w:w="1587" w:type="dxa"/>
            <w:shd w:val="clear" w:color="auto" w:fill="auto"/>
          </w:tcPr>
          <w:p w14:paraId="31EC228C" w14:textId="77777777" w:rsidR="00CF6239" w:rsidRPr="000E7D1B" w:rsidRDefault="00CF6239" w:rsidP="00CF6239">
            <w:pPr>
              <w:jc w:val="left"/>
            </w:pPr>
          </w:p>
        </w:tc>
        <w:tc>
          <w:tcPr>
            <w:tcW w:w="4238" w:type="dxa"/>
            <w:shd w:val="clear" w:color="auto" w:fill="auto"/>
          </w:tcPr>
          <w:p w14:paraId="4AF624CF" w14:textId="77777777" w:rsidR="00CF6239" w:rsidRPr="000E7D1B" w:rsidRDefault="00CF6239" w:rsidP="00CF6239">
            <w:pPr>
              <w:jc w:val="left"/>
            </w:pPr>
          </w:p>
        </w:tc>
        <w:tc>
          <w:tcPr>
            <w:tcW w:w="3804" w:type="dxa"/>
          </w:tcPr>
          <w:p w14:paraId="5FEEEBC5" w14:textId="77777777" w:rsidR="00CF6239" w:rsidRPr="000E7D1B" w:rsidRDefault="00CF6239" w:rsidP="00CF6239">
            <w:pPr>
              <w:jc w:val="left"/>
            </w:pPr>
          </w:p>
        </w:tc>
      </w:tr>
      <w:tr w:rsidR="00CF6239" w:rsidRPr="000E7D1B" w14:paraId="741AF37C" w14:textId="77777777" w:rsidTr="00CF6239">
        <w:tc>
          <w:tcPr>
            <w:tcW w:w="1587" w:type="dxa"/>
            <w:shd w:val="clear" w:color="auto" w:fill="auto"/>
          </w:tcPr>
          <w:p w14:paraId="4FA7A255" w14:textId="77777777" w:rsidR="00CF6239" w:rsidRPr="000E7D1B" w:rsidRDefault="00CF6239" w:rsidP="00CF6239">
            <w:pPr>
              <w:jc w:val="left"/>
            </w:pPr>
          </w:p>
        </w:tc>
        <w:tc>
          <w:tcPr>
            <w:tcW w:w="4238" w:type="dxa"/>
            <w:shd w:val="clear" w:color="auto" w:fill="auto"/>
          </w:tcPr>
          <w:p w14:paraId="6D0B6720" w14:textId="77777777" w:rsidR="00CF6239" w:rsidRPr="000E7D1B" w:rsidRDefault="00CF6239" w:rsidP="00CF6239">
            <w:pPr>
              <w:jc w:val="left"/>
            </w:pPr>
          </w:p>
        </w:tc>
        <w:tc>
          <w:tcPr>
            <w:tcW w:w="3804" w:type="dxa"/>
          </w:tcPr>
          <w:p w14:paraId="69802511" w14:textId="77777777" w:rsidR="00CF6239" w:rsidRPr="000E7D1B" w:rsidRDefault="00CF6239" w:rsidP="00CF6239">
            <w:pPr>
              <w:jc w:val="left"/>
            </w:pPr>
          </w:p>
        </w:tc>
      </w:tr>
      <w:tr w:rsidR="00CF6239" w:rsidRPr="000E7D1B" w14:paraId="2C8CF8F7" w14:textId="77777777" w:rsidTr="00CF6239">
        <w:tc>
          <w:tcPr>
            <w:tcW w:w="1587" w:type="dxa"/>
            <w:shd w:val="clear" w:color="auto" w:fill="auto"/>
          </w:tcPr>
          <w:p w14:paraId="48FBD4FB" w14:textId="77777777" w:rsidR="00CF6239" w:rsidRPr="000E7D1B" w:rsidRDefault="00CF6239" w:rsidP="00CF6239">
            <w:pPr>
              <w:jc w:val="left"/>
            </w:pPr>
          </w:p>
        </w:tc>
        <w:tc>
          <w:tcPr>
            <w:tcW w:w="4238" w:type="dxa"/>
            <w:shd w:val="clear" w:color="auto" w:fill="auto"/>
          </w:tcPr>
          <w:p w14:paraId="0026819F" w14:textId="77777777" w:rsidR="00CF6239" w:rsidRPr="000E7D1B" w:rsidRDefault="00CF6239" w:rsidP="00CF6239">
            <w:pPr>
              <w:jc w:val="left"/>
            </w:pPr>
          </w:p>
        </w:tc>
        <w:tc>
          <w:tcPr>
            <w:tcW w:w="3804" w:type="dxa"/>
          </w:tcPr>
          <w:p w14:paraId="60475B78" w14:textId="77777777" w:rsidR="00CF6239" w:rsidRPr="000E7D1B" w:rsidRDefault="00CF6239" w:rsidP="00CF6239">
            <w:pPr>
              <w:jc w:val="left"/>
            </w:pP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8"/>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8"/>
              <w:numPr>
                <w:ilvl w:val="0"/>
                <w:numId w:val="44"/>
              </w:numPr>
            </w:pPr>
            <w:r>
              <w:t>For the case of no anchor rel</w:t>
            </w:r>
            <w:r>
              <w:rPr>
                <w:lang w:val="en-GB"/>
              </w:rPr>
              <w:t>ocation, the PDCP layer will be terminated in the anchor and hence this is no need to transfer the PDCP configuration</w:t>
            </w:r>
          </w:p>
        </w:tc>
      </w:tr>
      <w:tr w:rsidR="00EB32DF" w:rsidRPr="000E7D1B" w14:paraId="4FE79876" w14:textId="77777777" w:rsidTr="00AC0BCF">
        <w:tc>
          <w:tcPr>
            <w:tcW w:w="1587" w:type="dxa"/>
            <w:shd w:val="clear" w:color="auto" w:fill="auto"/>
          </w:tcPr>
          <w:p w14:paraId="4C88B9D5" w14:textId="77777777" w:rsidR="00EB32DF" w:rsidRPr="000E7D1B" w:rsidRDefault="00EB32DF" w:rsidP="00AC0BCF">
            <w:pPr>
              <w:jc w:val="left"/>
            </w:pPr>
          </w:p>
        </w:tc>
        <w:tc>
          <w:tcPr>
            <w:tcW w:w="4238" w:type="dxa"/>
            <w:shd w:val="clear" w:color="auto" w:fill="auto"/>
          </w:tcPr>
          <w:p w14:paraId="344E0AEE" w14:textId="77777777" w:rsidR="00EB32DF" w:rsidRPr="000E7D1B" w:rsidRDefault="00EB32DF" w:rsidP="00AC0BCF">
            <w:pPr>
              <w:jc w:val="left"/>
            </w:pPr>
          </w:p>
        </w:tc>
        <w:tc>
          <w:tcPr>
            <w:tcW w:w="3804" w:type="dxa"/>
          </w:tcPr>
          <w:p w14:paraId="31060B2D" w14:textId="77777777" w:rsidR="00EB32DF" w:rsidRPr="000E7D1B" w:rsidRDefault="00EB32DF" w:rsidP="00AC0BCF">
            <w:pPr>
              <w:jc w:val="left"/>
            </w:pPr>
          </w:p>
        </w:tc>
      </w:tr>
      <w:tr w:rsidR="00EB32DF" w:rsidRPr="000E7D1B" w14:paraId="78E97128" w14:textId="77777777" w:rsidTr="00AC0BCF">
        <w:tc>
          <w:tcPr>
            <w:tcW w:w="1587" w:type="dxa"/>
            <w:shd w:val="clear" w:color="auto" w:fill="auto"/>
          </w:tcPr>
          <w:p w14:paraId="02D0BBEA" w14:textId="77777777" w:rsidR="00EB32DF" w:rsidRPr="000E7D1B" w:rsidRDefault="00EB32DF" w:rsidP="00AC0BCF">
            <w:pPr>
              <w:jc w:val="left"/>
            </w:pPr>
          </w:p>
        </w:tc>
        <w:tc>
          <w:tcPr>
            <w:tcW w:w="4238" w:type="dxa"/>
            <w:shd w:val="clear" w:color="auto" w:fill="auto"/>
          </w:tcPr>
          <w:p w14:paraId="1CC5B9B4" w14:textId="77777777" w:rsidR="00EB32DF" w:rsidRPr="000E7D1B" w:rsidRDefault="00EB32DF" w:rsidP="00AC0BCF">
            <w:pPr>
              <w:jc w:val="left"/>
            </w:pPr>
          </w:p>
        </w:tc>
        <w:tc>
          <w:tcPr>
            <w:tcW w:w="3804" w:type="dxa"/>
          </w:tcPr>
          <w:p w14:paraId="687202FC" w14:textId="77777777" w:rsidR="00EB32DF" w:rsidRPr="000E7D1B" w:rsidRDefault="00EB32DF" w:rsidP="00AC0BCF">
            <w:pPr>
              <w:jc w:val="left"/>
            </w:pPr>
          </w:p>
        </w:tc>
      </w:tr>
      <w:tr w:rsidR="00EB32DF" w:rsidRPr="000E7D1B" w14:paraId="638BB63C" w14:textId="77777777" w:rsidTr="00AC0BCF">
        <w:tc>
          <w:tcPr>
            <w:tcW w:w="1587" w:type="dxa"/>
            <w:shd w:val="clear" w:color="auto" w:fill="auto"/>
          </w:tcPr>
          <w:p w14:paraId="2EA71626" w14:textId="77777777" w:rsidR="00EB32DF" w:rsidRPr="000E7D1B" w:rsidRDefault="00EB32DF" w:rsidP="00AC0BCF">
            <w:pPr>
              <w:jc w:val="left"/>
            </w:pPr>
          </w:p>
        </w:tc>
        <w:tc>
          <w:tcPr>
            <w:tcW w:w="4238" w:type="dxa"/>
            <w:shd w:val="clear" w:color="auto" w:fill="auto"/>
          </w:tcPr>
          <w:p w14:paraId="5B098B24" w14:textId="77777777" w:rsidR="00EB32DF" w:rsidRPr="000E7D1B" w:rsidRDefault="00EB32DF" w:rsidP="00AC0BCF">
            <w:pPr>
              <w:jc w:val="left"/>
            </w:pPr>
          </w:p>
        </w:tc>
        <w:tc>
          <w:tcPr>
            <w:tcW w:w="3804" w:type="dxa"/>
          </w:tcPr>
          <w:p w14:paraId="182BCE08" w14:textId="77777777" w:rsidR="00EB32DF" w:rsidRPr="000E7D1B" w:rsidRDefault="00EB32DF" w:rsidP="00AC0BCF">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327567" w:rsidRPr="000E7D1B" w14:paraId="1E1EDA8E" w14:textId="77777777" w:rsidTr="00AA6D65">
        <w:tc>
          <w:tcPr>
            <w:tcW w:w="1587" w:type="dxa"/>
            <w:shd w:val="clear" w:color="auto" w:fill="auto"/>
          </w:tcPr>
          <w:p w14:paraId="04A9ACF8" w14:textId="77777777" w:rsidR="00327567" w:rsidRPr="000E7D1B" w:rsidRDefault="00327567" w:rsidP="00AA6D65">
            <w:pPr>
              <w:jc w:val="left"/>
            </w:pPr>
          </w:p>
        </w:tc>
        <w:tc>
          <w:tcPr>
            <w:tcW w:w="4238" w:type="dxa"/>
            <w:shd w:val="clear" w:color="auto" w:fill="auto"/>
          </w:tcPr>
          <w:p w14:paraId="7C5D4C01" w14:textId="77777777" w:rsidR="00327567" w:rsidRPr="000E7D1B" w:rsidRDefault="00327567" w:rsidP="00AA6D65">
            <w:pPr>
              <w:jc w:val="left"/>
            </w:pPr>
          </w:p>
        </w:tc>
        <w:tc>
          <w:tcPr>
            <w:tcW w:w="3804" w:type="dxa"/>
          </w:tcPr>
          <w:p w14:paraId="2239CA9E" w14:textId="77777777" w:rsidR="00327567" w:rsidRPr="000E7D1B" w:rsidRDefault="00327567" w:rsidP="00AA6D65">
            <w:pPr>
              <w:jc w:val="left"/>
            </w:pPr>
          </w:p>
        </w:tc>
      </w:tr>
      <w:tr w:rsidR="00327567" w:rsidRPr="000E7D1B" w14:paraId="1263602E" w14:textId="77777777" w:rsidTr="00AA6D65">
        <w:tc>
          <w:tcPr>
            <w:tcW w:w="1587" w:type="dxa"/>
            <w:shd w:val="clear" w:color="auto" w:fill="auto"/>
          </w:tcPr>
          <w:p w14:paraId="20B3342F" w14:textId="77777777" w:rsidR="00327567" w:rsidRPr="000E7D1B" w:rsidRDefault="00327567" w:rsidP="00AA6D65">
            <w:pPr>
              <w:jc w:val="left"/>
            </w:pPr>
            <w:bookmarkStart w:id="3" w:name="_GoBack"/>
            <w:bookmarkEnd w:id="3"/>
          </w:p>
        </w:tc>
        <w:tc>
          <w:tcPr>
            <w:tcW w:w="4238" w:type="dxa"/>
            <w:shd w:val="clear" w:color="auto" w:fill="auto"/>
          </w:tcPr>
          <w:p w14:paraId="15E5A434" w14:textId="77777777" w:rsidR="00327567" w:rsidRPr="000E7D1B" w:rsidRDefault="00327567" w:rsidP="00AA6D65">
            <w:pPr>
              <w:jc w:val="left"/>
            </w:pPr>
          </w:p>
        </w:tc>
        <w:tc>
          <w:tcPr>
            <w:tcW w:w="3804" w:type="dxa"/>
          </w:tcPr>
          <w:p w14:paraId="25D90A0D" w14:textId="77777777" w:rsidR="00327567" w:rsidRPr="000E7D1B" w:rsidRDefault="00327567" w:rsidP="00AA6D65">
            <w:pPr>
              <w:jc w:val="left"/>
            </w:pPr>
          </w:p>
        </w:tc>
      </w:tr>
      <w:tr w:rsidR="00327567" w:rsidRPr="000E7D1B" w14:paraId="465BFB6A" w14:textId="77777777" w:rsidTr="00AA6D65">
        <w:tc>
          <w:tcPr>
            <w:tcW w:w="1587" w:type="dxa"/>
            <w:shd w:val="clear" w:color="auto" w:fill="auto"/>
          </w:tcPr>
          <w:p w14:paraId="096D74D2" w14:textId="77777777" w:rsidR="00327567" w:rsidRPr="000E7D1B" w:rsidRDefault="00327567" w:rsidP="00AA6D65">
            <w:pPr>
              <w:jc w:val="left"/>
            </w:pPr>
          </w:p>
        </w:tc>
        <w:tc>
          <w:tcPr>
            <w:tcW w:w="4238" w:type="dxa"/>
            <w:shd w:val="clear" w:color="auto" w:fill="auto"/>
          </w:tcPr>
          <w:p w14:paraId="472740EE" w14:textId="77777777" w:rsidR="00327567" w:rsidRPr="000E7D1B" w:rsidRDefault="00327567" w:rsidP="00AA6D65">
            <w:pPr>
              <w:jc w:val="left"/>
            </w:pPr>
          </w:p>
        </w:tc>
        <w:tc>
          <w:tcPr>
            <w:tcW w:w="3804" w:type="dxa"/>
          </w:tcPr>
          <w:p w14:paraId="47F2BD7B" w14:textId="77777777" w:rsidR="00327567" w:rsidRPr="000E7D1B" w:rsidRDefault="00327567" w:rsidP="00AA6D65">
            <w:pPr>
              <w:jc w:val="left"/>
            </w:pPr>
          </w:p>
        </w:tc>
      </w:tr>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8"/>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af8"/>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af8"/>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77777777" w:rsidR="007502D8" w:rsidRPr="000E7D1B" w:rsidRDefault="007502D8" w:rsidP="007502D8">
            <w:pPr>
              <w:jc w:val="left"/>
            </w:pPr>
          </w:p>
        </w:tc>
        <w:tc>
          <w:tcPr>
            <w:tcW w:w="8042" w:type="dxa"/>
            <w:shd w:val="clear" w:color="auto" w:fill="auto"/>
          </w:tcPr>
          <w:p w14:paraId="5BB9C4E2" w14:textId="77777777" w:rsidR="007502D8" w:rsidRPr="000E7D1B" w:rsidRDefault="007502D8" w:rsidP="007502D8">
            <w:pPr>
              <w:jc w:val="left"/>
            </w:pP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14:paraId="27FD1355" w14:textId="55E2DDFC" w:rsidR="000E3C78" w:rsidRPr="000E7D1B" w:rsidRDefault="00CB08B0" w:rsidP="000E3C78">
      <w:pPr>
        <w:ind w:left="14"/>
        <w:jc w:val="left"/>
        <w:rPr>
          <w:rFonts w:ascii="Times New Roman" w:hAnsi="Times New Roman"/>
        </w:rPr>
      </w:pPr>
      <w:bookmarkStart w:id="4" w:name="OLE_LINK3"/>
      <w:r>
        <w:rPr>
          <w:rFonts w:ascii="Times New Roman" w:hAnsi="Times New Roman"/>
        </w:rPr>
        <w:t>TBD</w:t>
      </w:r>
    </w:p>
    <w:bookmarkEnd w:id="0"/>
    <w:bookmarkEnd w:id="1"/>
    <w:bookmarkEnd w:id="4"/>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82D7D" w16cid:durableId="231D8C42"/>
  <w16cid:commentId w16cid:paraId="40CC8A5B" w16cid:durableId="231DDB2D"/>
  <w16cid:commentId w16cid:paraId="1C4DC8F9" w16cid:durableId="231DD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B6C4" w14:textId="77777777" w:rsidR="00FF1A17" w:rsidRDefault="00FF1A17" w:rsidP="00796430">
      <w:r>
        <w:separator/>
      </w:r>
    </w:p>
  </w:endnote>
  <w:endnote w:type="continuationSeparator" w:id="0">
    <w:p w14:paraId="52CAFFEE" w14:textId="77777777" w:rsidR="00FF1A17" w:rsidRDefault="00FF1A17" w:rsidP="00796430">
      <w:r>
        <w:continuationSeparator/>
      </w:r>
    </w:p>
  </w:endnote>
  <w:endnote w:type="continuationNotice" w:id="1">
    <w:p w14:paraId="5353DFD9" w14:textId="77777777" w:rsidR="00FF1A17" w:rsidRDefault="00FF1A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5A2F" w14:textId="77777777" w:rsidR="006E34DA" w:rsidRDefault="006E34D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7777777" w:rsidR="009B0160" w:rsidRDefault="009B0160">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32F95">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32F95">
      <w:rPr>
        <w:rStyle w:val="ae"/>
      </w:rPr>
      <w:t>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C643" w14:textId="77777777" w:rsidR="006E34DA" w:rsidRDefault="006E3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64ED" w14:textId="77777777" w:rsidR="00FF1A17" w:rsidRDefault="00FF1A17" w:rsidP="00796430">
      <w:r>
        <w:separator/>
      </w:r>
    </w:p>
  </w:footnote>
  <w:footnote w:type="continuationSeparator" w:id="0">
    <w:p w14:paraId="08E5BA97" w14:textId="77777777" w:rsidR="00FF1A17" w:rsidRDefault="00FF1A17" w:rsidP="00796430">
      <w:r>
        <w:continuationSeparator/>
      </w:r>
    </w:p>
  </w:footnote>
  <w:footnote w:type="continuationNotice" w:id="1">
    <w:p w14:paraId="14F23BB4" w14:textId="77777777" w:rsidR="00FF1A17" w:rsidRDefault="00FF1A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06FA" w14:textId="77777777" w:rsidR="006E34DA" w:rsidRDefault="006E34D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45BA" w14:textId="77777777" w:rsidR="006E34DA" w:rsidRDefault="006E34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9b239327-9e80-40e4-b1b7-4394fed77a33"/>
    <ds:schemaRef ds:uri="http://schemas.microsoft.com/office/2006/documentManagement/types"/>
    <ds:schemaRef ds:uri="2f282d3b-eb4a-4b09-b61f-b9593442e286"/>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767CF-52FA-4C9D-AEE0-974ECADC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7</Pages>
  <Words>2306</Words>
  <Characters>11750</Characters>
  <Application>Microsoft Office Word</Application>
  <DocSecurity>0</DocSecurity>
  <Lines>97</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14028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ZTE_HH</cp:lastModifiedBy>
  <cp:revision>2</cp:revision>
  <cp:lastPrinted>2016-09-20T01:11:00Z</cp:lastPrinted>
  <dcterms:created xsi:type="dcterms:W3CDTF">2020-09-30T01:17:00Z</dcterms:created>
  <dcterms:modified xsi:type="dcterms:W3CDTF">2020-09-30T01:17:00Z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