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302D6" w14:textId="77777777"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1"/>
        <w:rPr>
          <w:snapToGrid w:val="0"/>
        </w:rPr>
      </w:pPr>
      <w:r>
        <w:rPr>
          <w:snapToGrid w:val="0"/>
        </w:rPr>
        <w:t>Overall procedure for RRC-based small data transmission</w:t>
      </w:r>
    </w:p>
    <w:p w14:paraId="28F0A707" w14:textId="77777777" w:rsidR="00D55952" w:rsidRDefault="0072635B">
      <w:pPr>
        <w:pStyle w:val="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14:paraId="50C47FFE" w14:textId="77777777" w:rsidR="00D55952" w:rsidRDefault="00D55952">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r w:rsidR="00804226" w14:paraId="4FAB2F29" w14:textId="77777777" w:rsidTr="00C9097D">
        <w:tc>
          <w:tcPr>
            <w:tcW w:w="1555" w:type="dxa"/>
          </w:tcPr>
          <w:p w14:paraId="52F444EF" w14:textId="13F83558"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77777777" w:rsidR="00804226" w:rsidRDefault="00804226" w:rsidP="007830A9">
            <w:pPr>
              <w:snapToGrid w:val="0"/>
              <w:rPr>
                <w:rFonts w:cs="Arial"/>
                <w:b/>
                <w:bCs/>
                <w:snapToGrid w:val="0"/>
                <w:sz w:val="20"/>
                <w:szCs w:val="20"/>
              </w:rPr>
            </w:pPr>
          </w:p>
        </w:tc>
      </w:tr>
      <w:tr w:rsidR="00FE4166" w14:paraId="5BA6F6BE" w14:textId="77777777" w:rsidTr="00C9097D">
        <w:tc>
          <w:tcPr>
            <w:tcW w:w="1555" w:type="dxa"/>
          </w:tcPr>
          <w:p w14:paraId="0A72FBDC" w14:textId="2F54BDAD" w:rsidR="00FE4166" w:rsidRDefault="00FE4166" w:rsidP="007830A9">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FE4166" w:rsidRPr="00FE4166" w:rsidRDefault="00FE4166" w:rsidP="007830A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77777777" w:rsidR="00FE4166" w:rsidRDefault="00FE4166" w:rsidP="007830A9">
            <w:pPr>
              <w:snapToGrid w:val="0"/>
              <w:rPr>
                <w:rFonts w:cs="Arial"/>
                <w:b/>
                <w:bCs/>
                <w:snapToGrid w:val="0"/>
                <w:sz w:val="20"/>
                <w:szCs w:val="20"/>
              </w:rPr>
            </w:pPr>
          </w:p>
        </w:tc>
      </w:tr>
    </w:tbl>
    <w:p w14:paraId="6D183B9C" w14:textId="77777777" w:rsidR="00D55952" w:rsidRDefault="00D55952">
      <w:pPr>
        <w:pStyle w:val="2"/>
        <w:numPr>
          <w:ilvl w:val="0"/>
          <w:numId w:val="0"/>
        </w:numPr>
        <w:ind w:left="576" w:hanging="576"/>
        <w:rPr>
          <w:snapToGrid w:val="0"/>
          <w:lang w:val="en-GB"/>
        </w:rPr>
      </w:pPr>
    </w:p>
    <w:p w14:paraId="55B3CF6C" w14:textId="77777777" w:rsidR="00C9097D" w:rsidRPr="00C9097D" w:rsidRDefault="00C9097D" w:rsidP="00C9097D">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14:paraId="384B6890"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32BC3FE" w14:textId="77777777"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lastRenderedPageBreak/>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r w:rsidR="00804226" w:rsidRPr="001253CB" w14:paraId="3060A4DA" w14:textId="77777777" w:rsidTr="00C9097D">
        <w:tc>
          <w:tcPr>
            <w:tcW w:w="1555" w:type="dxa"/>
          </w:tcPr>
          <w:p w14:paraId="6BEE7CC8" w14:textId="4DDA3855" w:rsidR="00804226" w:rsidRPr="00804226" w:rsidRDefault="00804226" w:rsidP="007830A9">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gNB to the UE, setting the value of TA timer to enough long value, and so on.</w:t>
            </w:r>
          </w:p>
          <w:tbl>
            <w:tblPr>
              <w:tblStyle w:val="af3"/>
              <w:tblW w:w="0" w:type="auto"/>
              <w:tblLayout w:type="fixed"/>
              <w:tblLook w:val="04A0" w:firstRow="1" w:lastRow="0" w:firstColumn="1" w:lastColumn="0" w:noHBand="0" w:noVBand="1"/>
            </w:tblPr>
            <w:tblGrid>
              <w:gridCol w:w="9271"/>
            </w:tblGrid>
            <w:tr w:rsidR="00804226" w:rsidRPr="00174DBF" w14:paraId="46581B5C" w14:textId="77777777" w:rsidTr="00D93052">
              <w:tc>
                <w:tcPr>
                  <w:tcW w:w="9271" w:type="dxa"/>
                </w:tcPr>
                <w:p w14:paraId="3BF4607E" w14:textId="77777777" w:rsidR="00804226" w:rsidRPr="00FE4166" w:rsidRDefault="00804226" w:rsidP="00804226">
                  <w:pPr>
                    <w:pStyle w:val="B1"/>
                    <w:rPr>
                      <w:noProof/>
                      <w:sz w:val="20"/>
                      <w:szCs w:val="20"/>
                      <w:lang w:val="en-US"/>
                    </w:rPr>
                  </w:pPr>
                  <w:r w:rsidRPr="00FE4166">
                    <w:rPr>
                      <w:noProof/>
                      <w:sz w:val="20"/>
                      <w:szCs w:val="20"/>
                      <w:lang w:val="en-US" w:eastAsia="ko-KR"/>
                    </w:rPr>
                    <w:t>1&gt;</w:t>
                  </w:r>
                  <w:r w:rsidRPr="00FE4166">
                    <w:rPr>
                      <w:noProof/>
                      <w:sz w:val="20"/>
                      <w:szCs w:val="20"/>
                      <w:lang w:val="en-US"/>
                    </w:rPr>
                    <w:tab/>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04226" w:rsidRPr="00FE4166" w:rsidRDefault="00804226" w:rsidP="00804226">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r w:rsidRPr="00FE4166">
                    <w:rPr>
                      <w:i/>
                      <w:iCs/>
                      <w:sz w:val="20"/>
                      <w:szCs w:val="20"/>
                      <w:lang w:val="en-US"/>
                    </w:rPr>
                    <w:t>timeAlignmentTimer</w:t>
                  </w:r>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04226" w:rsidRPr="00FE4166" w:rsidRDefault="00804226" w:rsidP="00804226">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PUCCH for all Serving Cells, if configured;</w:t>
                  </w:r>
                </w:p>
                <w:p w14:paraId="622E35B8"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SRS for all Serving Cells, if configured;</w:t>
                  </w:r>
                </w:p>
                <w:p w14:paraId="21CFC942" w14:textId="77777777" w:rsidR="00804226" w:rsidRPr="00FE4166" w:rsidRDefault="00804226" w:rsidP="00804226">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04226" w:rsidRPr="00FE4166" w:rsidRDefault="00804226" w:rsidP="00804226">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04226" w:rsidRPr="00FE4166" w:rsidRDefault="00804226" w:rsidP="00804226">
                  <w:pPr>
                    <w:pStyle w:val="B3"/>
                    <w:rPr>
                      <w:sz w:val="20"/>
                      <w:szCs w:val="20"/>
                      <w:lang w:val="en-US" w:eastAsia="ko-KR"/>
                    </w:rPr>
                  </w:pPr>
                  <w:r w:rsidRPr="00FE4166">
                    <w:rPr>
                      <w:sz w:val="20"/>
                      <w:szCs w:val="20"/>
                      <w:lang w:val="en-US" w:eastAsia="ko-KR"/>
                    </w:rPr>
                    <w:t>3&gt;</w:t>
                  </w:r>
                  <w:r w:rsidRPr="00FE4166">
                    <w:rPr>
                      <w:sz w:val="20"/>
                      <w:szCs w:val="20"/>
                      <w:lang w:val="en-US"/>
                    </w:rPr>
                    <w:tab/>
                    <w:t xml:space="preserve">consider all running </w:t>
                  </w:r>
                  <w:r w:rsidRPr="00FE4166">
                    <w:rPr>
                      <w:i/>
                      <w:sz w:val="20"/>
                      <w:szCs w:val="20"/>
                      <w:lang w:val="en-US"/>
                    </w:rPr>
                    <w:t>timeAlignmentTimer</w:t>
                  </w:r>
                  <w:r w:rsidRPr="00FE4166">
                    <w:rPr>
                      <w:sz w:val="20"/>
                      <w:szCs w:val="20"/>
                      <w:lang w:val="en-US"/>
                    </w:rPr>
                    <w:t>s as expired;</w:t>
                  </w:r>
                </w:p>
                <w:p w14:paraId="57DCA2A3" w14:textId="77777777" w:rsidR="00804226" w:rsidRPr="00FE4166" w:rsidRDefault="00804226" w:rsidP="00804226">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04226" w:rsidRPr="00804226" w:rsidRDefault="00804226" w:rsidP="007830A9">
            <w:pPr>
              <w:rPr>
                <w:rFonts w:cs="Arial"/>
                <w:snapToGrid w:val="0"/>
                <w:sz w:val="20"/>
                <w:szCs w:val="20"/>
              </w:rPr>
            </w:pPr>
          </w:p>
        </w:tc>
        <w:tc>
          <w:tcPr>
            <w:tcW w:w="4814" w:type="dxa"/>
          </w:tcPr>
          <w:p w14:paraId="2D3A4B1F" w14:textId="77777777" w:rsidR="00804226" w:rsidRDefault="00804226" w:rsidP="007830A9"/>
        </w:tc>
      </w:tr>
      <w:tr w:rsidR="00743678" w:rsidRPr="001253CB" w14:paraId="62EAE106" w14:textId="77777777" w:rsidTr="00C9097D">
        <w:tc>
          <w:tcPr>
            <w:tcW w:w="1555" w:type="dxa"/>
          </w:tcPr>
          <w:p w14:paraId="4ECA815D" w14:textId="67C77BF8" w:rsidR="00743678" w:rsidRDefault="00743678" w:rsidP="007830A9">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743678" w:rsidRPr="00743678" w:rsidRDefault="00743678"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77777777" w:rsidR="00743678" w:rsidRDefault="00743678" w:rsidP="007830A9"/>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D26894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r w:rsidR="00804226" w14:paraId="630D32C0" w14:textId="77777777" w:rsidTr="00C9097D">
        <w:tc>
          <w:tcPr>
            <w:tcW w:w="1555" w:type="dxa"/>
          </w:tcPr>
          <w:p w14:paraId="36718345" w14:textId="314A6594"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77777777" w:rsidR="00804226" w:rsidRDefault="00804226" w:rsidP="007830A9"/>
        </w:tc>
      </w:tr>
      <w:tr w:rsidR="000A363B" w14:paraId="682C690E" w14:textId="77777777" w:rsidTr="00C9097D">
        <w:tc>
          <w:tcPr>
            <w:tcW w:w="1555" w:type="dxa"/>
          </w:tcPr>
          <w:p w14:paraId="118300FA" w14:textId="0F341D6E" w:rsidR="000A363B" w:rsidRPr="000A363B" w:rsidRDefault="000A363B"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0A363B" w:rsidRDefault="000A363B" w:rsidP="007830A9">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77777777" w:rsidR="000A363B" w:rsidRDefault="000A363B" w:rsidP="007830A9"/>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2"/>
        <w:rPr>
          <w:snapToGrid w:val="0"/>
          <w:lang w:val="en-GB"/>
        </w:rPr>
      </w:pPr>
      <w:r>
        <w:rPr>
          <w:snapToGrid w:val="0"/>
          <w:lang w:val="en-GB"/>
        </w:rPr>
        <w:lastRenderedPageBreak/>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lastRenderedPageBreak/>
              <w:t xml:space="preserve">CP: In current resume procedure, DRBs are resumed (together with SRB2, SRB3 if configured) when RRCResume message is received. For SDT, only DRBs configured with SDT should be resumed together with SRB1when RRCResumeRequest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w:t>
            </w:r>
            <w:r w:rsidRPr="007F0240">
              <w:rPr>
                <w:rFonts w:eastAsiaTheme="minorEastAsia" w:cs="Arial"/>
                <w:snapToGrid w:val="0"/>
                <w:sz w:val="20"/>
                <w:szCs w:val="20"/>
                <w:lang w:eastAsia="zh-CN"/>
              </w:rPr>
              <w:lastRenderedPageBreak/>
              <w:t xml:space="preserve">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r w:rsidR="00804226" w14:paraId="62B48878" w14:textId="77777777" w:rsidTr="00C9097D">
        <w:tc>
          <w:tcPr>
            <w:tcW w:w="1555" w:type="dxa"/>
          </w:tcPr>
          <w:p w14:paraId="1043CBA0" w14:textId="771F24B8" w:rsidR="00804226" w:rsidRPr="00804226" w:rsidRDefault="00804226" w:rsidP="00CD4BD2">
            <w:pPr>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4533F124"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lso don’t get why re-establishment is needed. According to the current RRCResumeRequest description in TS38.331, only SRB1 is resumed after PDCP re-establishment for SRB1 the conveying RRCResumeRequest. On top of this, DRBs behaviors need to be discussed.</w:t>
            </w:r>
          </w:p>
          <w:p w14:paraId="13E763E9" w14:textId="74B6CA7E" w:rsidR="00804226" w:rsidRPr="00CD4BD2" w:rsidRDefault="00804226" w:rsidP="0080422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Whether to resume all DRBs or only DRBs configured with DRBs =&gt; Only DRBs configured with SDT. If all DRBs need to be resumed, then the gNB should send RRCResume to incur state transition from INACTIVE to CONNECTED.</w:t>
            </w:r>
            <w:r>
              <w:rPr>
                <w:rFonts w:eastAsia="Yu Mincho" w:cs="Arial"/>
                <w:snapToGrid w:val="0"/>
                <w:sz w:val="20"/>
                <w:szCs w:val="20"/>
                <w:lang w:eastAsia="ja-JP"/>
              </w:rPr>
              <w:br/>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7777777" w:rsidR="00804226" w:rsidRDefault="00804226" w:rsidP="00CD4BD2"/>
        </w:tc>
      </w:tr>
      <w:tr w:rsidR="00CA67B2" w14:paraId="5BBCAD2A" w14:textId="77777777" w:rsidTr="00C9097D">
        <w:tc>
          <w:tcPr>
            <w:tcW w:w="1555" w:type="dxa"/>
          </w:tcPr>
          <w:p w14:paraId="216FAD92" w14:textId="30539A37" w:rsidR="00CA67B2" w:rsidRPr="00CA67B2" w:rsidRDefault="00CA67B2" w:rsidP="00CD4BD2">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CA67B2" w:rsidRPr="00CA67B2" w:rsidRDefault="00CA67B2"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7777777" w:rsidR="00CA67B2" w:rsidRDefault="00CA67B2" w:rsidP="00CD4BD2"/>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CCCH message (i.e. RRCResumeRequest)</w:t>
            </w:r>
          </w:p>
          <w:p w14:paraId="65F55E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af9"/>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w:t>
            </w:r>
            <w:r w:rsidR="00644C24">
              <w:rPr>
                <w:rFonts w:eastAsia="PMingLiU" w:cs="Arial"/>
                <w:snapToGrid w:val="0"/>
                <w:sz w:val="20"/>
                <w:szCs w:val="20"/>
                <w:lang w:eastAsia="zh-TW"/>
              </w:rPr>
              <w:lastRenderedPageBreak/>
              <w:t xml:space="preserve">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 xml:space="preserve">For RRC based, the first UL message must contain the CCCH (RRCResumeRequest)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r w:rsidR="00804226" w14:paraId="6D58741F" w14:textId="77777777" w:rsidTr="00C9097D">
        <w:tc>
          <w:tcPr>
            <w:tcW w:w="1555" w:type="dxa"/>
          </w:tcPr>
          <w:p w14:paraId="0D164A6A" w14:textId="53B400B0"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804226" w:rsidRPr="00CD4BD2" w:rsidRDefault="00804226" w:rsidP="00CD4BD2">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77777777" w:rsidR="00804226" w:rsidRDefault="00804226" w:rsidP="00CD4BD2"/>
        </w:tc>
      </w:tr>
      <w:tr w:rsidR="00CA67B2" w14:paraId="0B73EA2F" w14:textId="77777777" w:rsidTr="00C9097D">
        <w:tc>
          <w:tcPr>
            <w:tcW w:w="1555" w:type="dxa"/>
          </w:tcPr>
          <w:p w14:paraId="2FB466F3" w14:textId="6AC422CE"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 we think MAC CE is only contained if necessary</w:t>
            </w:r>
          </w:p>
        </w:tc>
        <w:tc>
          <w:tcPr>
            <w:tcW w:w="4814" w:type="dxa"/>
          </w:tcPr>
          <w:p w14:paraId="065524DD" w14:textId="77777777" w:rsidR="00CA67B2" w:rsidRDefault="00CA67B2" w:rsidP="00CD4BD2"/>
        </w:tc>
      </w:tr>
    </w:tbl>
    <w:p w14:paraId="6425D55F" w14:textId="77777777" w:rsidR="00D55952" w:rsidRDefault="00D55952">
      <w:pPr>
        <w:rPr>
          <w:sz w:val="20"/>
          <w:szCs w:val="20"/>
          <w:lang w:val="en-GB" w:eastAsia="zh-CN"/>
        </w:rPr>
      </w:pPr>
    </w:p>
    <w:p w14:paraId="1A778C8F" w14:textId="77777777" w:rsidR="00D55952" w:rsidRDefault="0072635B">
      <w:pPr>
        <w:pStyle w:val="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lastRenderedPageBreak/>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r w:rsidR="00804226" w14:paraId="6E965FD7" w14:textId="77777777" w:rsidTr="00C9097D">
        <w:tc>
          <w:tcPr>
            <w:tcW w:w="1555" w:type="dxa"/>
          </w:tcPr>
          <w:p w14:paraId="78415F04" w14:textId="3335CF1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77777777" w:rsidR="00804226" w:rsidRDefault="00804226" w:rsidP="00CD4BD2">
            <w:pPr>
              <w:snapToGrid w:val="0"/>
              <w:rPr>
                <w:rFonts w:cs="Arial"/>
                <w:b/>
                <w:bCs/>
                <w:snapToGrid w:val="0"/>
                <w:sz w:val="20"/>
                <w:szCs w:val="20"/>
              </w:rPr>
            </w:pPr>
          </w:p>
        </w:tc>
      </w:tr>
      <w:tr w:rsidR="0036079F" w14:paraId="14AE88B2" w14:textId="77777777" w:rsidTr="00C9097D">
        <w:tc>
          <w:tcPr>
            <w:tcW w:w="1555" w:type="dxa"/>
          </w:tcPr>
          <w:p w14:paraId="6496C321" w14:textId="1AF6389D"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77777777" w:rsidR="0036079F" w:rsidRDefault="0036079F" w:rsidP="00CD4BD2">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RRCless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r w:rsidR="00804226" w:rsidRPr="00834B91" w14:paraId="2791F543" w14:textId="77777777" w:rsidTr="00C9097D">
        <w:tc>
          <w:tcPr>
            <w:tcW w:w="1555" w:type="dxa"/>
          </w:tcPr>
          <w:p w14:paraId="0FB8F839" w14:textId="560CE256"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77777777" w:rsidR="00804226" w:rsidRDefault="00804226" w:rsidP="00CD4BD2">
            <w:pPr>
              <w:snapToGrid w:val="0"/>
              <w:rPr>
                <w:rFonts w:cs="Arial"/>
                <w:b/>
                <w:bCs/>
                <w:snapToGrid w:val="0"/>
                <w:sz w:val="20"/>
                <w:szCs w:val="20"/>
              </w:rPr>
            </w:pPr>
          </w:p>
        </w:tc>
      </w:tr>
      <w:tr w:rsidR="00A73418" w:rsidRPr="00834B91" w14:paraId="5725F780" w14:textId="77777777" w:rsidTr="00C9097D">
        <w:tc>
          <w:tcPr>
            <w:tcW w:w="1555" w:type="dxa"/>
          </w:tcPr>
          <w:p w14:paraId="63855ED8" w14:textId="291B8535"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E94698D" w14:textId="77CED159"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77777777" w:rsidR="00A73418" w:rsidRDefault="00A73418" w:rsidP="00CD4BD2">
            <w:pPr>
              <w:snapToGrid w:val="0"/>
              <w:rPr>
                <w:rFonts w:cs="Arial"/>
                <w:b/>
                <w:bCs/>
                <w:snapToGrid w:val="0"/>
                <w:sz w:val="20"/>
                <w:szCs w:val="20"/>
              </w:rPr>
            </w:pPr>
          </w:p>
        </w:tc>
      </w:tr>
    </w:tbl>
    <w:p w14:paraId="02462E00" w14:textId="77777777" w:rsidR="00C9097D" w:rsidRDefault="00C9097D" w:rsidP="00C9097D">
      <w:pPr>
        <w:pStyle w:val="2"/>
        <w:numPr>
          <w:ilvl w:val="0"/>
          <w:numId w:val="0"/>
        </w:numPr>
        <w:rPr>
          <w:snapToGrid w:val="0"/>
          <w:lang w:val="en-GB"/>
        </w:rPr>
      </w:pPr>
    </w:p>
    <w:p w14:paraId="595F6FC5" w14:textId="77777777" w:rsidR="00C9097D" w:rsidRPr="00C9097D" w:rsidRDefault="00C9097D" w:rsidP="00C9097D">
      <w:pPr>
        <w:rPr>
          <w:lang w:val="en-GB" w:eastAsia="zh-CN"/>
        </w:rPr>
      </w:pPr>
    </w:p>
    <w:p w14:paraId="3D4FB422" w14:textId="77777777" w:rsidR="00D55952" w:rsidRDefault="0072635B">
      <w:pPr>
        <w:pStyle w:val="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lastRenderedPageBreak/>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1F81685" w14:textId="77777777"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77777777" w:rsidR="00CD4BD2" w:rsidRDefault="00CD4BD2" w:rsidP="00CD4BD2">
            <w:pPr>
              <w:snapToGrid w:val="0"/>
              <w:rPr>
                <w:rFonts w:cs="Arial"/>
                <w:snapToGrid w:val="0"/>
                <w:sz w:val="20"/>
                <w:szCs w:val="20"/>
              </w:rPr>
            </w:pPr>
            <w:r>
              <w:rPr>
                <w:rFonts w:cs="Arial"/>
                <w:snapToGrid w:val="0"/>
                <w:sz w:val="20"/>
                <w:szCs w:val="20"/>
              </w:rPr>
              <w:t xml:space="preserve">Yes -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r w:rsidR="00804226" w14:paraId="027EE0BF" w14:textId="77777777" w:rsidTr="00C9097D">
        <w:tc>
          <w:tcPr>
            <w:tcW w:w="1555" w:type="dxa"/>
          </w:tcPr>
          <w:p w14:paraId="1ABCCEA0" w14:textId="40035B0D"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84F865F" w14:textId="5AD5B85C" w:rsidR="00804226" w:rsidRDefault="00804226" w:rsidP="00CD4BD2">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7DE2D7D4" w14:textId="77777777" w:rsidR="00804226" w:rsidRDefault="00804226" w:rsidP="00CD4BD2">
            <w:pPr>
              <w:snapToGrid w:val="0"/>
              <w:rPr>
                <w:rFonts w:cs="Arial"/>
                <w:b/>
                <w:bCs/>
                <w:snapToGrid w:val="0"/>
                <w:sz w:val="20"/>
                <w:szCs w:val="20"/>
              </w:rPr>
            </w:pPr>
          </w:p>
        </w:tc>
      </w:tr>
      <w:tr w:rsidR="00D93052" w14:paraId="5A5BC69C" w14:textId="77777777" w:rsidTr="00C9097D">
        <w:tc>
          <w:tcPr>
            <w:tcW w:w="1555" w:type="dxa"/>
          </w:tcPr>
          <w:p w14:paraId="67201DA7" w14:textId="25E08275"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6A911191" w14:textId="77777777" w:rsidR="00D93052" w:rsidRDefault="00D93052" w:rsidP="00CD4BD2">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r w:rsidR="00804226" w14:paraId="4B59BE07" w14:textId="77777777" w:rsidTr="00C20B25">
        <w:tc>
          <w:tcPr>
            <w:tcW w:w="1555" w:type="dxa"/>
          </w:tcPr>
          <w:p w14:paraId="65B14E1C" w14:textId="0A1BDFF3"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0582A006" w:rsidR="00804226" w:rsidRDefault="00804226" w:rsidP="00804226">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77777777" w:rsidR="00804226" w:rsidRDefault="00804226" w:rsidP="00804226">
            <w:pPr>
              <w:snapToGrid w:val="0"/>
              <w:rPr>
                <w:rFonts w:cs="Arial"/>
                <w:b/>
                <w:bCs/>
                <w:snapToGrid w:val="0"/>
                <w:sz w:val="20"/>
                <w:szCs w:val="20"/>
              </w:rPr>
            </w:pPr>
          </w:p>
        </w:tc>
      </w:tr>
      <w:tr w:rsidR="00C114F7" w14:paraId="6827BF25" w14:textId="77777777" w:rsidTr="00C20B25">
        <w:tc>
          <w:tcPr>
            <w:tcW w:w="1555" w:type="dxa"/>
          </w:tcPr>
          <w:p w14:paraId="5BCB3A13" w14:textId="06A901EC"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w:t>
            </w:r>
            <w:r w:rsidR="00DC3743">
              <w:rPr>
                <w:rFonts w:eastAsiaTheme="minorEastAsia" w:cs="Arial"/>
                <w:snapToGrid w:val="0"/>
                <w:sz w:val="20"/>
                <w:szCs w:val="20"/>
                <w:lang w:eastAsia="zh-CN"/>
              </w:rPr>
              <w:t xml:space="preserve"> for UE</w:t>
            </w:r>
            <w:r>
              <w:rPr>
                <w:rFonts w:eastAsiaTheme="minorEastAsia" w:cs="Arial"/>
                <w:snapToGrid w:val="0"/>
                <w:sz w:val="20"/>
                <w:szCs w:val="20"/>
                <w:lang w:eastAsia="zh-CN"/>
              </w:rPr>
              <w:t>, RAN2 should firstly confirm this.</w:t>
            </w:r>
          </w:p>
        </w:tc>
        <w:tc>
          <w:tcPr>
            <w:tcW w:w="4814" w:type="dxa"/>
          </w:tcPr>
          <w:p w14:paraId="2B7CA737" w14:textId="77777777" w:rsidR="00C114F7" w:rsidRDefault="00C114F7" w:rsidP="00804226">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r w:rsidR="00804226" w14:paraId="7CADA3D3" w14:textId="77777777" w:rsidTr="00C20B25">
        <w:tc>
          <w:tcPr>
            <w:tcW w:w="1555" w:type="dxa"/>
          </w:tcPr>
          <w:p w14:paraId="21A4C56E" w14:textId="3992A059"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4936E201" w14:textId="285E73DC" w:rsidR="00804226" w:rsidRDefault="00804226" w:rsidP="00804226">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77777777" w:rsidR="00804226" w:rsidRDefault="00804226" w:rsidP="00804226">
            <w:pPr>
              <w:snapToGrid w:val="0"/>
              <w:rPr>
                <w:rFonts w:cs="Arial"/>
                <w:b/>
                <w:bCs/>
                <w:snapToGrid w:val="0"/>
                <w:sz w:val="20"/>
                <w:szCs w:val="20"/>
              </w:rPr>
            </w:pPr>
          </w:p>
        </w:tc>
      </w:tr>
      <w:tr w:rsidR="00DC3743" w14:paraId="78B2A9EA" w14:textId="77777777" w:rsidTr="00C20B25">
        <w:tc>
          <w:tcPr>
            <w:tcW w:w="1555" w:type="dxa"/>
          </w:tcPr>
          <w:p w14:paraId="1EF7126B" w14:textId="24DC64E7"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w:t>
            </w:r>
            <w:r w:rsidR="00C46AFB">
              <w:rPr>
                <w:rFonts w:eastAsiaTheme="minorEastAsia" w:cs="Arial"/>
                <w:snapToGrid w:val="0"/>
                <w:sz w:val="20"/>
                <w:szCs w:val="20"/>
                <w:lang w:eastAsia="zh-CN"/>
              </w:rPr>
              <w:t xml:space="preserve"> for subsequent UL message.</w:t>
            </w:r>
          </w:p>
        </w:tc>
        <w:tc>
          <w:tcPr>
            <w:tcW w:w="4814" w:type="dxa"/>
          </w:tcPr>
          <w:p w14:paraId="612C39CF" w14:textId="77777777" w:rsidR="00DC3743" w:rsidRDefault="00DC3743" w:rsidP="00804226">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1"/>
        <w:rPr>
          <w:snapToGrid w:val="0"/>
        </w:rPr>
      </w:pPr>
      <w:r>
        <w:rPr>
          <w:snapToGrid w:val="0"/>
        </w:rPr>
        <w:t>Other aspects with potential impact to other WGs</w:t>
      </w:r>
    </w:p>
    <w:p w14:paraId="1A017526" w14:textId="77777777" w:rsidR="00D55952" w:rsidRDefault="0072635B">
      <w:pPr>
        <w:pStyle w:val="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2C9A7C5B"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F557071"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77777777"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14:paraId="19F9A283" w14:textId="77777777"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r w:rsidR="00804226" w14:paraId="0CAF81C6" w14:textId="77777777" w:rsidTr="00C20B25">
        <w:tc>
          <w:tcPr>
            <w:tcW w:w="1555" w:type="dxa"/>
          </w:tcPr>
          <w:p w14:paraId="3B5C9369" w14:textId="5D91CF00"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77777777" w:rsidR="00804226" w:rsidRDefault="00804226" w:rsidP="00804226">
            <w:pPr>
              <w:snapToGrid w:val="0"/>
              <w:rPr>
                <w:rFonts w:cs="Arial"/>
                <w:b/>
                <w:bCs/>
                <w:snapToGrid w:val="0"/>
                <w:sz w:val="20"/>
                <w:szCs w:val="20"/>
              </w:rPr>
            </w:pPr>
          </w:p>
        </w:tc>
      </w:tr>
      <w:tr w:rsidR="0032665D" w14:paraId="0E192EEF" w14:textId="77777777" w:rsidTr="00C20B25">
        <w:tc>
          <w:tcPr>
            <w:tcW w:w="1555" w:type="dxa"/>
          </w:tcPr>
          <w:p w14:paraId="3D46640E" w14:textId="689AB02A"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07953F6" w14:textId="6C907309"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777777" w:rsidR="0032665D" w:rsidRDefault="0032665D" w:rsidP="00804226">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lastRenderedPageBreak/>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14:paraId="5F5AF73F"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14:paraId="3FCC20A0"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14:paraId="150C73D1" w14:textId="77777777"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uawei, HiSilicon</w:t>
            </w:r>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宋体" w:cs="Arial"/>
                <w:snapToGrid w:val="0"/>
                <w:sz w:val="20"/>
                <w:szCs w:val="20"/>
                <w:lang w:eastAsia="zh-CN"/>
              </w:rPr>
              <w:t>SearchSpace/CORESET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 xml:space="preserve">In relation to the previous question, for the case when shared resource pool is used for SDT and non-SDT RACH, while differentiation might not be possible in the time/freq domain, RACH preambles can be partitioned for SDT </w:t>
            </w:r>
            <w:r>
              <w:rPr>
                <w:rFonts w:cs="Arial"/>
                <w:snapToGrid w:val="0"/>
                <w:sz w:val="20"/>
                <w:szCs w:val="20"/>
              </w:rPr>
              <w:lastRenderedPageBreak/>
              <w:t>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r w:rsidR="00804226" w14:paraId="02A24B89" w14:textId="77777777" w:rsidTr="00C20B25">
        <w:tc>
          <w:tcPr>
            <w:tcW w:w="1555" w:type="dxa"/>
          </w:tcPr>
          <w:p w14:paraId="4F8980CE" w14:textId="04318B1B"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77777777" w:rsidR="00804226" w:rsidRPr="00C20B25" w:rsidRDefault="00804226" w:rsidP="00804226">
            <w:pPr>
              <w:snapToGrid w:val="0"/>
              <w:rPr>
                <w:rFonts w:cs="Arial"/>
                <w:b/>
                <w:bCs/>
                <w:snapToGrid w:val="0"/>
                <w:sz w:val="20"/>
                <w:szCs w:val="20"/>
              </w:rPr>
            </w:pPr>
          </w:p>
        </w:tc>
      </w:tr>
      <w:tr w:rsidR="0032665D" w14:paraId="20DED528" w14:textId="77777777" w:rsidTr="00C20B25">
        <w:tc>
          <w:tcPr>
            <w:tcW w:w="1555" w:type="dxa"/>
          </w:tcPr>
          <w:p w14:paraId="41A9B993" w14:textId="0AAD8A6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77777777" w:rsidR="0032665D" w:rsidRPr="00C20B25" w:rsidRDefault="0032665D" w:rsidP="00804226">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宋体"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r w:rsidR="00804226" w14:paraId="1CBBE3D9" w14:textId="77777777" w:rsidTr="00C20B25">
        <w:tc>
          <w:tcPr>
            <w:tcW w:w="1555" w:type="dxa"/>
          </w:tcPr>
          <w:p w14:paraId="4876B72C" w14:textId="33632617"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D5DDD8B" w14:textId="420859F3" w:rsidR="00804226" w:rsidRPr="00CF06E5" w:rsidRDefault="00804226" w:rsidP="00804226">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w:t>
            </w:r>
            <w:r>
              <w:rPr>
                <w:rFonts w:eastAsia="Yu Mincho" w:cs="Arial"/>
                <w:snapToGrid w:val="0"/>
                <w:sz w:val="20"/>
                <w:szCs w:val="20"/>
                <w:lang w:eastAsia="ja-JP"/>
              </w:rPr>
              <w:lastRenderedPageBreak/>
              <w:t xml:space="preserve">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77777777" w:rsidR="00804226" w:rsidRPr="00C20B25" w:rsidRDefault="00804226" w:rsidP="00804226">
            <w:pPr>
              <w:snapToGrid w:val="0"/>
              <w:rPr>
                <w:rFonts w:cs="Arial"/>
                <w:b/>
                <w:bCs/>
                <w:snapToGrid w:val="0"/>
                <w:sz w:val="20"/>
                <w:szCs w:val="20"/>
              </w:rPr>
            </w:pPr>
          </w:p>
        </w:tc>
      </w:tr>
      <w:tr w:rsidR="00F35336" w14:paraId="63BB41DB" w14:textId="77777777" w:rsidTr="00C20B25">
        <w:tc>
          <w:tcPr>
            <w:tcW w:w="1555" w:type="dxa"/>
          </w:tcPr>
          <w:p w14:paraId="7D120127" w14:textId="164810BC"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77777777" w:rsidR="00F35336" w:rsidRPr="00C20B25" w:rsidRDefault="00F35336" w:rsidP="00804226">
            <w:pPr>
              <w:snapToGrid w:val="0"/>
              <w:rPr>
                <w:rFonts w:cs="Arial"/>
                <w:b/>
                <w:bCs/>
                <w:snapToGrid w:val="0"/>
                <w:sz w:val="20"/>
                <w:szCs w:val="20"/>
              </w:rPr>
            </w:pPr>
          </w:p>
        </w:tc>
      </w:tr>
    </w:tbl>
    <w:p w14:paraId="10704FFD" w14:textId="77777777" w:rsidR="00D55952" w:rsidRDefault="00D55952">
      <w:pPr>
        <w:rPr>
          <w:lang w:val="en-GB" w:eastAsia="zh-CN"/>
        </w:rPr>
      </w:pPr>
    </w:p>
    <w:p w14:paraId="3FB95E5C" w14:textId="77777777" w:rsidR="00C20B25" w:rsidRDefault="00C20B25">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77777777"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宋体"/>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r w:rsidR="00804226" w14:paraId="7C4A3540" w14:textId="77777777" w:rsidTr="00C20B25">
        <w:tc>
          <w:tcPr>
            <w:tcW w:w="1555" w:type="dxa"/>
          </w:tcPr>
          <w:p w14:paraId="0D95B618" w14:textId="7D5F6FEE" w:rsidR="00804226" w:rsidRPr="00804226" w:rsidRDefault="00804226" w:rsidP="00AF1685">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3776134" w14:textId="67847C06" w:rsidR="00804226" w:rsidRPr="00AF1685" w:rsidRDefault="00804226" w:rsidP="00AF1685">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77777777" w:rsidR="00804226" w:rsidRDefault="00804226" w:rsidP="00AF1685"/>
        </w:tc>
      </w:tr>
      <w:tr w:rsidR="00F35336" w14:paraId="45CB0D24" w14:textId="77777777" w:rsidTr="00C20B25">
        <w:tc>
          <w:tcPr>
            <w:tcW w:w="1555" w:type="dxa"/>
          </w:tcPr>
          <w:p w14:paraId="29BDC963" w14:textId="46197179"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77777777" w:rsidR="00F35336" w:rsidRDefault="00F35336" w:rsidP="00AF1685"/>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52"/>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52"/>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r w:rsidR="00804226" w14:paraId="0F2B41B8" w14:textId="77777777">
        <w:tc>
          <w:tcPr>
            <w:tcW w:w="1555" w:type="dxa"/>
          </w:tcPr>
          <w:p w14:paraId="26C1ED1E" w14:textId="0487EB52"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8B24DD8" w14:textId="1053F525" w:rsidR="00804226" w:rsidRDefault="00804226" w:rsidP="00804226">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77777777" w:rsidR="00804226" w:rsidRDefault="00804226" w:rsidP="00804226">
            <w:pPr>
              <w:snapToGrid w:val="0"/>
              <w:rPr>
                <w:rFonts w:cs="Arial"/>
                <w:b/>
                <w:bCs/>
                <w:snapToGrid w:val="0"/>
                <w:sz w:val="20"/>
                <w:szCs w:val="20"/>
              </w:rPr>
            </w:pPr>
          </w:p>
        </w:tc>
      </w:tr>
      <w:tr w:rsidR="00461A73" w14:paraId="35492F8C" w14:textId="77777777">
        <w:tc>
          <w:tcPr>
            <w:tcW w:w="1555" w:type="dxa"/>
          </w:tcPr>
          <w:p w14:paraId="06C2B16F" w14:textId="4504F842" w:rsidR="00461A73" w:rsidRPr="00461A73" w:rsidRDefault="00461A7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61A73" w:rsidRPr="00461A73" w:rsidRDefault="00461A73" w:rsidP="0080422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77777777" w:rsidR="00461A73" w:rsidRDefault="00461A73" w:rsidP="00804226">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1"/>
        <w:rPr>
          <w:snapToGrid w:val="0"/>
        </w:rPr>
      </w:pPr>
      <w:r>
        <w:rPr>
          <w:snapToGrid w:val="0"/>
        </w:rPr>
        <w:t>References</w:t>
      </w:r>
    </w:p>
    <w:p w14:paraId="2E50AD06" w14:textId="77777777" w:rsidR="00D55952" w:rsidRDefault="0072635B">
      <w:pPr>
        <w:pStyle w:val="af9"/>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680A9425" w14:textId="77777777" w:rsidR="00D55952" w:rsidRDefault="00D55952">
      <w:pPr>
        <w:pStyle w:val="af9"/>
        <w:ind w:left="360"/>
        <w:rPr>
          <w:lang w:val="en-GB" w:eastAsia="en-GB"/>
        </w:rPr>
      </w:pPr>
    </w:p>
    <w:p w14:paraId="78E24EE4" w14:textId="77777777" w:rsidR="00D55952" w:rsidRDefault="0072635B">
      <w:pPr>
        <w:pStyle w:val="1"/>
        <w:rPr>
          <w:snapToGrid w:val="0"/>
        </w:rPr>
      </w:pPr>
      <w:r>
        <w:rPr>
          <w:snapToGrid w:val="0"/>
        </w:rPr>
        <w:lastRenderedPageBreak/>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r>
              <w:rPr>
                <w:lang w:val="en-GB" w:eastAsia="en-GB"/>
              </w:rPr>
              <w:t>Mediatek</w:t>
            </w:r>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r>
              <w:rPr>
                <w:rFonts w:hint="eastAsia"/>
                <w:lang w:val="en-GB"/>
              </w:rPr>
              <w:t>SeungJune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F31AA1">
            <w:pPr>
              <w:rPr>
                <w:lang w:val="en-GB"/>
              </w:rPr>
            </w:pPr>
            <w:hyperlink r:id="rId12" w:history="1">
              <w:r w:rsidR="009D5DCC" w:rsidRPr="00085933">
                <w:rPr>
                  <w:rStyle w:val="af6"/>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14:paraId="7D7FDA5B"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Henrik Enbuske</w:t>
            </w:r>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r>
              <w:rPr>
                <w:rFonts w:eastAsiaTheme="minorEastAsia"/>
                <w:lang w:val="en-GB" w:eastAsia="zh-CN"/>
              </w:rPr>
              <w:t>Ruiming Zheng</w:t>
            </w:r>
          </w:p>
        </w:tc>
        <w:tc>
          <w:tcPr>
            <w:tcW w:w="5289" w:type="dxa"/>
          </w:tcPr>
          <w:p w14:paraId="4C12CDC9" w14:textId="77777777" w:rsidR="00461DB0" w:rsidRDefault="00F31AA1">
            <w:pPr>
              <w:rPr>
                <w:rFonts w:eastAsiaTheme="minorEastAsia"/>
                <w:lang w:val="en-GB" w:eastAsia="zh-CN"/>
              </w:rPr>
            </w:pPr>
            <w:hyperlink r:id="rId13" w:history="1">
              <w:r w:rsidR="00CD6CEB" w:rsidRPr="00C229F8">
                <w:rPr>
                  <w:rStyle w:val="af6"/>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r>
              <w:rPr>
                <w:rFonts w:eastAsiaTheme="minorEastAsia"/>
                <w:lang w:val="en-GB" w:eastAsia="zh-CN"/>
              </w:rPr>
              <w:t>InterDigital</w:t>
            </w:r>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Faris Alfarhan</w:t>
            </w:r>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F31AA1" w:rsidP="001D4741">
            <w:pPr>
              <w:rPr>
                <w:rFonts w:eastAsia="PMingLiU"/>
                <w:lang w:val="en-GB" w:eastAsia="zh-TW"/>
              </w:rPr>
            </w:pPr>
            <w:hyperlink r:id="rId14" w:history="1">
              <w:r w:rsidR="007315C8" w:rsidRPr="00297A29">
                <w:rPr>
                  <w:rStyle w:val="af6"/>
                  <w:rFonts w:eastAsia="PMingLiU" w:hint="eastAsia"/>
                  <w:lang w:val="en-GB" w:eastAsia="zh-TW"/>
                </w:rPr>
                <w:t>Erica</w:t>
              </w:r>
              <w:r w:rsidR="007315C8" w:rsidRPr="00297A29">
                <w:rPr>
                  <w:rStyle w:val="af6"/>
                  <w:rFonts w:eastAsia="PMingLiU"/>
                  <w:lang w:val="en-GB" w:eastAsia="zh-TW"/>
                </w:rPr>
                <w:t>_</w:t>
              </w:r>
              <w:r w:rsidR="007315C8" w:rsidRPr="00297A29">
                <w:rPr>
                  <w:rStyle w:val="af6"/>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Sudeep Palat</w:t>
            </w:r>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hint="eastAsia"/>
                <w:lang w:val="en-GB" w:eastAsia="zh-CN"/>
              </w:rPr>
            </w:pPr>
            <w:r>
              <w:rPr>
                <w:rFonts w:eastAsiaTheme="minorEastAsia"/>
                <w:lang w:val="en-GB" w:eastAsia="zh-CN"/>
              </w:rPr>
              <w:t>Xiandong Dong</w:t>
            </w:r>
          </w:p>
        </w:tc>
        <w:tc>
          <w:tcPr>
            <w:tcW w:w="5289" w:type="dxa"/>
          </w:tcPr>
          <w:p w14:paraId="296EA35B" w14:textId="379381B7" w:rsidR="004E1DFE" w:rsidRPr="004E1DFE" w:rsidRDefault="004E1DFE" w:rsidP="001D4741">
            <w:pPr>
              <w:rPr>
                <w:rFonts w:eastAsiaTheme="minorEastAsia" w:hint="eastAsia"/>
                <w:lang w:val="en-GB" w:eastAsia="zh-CN"/>
              </w:rPr>
            </w:pPr>
            <w:hyperlink r:id="rId15" w:history="1">
              <w:r w:rsidRPr="00BB156B">
                <w:rPr>
                  <w:rStyle w:val="af6"/>
                  <w:rFonts w:eastAsiaTheme="minorEastAsia" w:hint="eastAsia"/>
                  <w:lang w:val="en-GB" w:eastAsia="zh-CN"/>
                </w:rPr>
                <w:t>d</w:t>
              </w:r>
              <w:r w:rsidRPr="00BB156B">
                <w:rPr>
                  <w:rStyle w:val="af6"/>
                  <w:rFonts w:eastAsiaTheme="minorEastAsia"/>
                  <w:lang w:val="en-GB" w:eastAsia="zh-CN"/>
                </w:rPr>
                <w:t>ongxiandong@xiaomi.com</w:t>
              </w:r>
            </w:hyperlink>
            <w:r>
              <w:rPr>
                <w:rFonts w:eastAsiaTheme="minorEastAsia"/>
                <w:lang w:val="en-GB" w:eastAsia="zh-CN"/>
              </w:rPr>
              <w:t xml:space="preserve"> </w:t>
            </w:r>
            <w:bookmarkStart w:id="3" w:name="_GoBack"/>
            <w:bookmarkEnd w:id="3"/>
          </w:p>
        </w:tc>
      </w:tr>
    </w:tbl>
    <w:p w14:paraId="3FAB3EFE" w14:textId="77777777" w:rsidR="00D55952" w:rsidRDefault="00D55952">
      <w:pPr>
        <w:rPr>
          <w:lang w:val="en-GB" w:eastAsia="en-GB"/>
        </w:rPr>
      </w:pPr>
    </w:p>
    <w:p w14:paraId="279C7A74" w14:textId="77777777" w:rsidR="00D55952" w:rsidRDefault="00D55952">
      <w:pPr>
        <w:pStyle w:val="af9"/>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1709D" w14:textId="77777777" w:rsidR="00F31AA1" w:rsidRDefault="00F31AA1">
      <w:pPr>
        <w:spacing w:after="0" w:line="240" w:lineRule="auto"/>
      </w:pPr>
      <w:r>
        <w:separator/>
      </w:r>
    </w:p>
  </w:endnote>
  <w:endnote w:type="continuationSeparator" w:id="0">
    <w:p w14:paraId="7EF12BBF" w14:textId="77777777" w:rsidR="00F31AA1" w:rsidRDefault="00F3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B5CF4" w14:textId="77777777" w:rsidR="00F31AA1" w:rsidRDefault="00F31AA1">
      <w:pPr>
        <w:spacing w:after="0" w:line="240" w:lineRule="auto"/>
      </w:pPr>
      <w:r>
        <w:separator/>
      </w:r>
    </w:p>
  </w:footnote>
  <w:footnote w:type="continuationSeparator" w:id="0">
    <w:p w14:paraId="6CD20AC5" w14:textId="77777777" w:rsidR="00F31AA1" w:rsidRDefault="00F31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A363B"/>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57BDF"/>
    <w:rsid w:val="002728BB"/>
    <w:rsid w:val="00282E3A"/>
    <w:rsid w:val="002B7782"/>
    <w:rsid w:val="002E44A1"/>
    <w:rsid w:val="0032665D"/>
    <w:rsid w:val="0036079F"/>
    <w:rsid w:val="003608F9"/>
    <w:rsid w:val="00366846"/>
    <w:rsid w:val="003A7F3E"/>
    <w:rsid w:val="003B1043"/>
    <w:rsid w:val="003D2FF7"/>
    <w:rsid w:val="003F33E5"/>
    <w:rsid w:val="003F6CBB"/>
    <w:rsid w:val="003F7B33"/>
    <w:rsid w:val="00411A29"/>
    <w:rsid w:val="0041361A"/>
    <w:rsid w:val="004141CD"/>
    <w:rsid w:val="00436094"/>
    <w:rsid w:val="00447EBA"/>
    <w:rsid w:val="004529E8"/>
    <w:rsid w:val="00461A73"/>
    <w:rsid w:val="00461DB0"/>
    <w:rsid w:val="00466DF6"/>
    <w:rsid w:val="0049633C"/>
    <w:rsid w:val="004A5661"/>
    <w:rsid w:val="004B031C"/>
    <w:rsid w:val="004C0787"/>
    <w:rsid w:val="004C1B53"/>
    <w:rsid w:val="004C576A"/>
    <w:rsid w:val="004D2483"/>
    <w:rsid w:val="004E1DFE"/>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315C8"/>
    <w:rsid w:val="00743678"/>
    <w:rsid w:val="007571D2"/>
    <w:rsid w:val="007661BE"/>
    <w:rsid w:val="007830A9"/>
    <w:rsid w:val="00797A56"/>
    <w:rsid w:val="007C006F"/>
    <w:rsid w:val="007C01A3"/>
    <w:rsid w:val="007D4380"/>
    <w:rsid w:val="007E4840"/>
    <w:rsid w:val="007F0240"/>
    <w:rsid w:val="00804226"/>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12A52"/>
    <w:rsid w:val="00A406F4"/>
    <w:rsid w:val="00A4713B"/>
    <w:rsid w:val="00A71E2F"/>
    <w:rsid w:val="00A73418"/>
    <w:rsid w:val="00A82212"/>
    <w:rsid w:val="00A82CE7"/>
    <w:rsid w:val="00A84264"/>
    <w:rsid w:val="00AC1663"/>
    <w:rsid w:val="00AD5624"/>
    <w:rsid w:val="00AF1685"/>
    <w:rsid w:val="00AF268D"/>
    <w:rsid w:val="00AF3FB4"/>
    <w:rsid w:val="00B43806"/>
    <w:rsid w:val="00B44BFD"/>
    <w:rsid w:val="00B52A64"/>
    <w:rsid w:val="00B6250E"/>
    <w:rsid w:val="00B747B1"/>
    <w:rsid w:val="00BC3366"/>
    <w:rsid w:val="00BE71C6"/>
    <w:rsid w:val="00C114F7"/>
    <w:rsid w:val="00C20B25"/>
    <w:rsid w:val="00C3070D"/>
    <w:rsid w:val="00C46AFB"/>
    <w:rsid w:val="00C562EF"/>
    <w:rsid w:val="00C57051"/>
    <w:rsid w:val="00C57879"/>
    <w:rsid w:val="00C63CBA"/>
    <w:rsid w:val="00C74816"/>
    <w:rsid w:val="00C74E68"/>
    <w:rsid w:val="00C9097D"/>
    <w:rsid w:val="00C9374C"/>
    <w:rsid w:val="00CA67B2"/>
    <w:rsid w:val="00CC1636"/>
    <w:rsid w:val="00CD13CC"/>
    <w:rsid w:val="00CD4BD2"/>
    <w:rsid w:val="00CD5BF3"/>
    <w:rsid w:val="00CD6CEB"/>
    <w:rsid w:val="00CE006A"/>
    <w:rsid w:val="00D10252"/>
    <w:rsid w:val="00D121BC"/>
    <w:rsid w:val="00D15302"/>
    <w:rsid w:val="00D2240E"/>
    <w:rsid w:val="00D263E0"/>
    <w:rsid w:val="00D55015"/>
    <w:rsid w:val="00D55630"/>
    <w:rsid w:val="00D55952"/>
    <w:rsid w:val="00D5633C"/>
    <w:rsid w:val="00D93052"/>
    <w:rsid w:val="00D9324E"/>
    <w:rsid w:val="00DA1CC7"/>
    <w:rsid w:val="00DA37E0"/>
    <w:rsid w:val="00DC3743"/>
    <w:rsid w:val="00DC7389"/>
    <w:rsid w:val="00DD2216"/>
    <w:rsid w:val="00DE09AF"/>
    <w:rsid w:val="00DE5305"/>
    <w:rsid w:val="00DF58A6"/>
    <w:rsid w:val="00DF778A"/>
    <w:rsid w:val="00E30945"/>
    <w:rsid w:val="00E44ABE"/>
    <w:rsid w:val="00E46613"/>
    <w:rsid w:val="00E46E40"/>
    <w:rsid w:val="00E5173F"/>
    <w:rsid w:val="00E522DF"/>
    <w:rsid w:val="00E742A6"/>
    <w:rsid w:val="00E75EED"/>
    <w:rsid w:val="00E91E8F"/>
    <w:rsid w:val="00E945D4"/>
    <w:rsid w:val="00E97E58"/>
    <w:rsid w:val="00EE618E"/>
    <w:rsid w:val="00F020E3"/>
    <w:rsid w:val="00F22197"/>
    <w:rsid w:val="00F31AA1"/>
    <w:rsid w:val="00F35336"/>
    <w:rsid w:val="00F37B43"/>
    <w:rsid w:val="00F46B98"/>
    <w:rsid w:val="00F54AC0"/>
    <w:rsid w:val="00F66A5C"/>
    <w:rsid w:val="00F86CF9"/>
    <w:rsid w:val="00F93FDE"/>
    <w:rsid w:val="00FA7C84"/>
    <w:rsid w:val="00FC144F"/>
    <w:rsid w:val="00FE4166"/>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af0">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1">
    <w:name w:val="annotation subject"/>
    <w:basedOn w:val="a6"/>
    <w:next w:val="a6"/>
    <w:link w:val="af2"/>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sid w:val="00D55952"/>
    <w:rPr>
      <w:color w:val="954F72" w:themeColor="followedHyperlink"/>
      <w:u w:val="single"/>
    </w:rPr>
  </w:style>
  <w:style w:type="character" w:styleId="af5">
    <w:name w:val="Emphasis"/>
    <w:basedOn w:val="a0"/>
    <w:uiPriority w:val="20"/>
    <w:qFormat/>
    <w:rsid w:val="00D55952"/>
    <w:rPr>
      <w:i/>
      <w:iCs/>
    </w:rPr>
  </w:style>
  <w:style w:type="character" w:styleId="af6">
    <w:name w:val="Hyperlink"/>
    <w:uiPriority w:val="99"/>
    <w:qFormat/>
    <w:rsid w:val="00D55952"/>
    <w:rPr>
      <w:color w:val="0000FF"/>
      <w:u w:val="single"/>
    </w:rPr>
  </w:style>
  <w:style w:type="character" w:styleId="af7">
    <w:name w:val="annotation reference"/>
    <w:rsid w:val="00D55952"/>
    <w:rPr>
      <w:sz w:val="16"/>
      <w:szCs w:val="16"/>
    </w:rPr>
  </w:style>
  <w:style w:type="character" w:styleId="af8">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页眉 字符"/>
    <w:link w:val="ab"/>
    <w:rsid w:val="00D55952"/>
    <w:rPr>
      <w:rFonts w:eastAsia="Times New Roman"/>
      <w:b/>
      <w:kern w:val="0"/>
      <w:sz w:val="18"/>
      <w:szCs w:val="20"/>
      <w:lang w:eastAsia="en-GB"/>
    </w:rPr>
  </w:style>
  <w:style w:type="character" w:customStyle="1" w:styleId="ac">
    <w:name w:val="页脚 字符"/>
    <w:link w:val="aa"/>
    <w:rsid w:val="00D55952"/>
    <w:rPr>
      <w:rFonts w:eastAsia="Times New Roman"/>
      <w:b/>
      <w:i/>
      <w:kern w:val="0"/>
      <w:sz w:val="18"/>
      <w:szCs w:val="20"/>
      <w:lang w:val="zh-CN" w:eastAsia="zh-CN"/>
    </w:rPr>
  </w:style>
  <w:style w:type="character" w:customStyle="1" w:styleId="af">
    <w:name w:val="脚注文本 字符"/>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标题 1 字符"/>
    <w:link w:val="1"/>
    <w:rsid w:val="00D55952"/>
    <w:rPr>
      <w:rFonts w:eastAsia="Times New Roman"/>
      <w:kern w:val="0"/>
      <w:sz w:val="36"/>
      <w:szCs w:val="20"/>
      <w:lang w:eastAsia="en-GB"/>
    </w:rPr>
  </w:style>
  <w:style w:type="character" w:customStyle="1" w:styleId="20">
    <w:name w:val="标题 2 字符"/>
    <w:link w:val="2"/>
    <w:rsid w:val="00D55952"/>
    <w:rPr>
      <w:rFonts w:eastAsia="Times New Roman"/>
      <w:kern w:val="0"/>
      <w:sz w:val="32"/>
      <w:szCs w:val="20"/>
      <w:lang w:val="zh-CN" w:eastAsia="zh-CN"/>
    </w:rPr>
  </w:style>
  <w:style w:type="character" w:customStyle="1" w:styleId="30">
    <w:name w:val="标题 3 字符"/>
    <w:link w:val="3"/>
    <w:rsid w:val="00D55952"/>
    <w:rPr>
      <w:rFonts w:eastAsia="Times New Roman"/>
      <w:kern w:val="0"/>
      <w:sz w:val="28"/>
      <w:szCs w:val="20"/>
      <w:lang w:val="zh-CN" w:eastAsia="zh-CN"/>
    </w:rPr>
  </w:style>
  <w:style w:type="character" w:customStyle="1" w:styleId="40">
    <w:name w:val="标题 4 字符"/>
    <w:link w:val="4"/>
    <w:rsid w:val="00D55952"/>
    <w:rPr>
      <w:rFonts w:eastAsia="Times New Roman"/>
      <w:kern w:val="0"/>
      <w:sz w:val="24"/>
      <w:szCs w:val="20"/>
      <w:lang w:val="zh-CN" w:eastAsia="zh-CN"/>
    </w:rPr>
  </w:style>
  <w:style w:type="character" w:customStyle="1" w:styleId="50">
    <w:name w:val="标题 5 字符"/>
    <w:link w:val="5"/>
    <w:qFormat/>
    <w:rsid w:val="00D55952"/>
    <w:rPr>
      <w:rFonts w:eastAsia="Times New Roman"/>
      <w:kern w:val="0"/>
      <w:sz w:val="22"/>
      <w:szCs w:val="20"/>
      <w:lang w:val="zh-CN" w:eastAsia="zh-CN"/>
    </w:rPr>
  </w:style>
  <w:style w:type="character" w:customStyle="1" w:styleId="60">
    <w:name w:val="标题 6 字符"/>
    <w:link w:val="6"/>
    <w:qFormat/>
    <w:rsid w:val="00D55952"/>
    <w:rPr>
      <w:rFonts w:eastAsia="Times New Roman"/>
      <w:kern w:val="0"/>
      <w:sz w:val="20"/>
      <w:szCs w:val="20"/>
      <w:lang w:val="zh-CN" w:eastAsia="zh-CN"/>
    </w:rPr>
  </w:style>
  <w:style w:type="character" w:customStyle="1" w:styleId="70">
    <w:name w:val="标题 7 字符"/>
    <w:link w:val="7"/>
    <w:qFormat/>
    <w:rsid w:val="00D55952"/>
    <w:rPr>
      <w:rFonts w:eastAsia="Times New Roman"/>
      <w:kern w:val="0"/>
      <w:sz w:val="20"/>
      <w:szCs w:val="20"/>
      <w:lang w:val="zh-CN" w:eastAsia="zh-CN"/>
    </w:rPr>
  </w:style>
  <w:style w:type="character" w:customStyle="1" w:styleId="80">
    <w:name w:val="标题 8 字符"/>
    <w:link w:val="8"/>
    <w:rsid w:val="00D55952"/>
    <w:rPr>
      <w:rFonts w:eastAsia="Times New Roman"/>
      <w:kern w:val="0"/>
      <w:sz w:val="36"/>
      <w:szCs w:val="20"/>
      <w:lang w:val="zh-CN" w:eastAsia="zh-CN"/>
    </w:rPr>
  </w:style>
  <w:style w:type="character" w:customStyle="1" w:styleId="90">
    <w:name w:val="标题 9 字符"/>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批注框文本 字符"/>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批注文字 字符"/>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2">
    <w:name w:val="批注主题 字符"/>
    <w:basedOn w:val="a7"/>
    <w:link w:val="af1"/>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出段落 字符"/>
    <w:link w:val="af9"/>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b">
    <w:name w:val="Document Map"/>
    <w:basedOn w:val="a"/>
    <w:link w:val="afc"/>
    <w:uiPriority w:val="99"/>
    <w:semiHidden/>
    <w:unhideWhenUsed/>
    <w:rsid w:val="007E4840"/>
    <w:rPr>
      <w:rFonts w:ascii="宋体" w:eastAsia="宋体"/>
      <w:sz w:val="18"/>
      <w:szCs w:val="18"/>
    </w:rPr>
  </w:style>
  <w:style w:type="character" w:customStyle="1" w:styleId="afc">
    <w:name w:val="文档结构图 字符"/>
    <w:basedOn w:val="a0"/>
    <w:link w:val="afb"/>
    <w:uiPriority w:val="99"/>
    <w:semiHidden/>
    <w:rsid w:val="007E4840"/>
    <w:rPr>
      <w:rFonts w:ascii="宋体" w:eastAsia="宋体"/>
      <w:sz w:val="18"/>
      <w:szCs w:val="18"/>
      <w:lang w:val="en-US" w:eastAsia="ko-KR"/>
    </w:rPr>
  </w:style>
  <w:style w:type="character" w:customStyle="1" w:styleId="14">
    <w:name w:val="확인되지 않은 멘션1"/>
    <w:basedOn w:val="a0"/>
    <w:uiPriority w:val="99"/>
    <w:semiHidden/>
    <w:unhideWhenUsed/>
    <w:rsid w:val="00CD6CEB"/>
    <w:rPr>
      <w:color w:val="605E5C"/>
      <w:shd w:val="clear" w:color="auto" w:fill="E1DFDD"/>
    </w:rPr>
  </w:style>
  <w:style w:type="character" w:customStyle="1" w:styleId="UnresolvedMention">
    <w:name w:val="Unresolved Mention"/>
    <w:basedOn w:val="a0"/>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ngxiandong@xiaom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807ED0-CBD4-4DD4-8A0A-AE310126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39</Pages>
  <Words>10711</Words>
  <Characters>61056</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USER-</cp:lastModifiedBy>
  <cp:revision>18</cp:revision>
  <dcterms:created xsi:type="dcterms:W3CDTF">2020-10-08T11:33:00Z</dcterms:created>
  <dcterms:modified xsi:type="dcterms:W3CDTF">2020-10-09T06:02:00Z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