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8"/>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8"/>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8"/>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sz w:val="20"/>
                <w:szCs w:val="20"/>
              </w:rPr>
            </w:pPr>
            <w:r>
              <w:rPr>
                <w:rFonts w:hint="eastAsia"/>
                <w:sz w:val="20"/>
                <w:szCs w:val="20"/>
              </w:rPr>
              <w:t>Samsung</w:t>
            </w:r>
          </w:p>
        </w:tc>
        <w:tc>
          <w:tcPr>
            <w:tcW w:w="9497" w:type="dxa"/>
          </w:tcPr>
          <w:p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sz w:val="20"/>
                <w:szCs w:val="20"/>
              </w:rPr>
            </w:pPr>
            <w:proofErr w:type="spellStart"/>
            <w:r>
              <w:rPr>
                <w:rFonts w:eastAsia="PMingLiU" w:cs="Arial" w:hint="eastAsia"/>
                <w:snapToGrid w:val="0"/>
                <w:sz w:val="20"/>
                <w:szCs w:val="20"/>
                <w:lang w:eastAsia="zh-TW"/>
              </w:rPr>
              <w:t>ASUSTeK</w:t>
            </w:r>
            <w:proofErr w:type="spellEnd"/>
          </w:p>
        </w:tc>
        <w:tc>
          <w:tcPr>
            <w:tcW w:w="9497" w:type="dxa"/>
          </w:tcPr>
          <w:p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rsidR="00B43806" w:rsidRDefault="00B43806" w:rsidP="00B43806">
            <w:pPr>
              <w:snapToGrid w:val="0"/>
              <w:rPr>
                <w:rFonts w:cs="Arial"/>
                <w:b/>
                <w:bCs/>
                <w:snapToGrid w:val="0"/>
                <w:sz w:val="20"/>
                <w:szCs w:val="20"/>
              </w:rPr>
            </w:pPr>
          </w:p>
        </w:tc>
      </w:tr>
      <w:tr w:rsidR="00F0527B">
        <w:tc>
          <w:tcPr>
            <w:tcW w:w="1555" w:type="dxa"/>
          </w:tcPr>
          <w:p w:rsidR="00F0527B" w:rsidRPr="00F0527B" w:rsidRDefault="00F0527B" w:rsidP="00B43806">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F0527B" w:rsidRPr="00F0527B" w:rsidRDefault="00F0527B" w:rsidP="00F86CF9">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r w:rsidR="003F2397">
              <w:rPr>
                <w:rFonts w:eastAsia="游明朝" w:cs="Arial"/>
                <w:snapToGrid w:val="0"/>
                <w:sz w:val="20"/>
                <w:szCs w:val="20"/>
                <w:lang w:eastAsia="ja-JP"/>
              </w:rPr>
              <w:t>.</w:t>
            </w:r>
          </w:p>
        </w:tc>
        <w:tc>
          <w:tcPr>
            <w:tcW w:w="4814" w:type="dxa"/>
          </w:tcPr>
          <w:p w:rsidR="00F0527B" w:rsidRDefault="00F0527B" w:rsidP="00B43806">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rsidR="00B43806" w:rsidRDefault="00B43806" w:rsidP="00B43806">
            <w:pPr>
              <w:snapToGrid w:val="0"/>
              <w:rPr>
                <w:rFonts w:cs="Arial"/>
                <w:b/>
                <w:bCs/>
                <w:snapToGrid w:val="0"/>
                <w:sz w:val="20"/>
                <w:szCs w:val="20"/>
              </w:rPr>
            </w:pPr>
          </w:p>
        </w:tc>
      </w:tr>
      <w:tr w:rsidR="00F0527B">
        <w:tc>
          <w:tcPr>
            <w:tcW w:w="1555" w:type="dxa"/>
          </w:tcPr>
          <w:p w:rsidR="00F0527B" w:rsidRPr="00C043B0" w:rsidRDefault="00F0527B" w:rsidP="00F0527B">
            <w:pPr>
              <w:snapToGrid w:val="0"/>
              <w:rPr>
                <w:rFonts w:eastAsia="游明朝" w:cs="Arial"/>
                <w:snapToGrid w:val="0"/>
                <w:sz w:val="20"/>
                <w:szCs w:val="20"/>
                <w:lang w:eastAsia="ja-JP"/>
              </w:rPr>
            </w:pPr>
            <w:r>
              <w:rPr>
                <w:rFonts w:eastAsia="游明朝" w:cs="Arial"/>
                <w:snapToGrid w:val="0"/>
                <w:sz w:val="20"/>
                <w:szCs w:val="20"/>
                <w:lang w:eastAsia="ja-JP"/>
              </w:rPr>
              <w:t>Fujitsu</w:t>
            </w:r>
          </w:p>
        </w:tc>
        <w:tc>
          <w:tcPr>
            <w:tcW w:w="9497" w:type="dxa"/>
          </w:tcPr>
          <w:p w:rsidR="00F0527B" w:rsidRDefault="00F0527B" w:rsidP="00F0527B">
            <w:pPr>
              <w:snapToGrid w:val="0"/>
              <w:rPr>
                <w:rFonts w:eastAsia="游明朝" w:cs="Arial"/>
                <w:snapToGrid w:val="0"/>
                <w:sz w:val="20"/>
                <w:szCs w:val="20"/>
                <w:lang w:eastAsia="ja-JP"/>
              </w:rPr>
            </w:pPr>
            <w:r>
              <w:rPr>
                <w:rFonts w:eastAsia="游明朝" w:cs="Arial" w:hint="eastAsia"/>
                <w:snapToGrid w:val="0"/>
                <w:sz w:val="20"/>
                <w:szCs w:val="20"/>
                <w:lang w:eastAsia="ja-JP"/>
              </w:rPr>
              <w:t>A</w:t>
            </w:r>
            <w:r>
              <w:rPr>
                <w:rFonts w:eastAsia="游明朝" w:cs="Arial"/>
                <w:snapToGrid w:val="0"/>
                <w:sz w:val="20"/>
                <w:szCs w:val="20"/>
                <w:lang w:eastAsia="ja-JP"/>
              </w:rPr>
              <w:t xml:space="preserve">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w:t>
            </w:r>
            <w:proofErr w:type="spellStart"/>
            <w:r>
              <w:rPr>
                <w:rFonts w:eastAsia="游明朝" w:cs="Arial"/>
                <w:snapToGrid w:val="0"/>
                <w:sz w:val="20"/>
                <w:szCs w:val="20"/>
                <w:lang w:eastAsia="ja-JP"/>
              </w:rPr>
              <w:t>gNB</w:t>
            </w:r>
            <w:proofErr w:type="spellEnd"/>
            <w:r>
              <w:rPr>
                <w:rFonts w:eastAsia="游明朝" w:cs="Arial"/>
                <w:snapToGrid w:val="0"/>
                <w:sz w:val="20"/>
                <w:szCs w:val="20"/>
                <w:lang w:eastAsia="ja-JP"/>
              </w:rPr>
              <w:t xml:space="preserve"> to the UE, setting the value of TA timer to enough long value, </w:t>
            </w:r>
            <w:r w:rsidR="003F2397">
              <w:rPr>
                <w:rFonts w:eastAsia="游明朝" w:cs="Arial"/>
                <w:snapToGrid w:val="0"/>
                <w:sz w:val="20"/>
                <w:szCs w:val="20"/>
                <w:lang w:eastAsia="ja-JP"/>
              </w:rPr>
              <w:t>and so on.</w:t>
            </w:r>
          </w:p>
          <w:tbl>
            <w:tblPr>
              <w:tblStyle w:val="af2"/>
              <w:tblW w:w="0" w:type="auto"/>
              <w:tblLayout w:type="fixed"/>
              <w:tblLook w:val="04A0" w:firstRow="1" w:lastRow="0" w:firstColumn="1" w:lastColumn="0" w:noHBand="0" w:noVBand="1"/>
            </w:tblPr>
            <w:tblGrid>
              <w:gridCol w:w="9271"/>
            </w:tblGrid>
            <w:tr w:rsidR="00F0527B" w:rsidRPr="00174DBF" w:rsidTr="00F0527B">
              <w:tc>
                <w:tcPr>
                  <w:tcW w:w="9271" w:type="dxa"/>
                </w:tcPr>
                <w:p w:rsidR="00F0527B" w:rsidRPr="00174DBF" w:rsidRDefault="00F0527B" w:rsidP="00F0527B">
                  <w:pPr>
                    <w:pStyle w:val="B1"/>
                    <w:rPr>
                      <w:noProof/>
                      <w:sz w:val="20"/>
                      <w:szCs w:val="20"/>
                    </w:rPr>
                  </w:pPr>
                  <w:r w:rsidRPr="00174DBF">
                    <w:rPr>
                      <w:noProof/>
                      <w:sz w:val="20"/>
                      <w:szCs w:val="20"/>
                      <w:lang w:eastAsia="ko-KR"/>
                    </w:rPr>
                    <w:t>1&gt;</w:t>
                  </w:r>
                  <w:r w:rsidRPr="00174DBF">
                    <w:rPr>
                      <w:noProof/>
                      <w:sz w:val="20"/>
                      <w:szCs w:val="20"/>
                    </w:rPr>
                    <w:tab/>
                    <w:t xml:space="preserve">when a </w:t>
                  </w:r>
                  <w:r w:rsidRPr="00174DBF">
                    <w:rPr>
                      <w:i/>
                      <w:noProof/>
                      <w:sz w:val="20"/>
                      <w:szCs w:val="20"/>
                    </w:rPr>
                    <w:t>timeAlignmentTimer</w:t>
                  </w:r>
                  <w:r w:rsidRPr="00174DBF">
                    <w:rPr>
                      <w:noProof/>
                      <w:sz w:val="20"/>
                      <w:szCs w:val="20"/>
                    </w:rPr>
                    <w:t xml:space="preserve"> expires:</w:t>
                  </w:r>
                </w:p>
                <w:p w:rsidR="00F0527B" w:rsidRPr="00174DBF" w:rsidRDefault="00F0527B" w:rsidP="00F0527B">
                  <w:pPr>
                    <w:pStyle w:val="B2"/>
                    <w:rPr>
                      <w:noProof/>
                      <w:sz w:val="20"/>
                      <w:szCs w:val="20"/>
                    </w:rPr>
                  </w:pPr>
                  <w:r w:rsidRPr="00174DBF">
                    <w:rPr>
                      <w:sz w:val="20"/>
                      <w:szCs w:val="20"/>
                      <w:lang w:eastAsia="ko-KR"/>
                    </w:rPr>
                    <w:t>2&gt;</w:t>
                  </w:r>
                  <w:r w:rsidRPr="00174DBF">
                    <w:rPr>
                      <w:sz w:val="20"/>
                      <w:szCs w:val="20"/>
                    </w:rPr>
                    <w:tab/>
                    <w:t xml:space="preserve">if the </w:t>
                  </w:r>
                  <w:r w:rsidRPr="00174DBF">
                    <w:rPr>
                      <w:i/>
                      <w:iCs/>
                      <w:sz w:val="20"/>
                      <w:szCs w:val="20"/>
                    </w:rPr>
                    <w:t>timeAlignmentTimer</w:t>
                  </w:r>
                  <w:r w:rsidRPr="00174DBF">
                    <w:rPr>
                      <w:sz w:val="20"/>
                      <w:szCs w:val="20"/>
                    </w:rPr>
                    <w:t xml:space="preserve"> is associated with the </w:t>
                  </w:r>
                  <w:r w:rsidRPr="00174DBF">
                    <w:rPr>
                      <w:sz w:val="20"/>
                      <w:szCs w:val="20"/>
                      <w:lang w:eastAsia="ko-KR"/>
                    </w:rPr>
                    <w:t>P</w:t>
                  </w:r>
                  <w:r w:rsidRPr="00174DBF">
                    <w:rPr>
                      <w:sz w:val="20"/>
                      <w:szCs w:val="20"/>
                    </w:rPr>
                    <w:t>TAG:</w:t>
                  </w:r>
                </w:p>
                <w:p w:rsidR="00F0527B" w:rsidRPr="001E6BBC" w:rsidRDefault="00F0527B" w:rsidP="00F0527B">
                  <w:pPr>
                    <w:pStyle w:val="B3"/>
                    <w:rPr>
                      <w:rFonts w:eastAsiaTheme="minorEastAsia"/>
                      <w:noProof/>
                      <w:sz w:val="20"/>
                      <w:szCs w:val="20"/>
                    </w:rPr>
                  </w:pPr>
                  <w:r w:rsidRPr="00174DBF">
                    <w:rPr>
                      <w:noProof/>
                      <w:sz w:val="20"/>
                      <w:szCs w:val="20"/>
                      <w:lang w:eastAsia="ko-KR"/>
                    </w:rPr>
                    <w:t>3&gt;</w:t>
                  </w:r>
                  <w:r w:rsidRPr="00174DBF">
                    <w:rPr>
                      <w:noProof/>
                      <w:sz w:val="20"/>
                      <w:szCs w:val="20"/>
                    </w:rPr>
                    <w:tab/>
                    <w:t>flush all HARQ buffers for all Serving Cells;</w:t>
                  </w:r>
                </w:p>
                <w:p w:rsidR="00F0527B" w:rsidRPr="00174DBF" w:rsidRDefault="00F0527B" w:rsidP="00F0527B">
                  <w:pPr>
                    <w:pStyle w:val="B3"/>
                    <w:rPr>
                      <w:noProof/>
                      <w:sz w:val="20"/>
                      <w:szCs w:val="20"/>
                    </w:rPr>
                  </w:pPr>
                  <w:r w:rsidRPr="00174DBF">
                    <w:rPr>
                      <w:noProof/>
                      <w:sz w:val="20"/>
                      <w:szCs w:val="20"/>
                      <w:lang w:eastAsia="ko-KR"/>
                    </w:rPr>
                    <w:t>3&gt;</w:t>
                  </w:r>
                  <w:r w:rsidRPr="00174DBF">
                    <w:rPr>
                      <w:noProof/>
                      <w:sz w:val="20"/>
                      <w:szCs w:val="20"/>
                    </w:rPr>
                    <w:tab/>
                    <w:t>notify RRC to release PUCCH for all Serving Cells, if configured;</w:t>
                  </w:r>
                </w:p>
                <w:p w:rsidR="00F0527B" w:rsidRPr="00174DBF" w:rsidRDefault="00F0527B" w:rsidP="00F0527B">
                  <w:pPr>
                    <w:pStyle w:val="B3"/>
                    <w:rPr>
                      <w:noProof/>
                      <w:sz w:val="20"/>
                      <w:szCs w:val="20"/>
                    </w:rPr>
                  </w:pPr>
                  <w:r w:rsidRPr="00174DBF">
                    <w:rPr>
                      <w:noProof/>
                      <w:sz w:val="20"/>
                      <w:szCs w:val="20"/>
                      <w:lang w:eastAsia="ko-KR"/>
                    </w:rPr>
                    <w:t>3&gt;</w:t>
                  </w:r>
                  <w:r w:rsidRPr="00174DBF">
                    <w:rPr>
                      <w:noProof/>
                      <w:sz w:val="20"/>
                      <w:szCs w:val="20"/>
                    </w:rPr>
                    <w:tab/>
                    <w:t>notify RRC to release SRS for all Serving Cells, if configured;</w:t>
                  </w:r>
                </w:p>
                <w:p w:rsidR="00F0527B" w:rsidRPr="00174DBF" w:rsidRDefault="00F0527B" w:rsidP="00F0527B">
                  <w:pPr>
                    <w:pStyle w:val="B3"/>
                    <w:rPr>
                      <w:sz w:val="20"/>
                      <w:szCs w:val="20"/>
                    </w:rPr>
                  </w:pPr>
                  <w:r w:rsidRPr="001E6BBC">
                    <w:rPr>
                      <w:sz w:val="20"/>
                      <w:szCs w:val="20"/>
                      <w:highlight w:val="yellow"/>
                      <w:lang w:eastAsia="ko-KR"/>
                    </w:rPr>
                    <w:t>3&gt;</w:t>
                  </w:r>
                  <w:r w:rsidRPr="001E6BBC">
                    <w:rPr>
                      <w:sz w:val="20"/>
                      <w:szCs w:val="20"/>
                      <w:highlight w:val="yellow"/>
                    </w:rPr>
                    <w:tab/>
                  </w:r>
                  <w:r w:rsidRPr="001E6BBC">
                    <w:rPr>
                      <w:sz w:val="20"/>
                      <w:szCs w:val="20"/>
                      <w:highlight w:val="yellow"/>
                      <w:lang w:eastAsia="ko-KR"/>
                    </w:rPr>
                    <w:t>clear</w:t>
                  </w:r>
                  <w:r w:rsidRPr="001E6BBC">
                    <w:rPr>
                      <w:sz w:val="20"/>
                      <w:szCs w:val="20"/>
                      <w:highlight w:val="yellow"/>
                    </w:rPr>
                    <w:t xml:space="preserve"> any configured downlink assignments and </w:t>
                  </w:r>
                  <w:r w:rsidRPr="001E6BBC">
                    <w:rPr>
                      <w:sz w:val="20"/>
                      <w:szCs w:val="20"/>
                      <w:highlight w:val="yellow"/>
                      <w:lang w:eastAsia="ko-KR"/>
                    </w:rPr>
                    <w:t xml:space="preserve">configured </w:t>
                  </w:r>
                  <w:r w:rsidRPr="001E6BBC">
                    <w:rPr>
                      <w:sz w:val="20"/>
                      <w:szCs w:val="20"/>
                      <w:highlight w:val="yellow"/>
                    </w:rPr>
                    <w:t>uplink grants</w:t>
                  </w:r>
                  <w:r w:rsidRPr="00174DBF">
                    <w:rPr>
                      <w:sz w:val="20"/>
                      <w:szCs w:val="20"/>
                    </w:rPr>
                    <w:t>;</w:t>
                  </w:r>
                </w:p>
                <w:p w:rsidR="00F0527B" w:rsidRPr="00174DBF" w:rsidRDefault="00F0527B" w:rsidP="00F0527B">
                  <w:pPr>
                    <w:pStyle w:val="B3"/>
                    <w:rPr>
                      <w:sz w:val="20"/>
                      <w:szCs w:val="20"/>
                    </w:rPr>
                  </w:pPr>
                  <w:r w:rsidRPr="00174DBF">
                    <w:rPr>
                      <w:sz w:val="20"/>
                      <w:szCs w:val="20"/>
                    </w:rPr>
                    <w:t>3&gt;</w:t>
                  </w:r>
                  <w:r w:rsidRPr="00174DBF">
                    <w:rPr>
                      <w:sz w:val="20"/>
                      <w:szCs w:val="20"/>
                    </w:rPr>
                    <w:tab/>
                    <w:t>clear any PUSCH resource for semi-persistent CSI reporting;</w:t>
                  </w:r>
                </w:p>
                <w:p w:rsidR="00F0527B" w:rsidRPr="00174DBF" w:rsidRDefault="00F0527B" w:rsidP="00F0527B">
                  <w:pPr>
                    <w:pStyle w:val="B3"/>
                    <w:rPr>
                      <w:sz w:val="20"/>
                      <w:szCs w:val="20"/>
                      <w:lang w:eastAsia="ko-KR"/>
                    </w:rPr>
                  </w:pPr>
                  <w:r w:rsidRPr="00174DBF">
                    <w:rPr>
                      <w:sz w:val="20"/>
                      <w:szCs w:val="20"/>
                      <w:lang w:eastAsia="ko-KR"/>
                    </w:rPr>
                    <w:t>3&gt;</w:t>
                  </w:r>
                  <w:r w:rsidRPr="00174DBF">
                    <w:rPr>
                      <w:sz w:val="20"/>
                      <w:szCs w:val="20"/>
                    </w:rPr>
                    <w:tab/>
                    <w:t xml:space="preserve">consider all running </w:t>
                  </w:r>
                  <w:r w:rsidRPr="00174DBF">
                    <w:rPr>
                      <w:i/>
                      <w:sz w:val="20"/>
                      <w:szCs w:val="20"/>
                    </w:rPr>
                    <w:t>timeAlignmentTimer</w:t>
                  </w:r>
                  <w:r w:rsidRPr="00174DBF">
                    <w:rPr>
                      <w:sz w:val="20"/>
                      <w:szCs w:val="20"/>
                    </w:rPr>
                    <w:t>s as expired;</w:t>
                  </w:r>
                </w:p>
                <w:p w:rsidR="00F0527B" w:rsidRPr="00174DBF" w:rsidRDefault="00F0527B" w:rsidP="00F0527B">
                  <w:pPr>
                    <w:pStyle w:val="B3"/>
                    <w:rPr>
                      <w:rFonts w:eastAsiaTheme="minorEastAsia"/>
                      <w:sz w:val="20"/>
                      <w:szCs w:val="20"/>
                    </w:rPr>
                  </w:pPr>
                  <w:r w:rsidRPr="00174DBF">
                    <w:rPr>
                      <w:sz w:val="20"/>
                      <w:szCs w:val="20"/>
                      <w:lang w:eastAsia="ko-KR"/>
                    </w:rPr>
                    <w:t>3&gt;</w:t>
                  </w:r>
                  <w:r w:rsidRPr="00174DBF">
                    <w:rPr>
                      <w:sz w:val="20"/>
                      <w:szCs w:val="20"/>
                      <w:lang w:eastAsia="ko-KR"/>
                    </w:rPr>
                    <w:tab/>
                    <w:t>maintain N</w:t>
                  </w:r>
                  <w:r w:rsidRPr="00174DBF">
                    <w:rPr>
                      <w:sz w:val="20"/>
                      <w:szCs w:val="20"/>
                      <w:vertAlign w:val="subscript"/>
                      <w:lang w:eastAsia="ko-KR"/>
                    </w:rPr>
                    <w:t>TA</w:t>
                  </w:r>
                  <w:r w:rsidRPr="00174DBF">
                    <w:rPr>
                      <w:sz w:val="20"/>
                      <w:szCs w:val="20"/>
                      <w:lang w:eastAsia="ko-KR"/>
                    </w:rPr>
                    <w:t xml:space="preserve"> (defined in TS 38.211 [8]) of all TAGs.</w:t>
                  </w:r>
                </w:p>
              </w:tc>
            </w:tr>
          </w:tbl>
          <w:p w:rsidR="00F0527B" w:rsidRPr="00C043B0" w:rsidRDefault="00F0527B" w:rsidP="00F0527B">
            <w:pPr>
              <w:snapToGrid w:val="0"/>
              <w:rPr>
                <w:rFonts w:eastAsia="游明朝" w:cs="Arial"/>
                <w:snapToGrid w:val="0"/>
                <w:sz w:val="20"/>
                <w:szCs w:val="20"/>
                <w:lang w:eastAsia="ja-JP"/>
              </w:rPr>
            </w:pPr>
          </w:p>
        </w:tc>
        <w:tc>
          <w:tcPr>
            <w:tcW w:w="4814" w:type="dxa"/>
          </w:tcPr>
          <w:p w:rsidR="00F0527B" w:rsidRDefault="00F0527B" w:rsidP="00F0527B">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w:t>
            </w:r>
            <w:r w:rsidR="00F0527B">
              <w:rPr>
                <w:rFonts w:cs="Arial"/>
                <w:snapToGrid w:val="0"/>
                <w:sz w:val="20"/>
                <w:szCs w:val="20"/>
              </w:rPr>
              <w:t>’</w:t>
            </w:r>
            <w:r>
              <w:rPr>
                <w:rFonts w:cs="Arial"/>
                <w:snapToGrid w:val="0"/>
                <w:sz w:val="20"/>
                <w:szCs w:val="20"/>
              </w:rPr>
              <w:t>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proofErr w:type="spellStart"/>
            <w:r w:rsidR="00FC144F">
              <w:rPr>
                <w:rFonts w:cs="Arial"/>
                <w:snapToGrid w:val="0"/>
                <w:sz w:val="20"/>
                <w:szCs w:val="20"/>
              </w:rPr>
              <w:t>Mediatek</w:t>
            </w:r>
            <w:proofErr w:type="spellEnd"/>
            <w:r w:rsidR="00097C58">
              <w:rPr>
                <w:rFonts w:eastAsia="Malgun Gothic"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447EBA">
        <w:tc>
          <w:tcPr>
            <w:tcW w:w="1555" w:type="dxa"/>
          </w:tcPr>
          <w:p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rsidR="00447EBA" w:rsidRDefault="00447EBA" w:rsidP="00B747B1">
            <w:pPr>
              <w:snapToGrid w:val="0"/>
              <w:rPr>
                <w:rFonts w:cs="Arial"/>
                <w:b/>
                <w:bCs/>
                <w:snapToGrid w:val="0"/>
                <w:sz w:val="20"/>
                <w:szCs w:val="20"/>
              </w:rPr>
            </w:pPr>
          </w:p>
        </w:tc>
      </w:tr>
      <w:tr w:rsidR="00AC1663">
        <w:tc>
          <w:tcPr>
            <w:tcW w:w="1555" w:type="dxa"/>
          </w:tcPr>
          <w:p w:rsidR="00AC1663" w:rsidRDefault="00AC1663"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AC1663" w:rsidRDefault="00AC1663" w:rsidP="00B747B1">
            <w:pPr>
              <w:snapToGrid w:val="0"/>
              <w:rPr>
                <w:rFonts w:cs="Arial"/>
                <w:b/>
                <w:bCs/>
                <w:snapToGrid w:val="0"/>
                <w:sz w:val="20"/>
                <w:szCs w:val="20"/>
              </w:rPr>
            </w:pPr>
          </w:p>
        </w:tc>
      </w:tr>
      <w:tr w:rsidR="003F2397">
        <w:tc>
          <w:tcPr>
            <w:tcW w:w="1555" w:type="dxa"/>
          </w:tcPr>
          <w:p w:rsidR="003F2397" w:rsidRPr="003F2397" w:rsidRDefault="003F2397"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3F2397" w:rsidRPr="003F2397" w:rsidRDefault="003F2397" w:rsidP="00AF268D">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rsidR="003F2397" w:rsidRDefault="003F2397"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r w:rsidR="007571D2">
        <w:tc>
          <w:tcPr>
            <w:tcW w:w="1555" w:type="dxa"/>
          </w:tcPr>
          <w:p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rsidR="007571D2" w:rsidRDefault="007571D2" w:rsidP="004A5661">
            <w:pPr>
              <w:snapToGrid w:val="0"/>
              <w:rPr>
                <w:rFonts w:cs="Arial"/>
                <w:b/>
                <w:bCs/>
                <w:snapToGrid w:val="0"/>
                <w:sz w:val="20"/>
                <w:szCs w:val="20"/>
              </w:rPr>
            </w:pPr>
          </w:p>
        </w:tc>
      </w:tr>
      <w:tr w:rsidR="009151CD">
        <w:tc>
          <w:tcPr>
            <w:tcW w:w="1555" w:type="dxa"/>
          </w:tcPr>
          <w:p w:rsidR="009151CD" w:rsidRDefault="009151CD"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rsidR="009151CD" w:rsidRDefault="009151CD" w:rsidP="004A5661">
            <w:pPr>
              <w:snapToGrid w:val="0"/>
              <w:rPr>
                <w:rFonts w:cs="Arial"/>
                <w:b/>
                <w:bCs/>
                <w:snapToGrid w:val="0"/>
                <w:sz w:val="20"/>
                <w:szCs w:val="20"/>
              </w:rPr>
            </w:pPr>
          </w:p>
        </w:tc>
      </w:tr>
      <w:tr w:rsidR="003F2397">
        <w:tc>
          <w:tcPr>
            <w:tcW w:w="1555" w:type="dxa"/>
          </w:tcPr>
          <w:p w:rsidR="003F2397" w:rsidRPr="003F2397" w:rsidRDefault="003F2397" w:rsidP="004A566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7700E0" w:rsidRDefault="007700E0" w:rsidP="00DE09AF">
            <w:pPr>
              <w:snapToGrid w:val="0"/>
              <w:rPr>
                <w:rFonts w:eastAsia="游明朝" w:cs="Arial"/>
                <w:snapToGrid w:val="0"/>
                <w:sz w:val="20"/>
                <w:szCs w:val="20"/>
                <w:lang w:eastAsia="ja-JP"/>
              </w:rPr>
            </w:pPr>
            <w:r>
              <w:rPr>
                <w:rFonts w:eastAsia="游明朝" w:cs="Arial" w:hint="eastAsia"/>
                <w:snapToGrid w:val="0"/>
                <w:sz w:val="20"/>
                <w:szCs w:val="20"/>
                <w:lang w:eastAsia="ja-JP"/>
              </w:rPr>
              <w:t>A</w:t>
            </w:r>
            <w:r>
              <w:rPr>
                <w:rFonts w:eastAsia="游明朝" w:cs="Arial"/>
                <w:snapToGrid w:val="0"/>
                <w:sz w:val="20"/>
                <w:szCs w:val="20"/>
                <w:lang w:eastAsia="ja-JP"/>
              </w:rPr>
              <w:t xml:space="preserve">lso don’t get why re-establishment is needed. According to the current </w:t>
            </w:r>
            <w:proofErr w:type="spellStart"/>
            <w:r>
              <w:rPr>
                <w:rFonts w:eastAsia="游明朝" w:cs="Arial"/>
                <w:snapToGrid w:val="0"/>
                <w:sz w:val="20"/>
                <w:szCs w:val="20"/>
                <w:lang w:eastAsia="ja-JP"/>
              </w:rPr>
              <w:t>RRCResumeRequest</w:t>
            </w:r>
            <w:proofErr w:type="spellEnd"/>
            <w:r>
              <w:rPr>
                <w:rFonts w:eastAsia="游明朝" w:cs="Arial"/>
                <w:snapToGrid w:val="0"/>
                <w:sz w:val="20"/>
                <w:szCs w:val="20"/>
                <w:lang w:eastAsia="ja-JP"/>
              </w:rPr>
              <w:t xml:space="preserve"> description in TS38.331, only SRB1 is resumed after PDCP re-establishment for SRB1 the conveying </w:t>
            </w:r>
            <w:proofErr w:type="spellStart"/>
            <w:r>
              <w:rPr>
                <w:rFonts w:eastAsia="游明朝" w:cs="Arial"/>
                <w:snapToGrid w:val="0"/>
                <w:sz w:val="20"/>
                <w:szCs w:val="20"/>
                <w:lang w:eastAsia="ja-JP"/>
              </w:rPr>
              <w:t>RRCResumeRequest</w:t>
            </w:r>
            <w:proofErr w:type="spellEnd"/>
            <w:r>
              <w:rPr>
                <w:rFonts w:eastAsia="游明朝" w:cs="Arial"/>
                <w:snapToGrid w:val="0"/>
                <w:sz w:val="20"/>
                <w:szCs w:val="20"/>
                <w:lang w:eastAsia="ja-JP"/>
              </w:rPr>
              <w:t>. On top of this, DRBs behaviors need to be discussed.</w:t>
            </w:r>
          </w:p>
          <w:p w:rsidR="003F2397" w:rsidRDefault="003F2397" w:rsidP="00DE09AF">
            <w:pPr>
              <w:snapToGrid w:val="0"/>
              <w:rPr>
                <w:rFonts w:cs="Arial"/>
                <w:snapToGrid w:val="0"/>
                <w:sz w:val="20"/>
                <w:szCs w:val="20"/>
              </w:rPr>
            </w:pPr>
            <w:r>
              <w:rPr>
                <w:rFonts w:eastAsia="游明朝" w:cs="Arial"/>
                <w:snapToGrid w:val="0"/>
                <w:sz w:val="20"/>
                <w:szCs w:val="20"/>
                <w:lang w:eastAsia="ja-JP"/>
              </w:rPr>
              <w:t>We put our views raised in the above:</w:t>
            </w:r>
            <w:r>
              <w:rPr>
                <w:rFonts w:eastAsia="游明朝" w:cs="Arial"/>
                <w:snapToGrid w:val="0"/>
                <w:sz w:val="20"/>
                <w:szCs w:val="20"/>
                <w:lang w:eastAsia="ja-JP"/>
              </w:rPr>
              <w:br/>
              <w:t>- Whether to resume all DRBs or only DRBs configured with DRBs =&gt; Only DRBs configured with SDT.</w:t>
            </w:r>
            <w:r w:rsidR="007700E0">
              <w:rPr>
                <w:rFonts w:eastAsia="游明朝" w:cs="Arial"/>
                <w:snapToGrid w:val="0"/>
                <w:sz w:val="20"/>
                <w:szCs w:val="20"/>
                <w:lang w:eastAsia="ja-JP"/>
              </w:rPr>
              <w:t xml:space="preserve"> If all DRBs need to be resumed, then the </w:t>
            </w:r>
            <w:proofErr w:type="spellStart"/>
            <w:r w:rsidR="007700E0">
              <w:rPr>
                <w:rFonts w:eastAsia="游明朝" w:cs="Arial"/>
                <w:snapToGrid w:val="0"/>
                <w:sz w:val="20"/>
                <w:szCs w:val="20"/>
                <w:lang w:eastAsia="ja-JP"/>
              </w:rPr>
              <w:t>gNB</w:t>
            </w:r>
            <w:proofErr w:type="spellEnd"/>
            <w:r w:rsidR="007700E0">
              <w:rPr>
                <w:rFonts w:eastAsia="游明朝" w:cs="Arial"/>
                <w:snapToGrid w:val="0"/>
                <w:sz w:val="20"/>
                <w:szCs w:val="20"/>
                <w:lang w:eastAsia="ja-JP"/>
              </w:rPr>
              <w:t xml:space="preserve"> should send </w:t>
            </w:r>
            <w:proofErr w:type="spellStart"/>
            <w:r w:rsidR="007700E0">
              <w:rPr>
                <w:rFonts w:eastAsia="游明朝" w:cs="Arial"/>
                <w:snapToGrid w:val="0"/>
                <w:sz w:val="20"/>
                <w:szCs w:val="20"/>
                <w:lang w:eastAsia="ja-JP"/>
              </w:rPr>
              <w:t>RRCResume</w:t>
            </w:r>
            <w:proofErr w:type="spellEnd"/>
            <w:r w:rsidR="007700E0">
              <w:rPr>
                <w:rFonts w:eastAsia="游明朝" w:cs="Arial"/>
                <w:snapToGrid w:val="0"/>
                <w:sz w:val="20"/>
                <w:szCs w:val="20"/>
                <w:lang w:eastAsia="ja-JP"/>
              </w:rPr>
              <w:t xml:space="preserve"> to incur state transition from INACTIVE to CONNECTED.</w:t>
            </w:r>
            <w:r>
              <w:rPr>
                <w:rFonts w:eastAsia="游明朝" w:cs="Arial"/>
                <w:snapToGrid w:val="0"/>
                <w:sz w:val="20"/>
                <w:szCs w:val="20"/>
                <w:lang w:eastAsia="ja-JP"/>
              </w:rPr>
              <w:br/>
              <w:t xml:space="preserve">- PDCP duplication =&gt; Need discussions since duplication status </w:t>
            </w:r>
            <w:r w:rsidR="007700E0">
              <w:rPr>
                <w:rFonts w:eastAsia="游明朝" w:cs="Arial"/>
                <w:snapToGrid w:val="0"/>
                <w:sz w:val="20"/>
                <w:szCs w:val="20"/>
                <w:lang w:eastAsia="ja-JP"/>
              </w:rPr>
              <w:t xml:space="preserve">during INACTIVE </w:t>
            </w:r>
            <w:r>
              <w:rPr>
                <w:rFonts w:eastAsia="游明朝" w:cs="Arial"/>
                <w:snapToGrid w:val="0"/>
                <w:sz w:val="20"/>
                <w:szCs w:val="20"/>
                <w:lang w:eastAsia="ja-JP"/>
              </w:rPr>
              <w:t>is not specified in TS38.321 and TS38.323.</w:t>
            </w:r>
            <w:r>
              <w:rPr>
                <w:rFonts w:eastAsia="游明朝" w:cs="Arial"/>
                <w:snapToGrid w:val="0"/>
                <w:sz w:val="20"/>
                <w:szCs w:val="20"/>
                <w:lang w:eastAsia="ja-JP"/>
              </w:rPr>
              <w:br/>
              <w:t>- PDCP variables =&gt; Not sure the benefit of keeping PDCP variables.</w:t>
            </w:r>
          </w:p>
        </w:tc>
        <w:tc>
          <w:tcPr>
            <w:tcW w:w="4814" w:type="dxa"/>
          </w:tcPr>
          <w:p w:rsidR="003F2397" w:rsidRDefault="003F2397"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w:t>
      </w:r>
      <w:proofErr w:type="spellStart"/>
      <w:r>
        <w:rPr>
          <w:sz w:val="20"/>
          <w:szCs w:val="20"/>
          <w:lang w:val="en-GB" w:eastAsia="zh-CN"/>
        </w:rPr>
        <w:t>C</w:t>
      </w:r>
      <w:r w:rsidR="00F0527B">
        <w:rPr>
          <w:sz w:val="20"/>
          <w:szCs w:val="20"/>
          <w:lang w:val="en-GB" w:eastAsia="zh-CN"/>
        </w:rPr>
        <w:t>e</w:t>
      </w:r>
      <w:r>
        <w:rPr>
          <w:sz w:val="20"/>
          <w:szCs w:val="20"/>
          <w:lang w:val="en-GB" w:eastAsia="zh-CN"/>
        </w:rPr>
        <w:t>s</w:t>
      </w:r>
      <w:proofErr w:type="spellEnd"/>
      <w:r>
        <w:rPr>
          <w:sz w:val="20"/>
          <w:szCs w:val="20"/>
          <w:lang w:val="en-GB" w:eastAsia="zh-CN"/>
        </w:rPr>
        <w:t xml:space="preserve">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8"/>
        <w:numPr>
          <w:ilvl w:val="0"/>
          <w:numId w:val="5"/>
        </w:num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af8"/>
              <w:numPr>
                <w:ilvl w:val="0"/>
                <w:numId w:val="5"/>
              </w:numPr>
              <w:snapToGrid w:val="0"/>
              <w:rPr>
                <w:rFonts w:cs="Arial"/>
                <w:b/>
                <w:bCs/>
                <w:snapToGrid w:val="0"/>
                <w:sz w:val="20"/>
                <w:szCs w:val="20"/>
                <w:lang w:val="fr-FR"/>
              </w:rPr>
            </w:pPr>
            <w:r w:rsidRPr="00D15302">
              <w:rPr>
                <w:rFonts w:cs="Arial"/>
                <w:b/>
                <w:bCs/>
                <w:snapToGrid w:val="0"/>
                <w:sz w:val="20"/>
                <w:szCs w:val="20"/>
                <w:lang w:val="fr-FR"/>
              </w:rPr>
              <w:t>MAC C</w:t>
            </w:r>
            <w:r w:rsidR="00F0527B" w:rsidRPr="00D15302">
              <w:rPr>
                <w:rFonts w:cs="Arial"/>
                <w:b/>
                <w:bCs/>
                <w:snapToGrid w:val="0"/>
                <w:sz w:val="20"/>
                <w:szCs w:val="20"/>
                <w:lang w:val="fr-FR"/>
              </w:rPr>
              <w:t>e</w:t>
            </w:r>
            <w:r w:rsidRPr="00D15302">
              <w:rPr>
                <w:rFonts w:cs="Arial"/>
                <w:b/>
                <w:bCs/>
                <w:snapToGrid w:val="0"/>
                <w:sz w:val="20"/>
                <w:szCs w:val="20"/>
                <w:lang w:val="fr-FR"/>
              </w:rPr>
              <w:t>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so that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r w:rsidR="00854AAC">
        <w:tc>
          <w:tcPr>
            <w:tcW w:w="1555" w:type="dxa"/>
          </w:tcPr>
          <w:p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rsidR="00854AAC" w:rsidRDefault="00854AAC" w:rsidP="004A5661">
            <w:pPr>
              <w:snapToGrid w:val="0"/>
              <w:rPr>
                <w:rFonts w:cs="Arial"/>
                <w:b/>
                <w:bCs/>
                <w:snapToGrid w:val="0"/>
                <w:sz w:val="20"/>
                <w:szCs w:val="20"/>
              </w:rPr>
            </w:pPr>
          </w:p>
        </w:tc>
      </w:tr>
      <w:tr w:rsidR="004D2483">
        <w:tc>
          <w:tcPr>
            <w:tcW w:w="1555" w:type="dxa"/>
          </w:tcPr>
          <w:p w:rsidR="004D2483" w:rsidRDefault="004D2483"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w:t>
            </w:r>
            <w:proofErr w:type="spellStart"/>
            <w:r>
              <w:rPr>
                <w:rFonts w:eastAsia="PMingLiU" w:cs="Arial"/>
                <w:snapToGrid w:val="0"/>
                <w:sz w:val="20"/>
                <w:szCs w:val="20"/>
                <w:lang w:eastAsia="zh-TW"/>
              </w:rPr>
              <w:t>C</w:t>
            </w:r>
            <w:r w:rsidR="00F0527B">
              <w:rPr>
                <w:rFonts w:eastAsia="PMingLiU" w:cs="Arial"/>
                <w:snapToGrid w:val="0"/>
                <w:sz w:val="20"/>
                <w:szCs w:val="20"/>
                <w:lang w:eastAsia="zh-TW"/>
              </w:rPr>
              <w:t>e</w:t>
            </w:r>
            <w:r w:rsidR="00DC7389">
              <w:rPr>
                <w:rFonts w:eastAsia="PMingLiU" w:cs="Arial"/>
                <w:snapToGrid w:val="0"/>
                <w:sz w:val="20"/>
                <w:szCs w:val="20"/>
                <w:lang w:eastAsia="zh-TW"/>
              </w:rPr>
              <w:t>s</w:t>
            </w:r>
            <w:proofErr w:type="spellEnd"/>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rsidR="004D2483" w:rsidRDefault="004D2483" w:rsidP="004A5661">
            <w:pPr>
              <w:snapToGrid w:val="0"/>
              <w:rPr>
                <w:rFonts w:cs="Arial"/>
                <w:b/>
                <w:bCs/>
                <w:snapToGrid w:val="0"/>
                <w:sz w:val="20"/>
                <w:szCs w:val="20"/>
              </w:rPr>
            </w:pPr>
          </w:p>
        </w:tc>
      </w:tr>
      <w:tr w:rsidR="007700E0">
        <w:tc>
          <w:tcPr>
            <w:tcW w:w="1555" w:type="dxa"/>
          </w:tcPr>
          <w:p w:rsidR="007700E0" w:rsidRPr="007700E0" w:rsidRDefault="007700E0" w:rsidP="004A566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7700E0" w:rsidRPr="007700E0" w:rsidRDefault="007700E0" w:rsidP="00DC7389">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 The listed contents would be the starting point of this discussion.</w:t>
            </w:r>
          </w:p>
        </w:tc>
        <w:tc>
          <w:tcPr>
            <w:tcW w:w="4814" w:type="dxa"/>
          </w:tcPr>
          <w:p w:rsidR="007700E0" w:rsidRDefault="007700E0"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sidRPr="00C562EF">
              <w:rPr>
                <w:rFonts w:cs="Arial"/>
                <w:b/>
                <w:bCs/>
                <w:snapToGrid w:val="0"/>
                <w:sz w:val="11"/>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r w:rsidR="00895F08">
        <w:tc>
          <w:tcPr>
            <w:tcW w:w="1555" w:type="dxa"/>
          </w:tcPr>
          <w:p w:rsidR="00895F08" w:rsidRPr="00895F08" w:rsidRDefault="00895F08"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895F08" w:rsidRPr="00895F08" w:rsidRDefault="00895F08" w:rsidP="00B747B1">
            <w:pPr>
              <w:snapToGrid w:val="0"/>
              <w:rPr>
                <w:rFonts w:eastAsia="游明朝" w:cs="Arial" w:hint="eastAsia"/>
                <w:snapToGrid w:val="0"/>
                <w:sz w:val="20"/>
                <w:szCs w:val="20"/>
                <w:lang w:eastAsia="ja-JP"/>
              </w:rPr>
            </w:pPr>
            <w:r>
              <w:rPr>
                <w:rFonts w:eastAsia="游明朝" w:cs="Arial"/>
                <w:snapToGrid w:val="0"/>
                <w:sz w:val="20"/>
                <w:szCs w:val="20"/>
                <w:lang w:eastAsia="ja-JP"/>
              </w:rPr>
              <w:t>Yes.</w:t>
            </w:r>
          </w:p>
        </w:tc>
        <w:tc>
          <w:tcPr>
            <w:tcW w:w="4814" w:type="dxa"/>
          </w:tcPr>
          <w:p w:rsidR="00895F08" w:rsidRDefault="00895F08"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r w:rsidR="00895F08">
        <w:tc>
          <w:tcPr>
            <w:tcW w:w="1555" w:type="dxa"/>
          </w:tcPr>
          <w:p w:rsidR="00895F08" w:rsidRPr="00895F08" w:rsidRDefault="00895F08"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895F08" w:rsidRPr="00895F08" w:rsidRDefault="00895F08"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rsidR="00895F08" w:rsidRDefault="00895F08" w:rsidP="00B747B1">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w:t>
            </w:r>
            <w:proofErr w:type="spellStart"/>
            <w:r w:rsidRPr="005D5618">
              <w:rPr>
                <w:rFonts w:eastAsiaTheme="minorEastAsia" w:cs="Arial"/>
                <w:snapToGrid w:val="0"/>
                <w:sz w:val="20"/>
                <w:szCs w:val="20"/>
                <w:lang w:eastAsia="zh-CN"/>
              </w:rPr>
              <w:t>U</w:t>
            </w:r>
            <w:r w:rsidR="00F0527B" w:rsidRPr="005D5618">
              <w:rPr>
                <w:rFonts w:eastAsiaTheme="minorEastAsia" w:cs="Arial"/>
                <w:snapToGrid w:val="0"/>
                <w:sz w:val="20"/>
                <w:szCs w:val="20"/>
                <w:lang w:eastAsia="zh-CN"/>
              </w:rPr>
              <w:t>e</w:t>
            </w:r>
            <w:r w:rsidRPr="005D5618">
              <w:rPr>
                <w:rFonts w:eastAsiaTheme="minorEastAsia" w:cs="Arial"/>
                <w:snapToGrid w:val="0"/>
                <w:sz w:val="20"/>
                <w:szCs w:val="20"/>
                <w:lang w:eastAsia="zh-CN"/>
              </w:rPr>
              <w:t>s</w:t>
            </w:r>
            <w:proofErr w:type="spellEnd"/>
            <w:r w:rsidRPr="005D5618">
              <w:rPr>
                <w:rFonts w:eastAsiaTheme="minorEastAsia" w:cs="Arial"/>
                <w:snapToGrid w:val="0"/>
                <w:sz w:val="20"/>
                <w:szCs w:val="20"/>
                <w:lang w:eastAsia="zh-CN"/>
              </w:rPr>
              <w:t xml:space="preserve">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r w:rsidR="00F46B98">
        <w:tc>
          <w:tcPr>
            <w:tcW w:w="1555" w:type="dxa"/>
          </w:tcPr>
          <w:p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rsidR="00F46B98" w:rsidRDefault="00F46B98" w:rsidP="00097C58">
            <w:pPr>
              <w:snapToGrid w:val="0"/>
              <w:rPr>
                <w:rFonts w:cs="Arial"/>
                <w:b/>
                <w:bCs/>
                <w:snapToGrid w:val="0"/>
                <w:sz w:val="20"/>
                <w:szCs w:val="20"/>
              </w:rPr>
            </w:pPr>
          </w:p>
        </w:tc>
      </w:tr>
      <w:tr w:rsidR="008C2F90">
        <w:tc>
          <w:tcPr>
            <w:tcW w:w="1555" w:type="dxa"/>
          </w:tcPr>
          <w:p w:rsidR="008C2F90" w:rsidRDefault="008C2F90" w:rsidP="008C2F90">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rsidR="008C2F90" w:rsidRDefault="008C2F90" w:rsidP="008C2F90">
            <w:pPr>
              <w:snapToGrid w:val="0"/>
              <w:rPr>
                <w:rFonts w:cs="Arial"/>
                <w:b/>
                <w:bCs/>
                <w:snapToGrid w:val="0"/>
                <w:sz w:val="20"/>
                <w:szCs w:val="20"/>
              </w:rPr>
            </w:pPr>
          </w:p>
        </w:tc>
      </w:tr>
      <w:tr w:rsidR="00895F08">
        <w:tc>
          <w:tcPr>
            <w:tcW w:w="1555" w:type="dxa"/>
          </w:tcPr>
          <w:p w:rsidR="00895F08" w:rsidRPr="00895F08" w:rsidRDefault="00895F08" w:rsidP="008C2F90">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895F08" w:rsidRDefault="00895F08" w:rsidP="00C562EF">
            <w:pPr>
              <w:snapToGrid w:val="0"/>
              <w:rPr>
                <w:rFonts w:eastAsia="PMingLiU" w:cs="Arial"/>
                <w:snapToGrid w:val="0"/>
                <w:sz w:val="20"/>
                <w:szCs w:val="20"/>
                <w:lang w:eastAsia="zh-TW"/>
              </w:rPr>
            </w:pPr>
            <w:r>
              <w:rPr>
                <w:rFonts w:cs="Arial"/>
                <w:snapToGrid w:val="0"/>
                <w:sz w:val="20"/>
                <w:szCs w:val="20"/>
              </w:rPr>
              <w:t xml:space="preserve">Yes, the UE shall monitor C-RNTI. The detail of search space is up to RAN1. Fujitsu don’t see </w:t>
            </w:r>
            <w:r>
              <w:rPr>
                <w:rFonts w:cs="Arial"/>
                <w:snapToGrid w:val="0"/>
                <w:sz w:val="20"/>
                <w:szCs w:val="20"/>
              </w:rPr>
              <w:t xml:space="preserve">the necessity </w:t>
            </w:r>
            <w:r>
              <w:rPr>
                <w:rFonts w:cs="Arial"/>
                <w:snapToGrid w:val="0"/>
                <w:sz w:val="20"/>
                <w:szCs w:val="20"/>
              </w:rPr>
              <w:t>to introduce new RNTI.</w:t>
            </w:r>
          </w:p>
        </w:tc>
        <w:tc>
          <w:tcPr>
            <w:tcW w:w="4814" w:type="dxa"/>
          </w:tcPr>
          <w:p w:rsidR="00895F08" w:rsidRDefault="00895F08" w:rsidP="008C2F90">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 xml:space="preserve">We think the resource can be shared between time/frequency/DMRS port, like what we had for configured grant in R15. Although UE use dedicated </w:t>
            </w:r>
            <w:r w:rsidR="00F0527B">
              <w:rPr>
                <w:rFonts w:eastAsiaTheme="minorEastAsia" w:cs="Arial"/>
                <w:snapToGrid w:val="0"/>
                <w:sz w:val="20"/>
                <w:szCs w:val="20"/>
                <w:lang w:eastAsia="zh-CN"/>
              </w:rPr>
              <w:pgNum/>
            </w:r>
            <w:proofErr w:type="spellStart"/>
            <w:r w:rsidR="00F0527B">
              <w:rPr>
                <w:rFonts w:eastAsiaTheme="minorEastAsia" w:cs="Arial"/>
                <w:snapToGrid w:val="0"/>
                <w:sz w:val="20"/>
                <w:szCs w:val="20"/>
                <w:lang w:eastAsia="zh-CN"/>
              </w:rPr>
              <w:t>amsung</w:t>
            </w:r>
            <w:proofErr w:type="spellEnd"/>
            <w:r w:rsidR="00F0527B">
              <w:rPr>
                <w:rFonts w:eastAsiaTheme="minorEastAsia" w:cs="Arial"/>
                <w:snapToGrid w:val="0"/>
                <w:sz w:val="20"/>
                <w:szCs w:val="20"/>
                <w:lang w:eastAsia="zh-CN"/>
              </w:rPr>
              <w:pgNum/>
              <w:t>g</w:t>
            </w:r>
            <w:r w:rsidRPr="00092FC9">
              <w:rPr>
                <w:rFonts w:eastAsiaTheme="minorEastAsia" w:cs="Arial"/>
                <w:snapToGrid w:val="0"/>
                <w:sz w:val="20"/>
                <w:szCs w:val="20"/>
                <w:lang w:eastAsia="zh-CN"/>
              </w:rPr>
              <w:t xml:space="preserve"> to configure CG resource for the UE, while for different </w:t>
            </w:r>
            <w:proofErr w:type="spellStart"/>
            <w:r w:rsidRPr="00092FC9">
              <w:rPr>
                <w:rFonts w:eastAsiaTheme="minorEastAsia" w:cs="Arial"/>
                <w:snapToGrid w:val="0"/>
                <w:sz w:val="20"/>
                <w:szCs w:val="20"/>
                <w:lang w:eastAsia="zh-CN"/>
              </w:rPr>
              <w:t>U</w:t>
            </w:r>
            <w:r w:rsidR="00F0527B" w:rsidRPr="00092FC9">
              <w:rPr>
                <w:rFonts w:eastAsiaTheme="minorEastAsia" w:cs="Arial"/>
                <w:snapToGrid w:val="0"/>
                <w:sz w:val="20"/>
                <w:szCs w:val="20"/>
                <w:lang w:eastAsia="zh-CN"/>
              </w:rPr>
              <w:t>e</w:t>
            </w:r>
            <w:r w:rsidRPr="00092FC9">
              <w:rPr>
                <w:rFonts w:eastAsiaTheme="minorEastAsia" w:cs="Arial"/>
                <w:snapToGrid w:val="0"/>
                <w:sz w:val="20"/>
                <w:szCs w:val="20"/>
                <w:lang w:eastAsia="zh-CN"/>
              </w:rPr>
              <w:t>s</w:t>
            </w:r>
            <w:proofErr w:type="spellEnd"/>
            <w:r w:rsidRPr="00092FC9">
              <w:rPr>
                <w:rFonts w:eastAsiaTheme="minorEastAsia" w:cs="Arial"/>
                <w:snapToGrid w:val="0"/>
                <w:sz w:val="20"/>
                <w:szCs w:val="20"/>
                <w:lang w:eastAsia="zh-CN"/>
              </w:rPr>
              <w:t>,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rsidR="00F46B98" w:rsidRDefault="00F46B98" w:rsidP="00B747B1">
            <w:pPr>
              <w:snapToGrid w:val="0"/>
              <w:rPr>
                <w:rFonts w:cs="Arial"/>
                <w:b/>
                <w:bCs/>
                <w:snapToGrid w:val="0"/>
                <w:sz w:val="20"/>
                <w:szCs w:val="20"/>
              </w:rPr>
            </w:pPr>
          </w:p>
        </w:tc>
      </w:tr>
      <w:tr w:rsidR="00F66A5C">
        <w:tc>
          <w:tcPr>
            <w:tcW w:w="1555" w:type="dxa"/>
          </w:tcPr>
          <w:p w:rsidR="00F66A5C" w:rsidRDefault="00F66A5C"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rsidR="00F66A5C" w:rsidRDefault="00F66A5C" w:rsidP="00B747B1">
            <w:pPr>
              <w:snapToGrid w:val="0"/>
              <w:rPr>
                <w:rFonts w:cs="Arial"/>
                <w:b/>
                <w:bCs/>
                <w:snapToGrid w:val="0"/>
                <w:sz w:val="20"/>
                <w:szCs w:val="20"/>
              </w:rPr>
            </w:pPr>
          </w:p>
        </w:tc>
      </w:tr>
      <w:tr w:rsidR="00895F08">
        <w:tc>
          <w:tcPr>
            <w:tcW w:w="1555" w:type="dxa"/>
          </w:tcPr>
          <w:p w:rsidR="00895F08" w:rsidRPr="00895F08" w:rsidRDefault="00895F08"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895F08" w:rsidRDefault="00F77EAB" w:rsidP="00190382">
            <w:pPr>
              <w:snapToGrid w:val="0"/>
              <w:rPr>
                <w:rFonts w:eastAsia="Malgun Gothic" w:cs="Arial" w:hint="eastAsia"/>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rsidR="00895F08" w:rsidRDefault="00895F08"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w:t>
            </w:r>
            <w:r w:rsidR="00F0527B">
              <w:rPr>
                <w:rFonts w:eastAsiaTheme="minorEastAsia" w:cs="Arial"/>
                <w:snapToGrid w:val="0"/>
                <w:sz w:val="20"/>
                <w:szCs w:val="20"/>
                <w:lang w:eastAsia="zh-CN"/>
              </w:rPr>
              <w:t>T</w:t>
            </w:r>
            <w:r>
              <w:rPr>
                <w:rFonts w:eastAsiaTheme="minorEastAsia" w:cs="Arial"/>
                <w:snapToGrid w:val="0"/>
                <w:sz w:val="20"/>
                <w:szCs w:val="20"/>
                <w:lang w:eastAsia="zh-CN"/>
              </w:rPr>
              <w:t xml:space="preserve">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 xml:space="preserve">-I derivation and not used for PDCCH monitoring. </w:t>
            </w:r>
            <w:r w:rsidR="00F0527B">
              <w:rPr>
                <w:rFonts w:eastAsiaTheme="minorEastAsia" w:cs="Arial"/>
                <w:snapToGrid w:val="0"/>
                <w:sz w:val="20"/>
                <w:szCs w:val="20"/>
                <w:lang w:eastAsia="zh-CN"/>
              </w:rPr>
              <w:t>I</w:t>
            </w:r>
            <w:r>
              <w:rPr>
                <w:rFonts w:eastAsiaTheme="minorEastAsia" w:cs="Arial"/>
                <w:snapToGrid w:val="0"/>
                <w:sz w:val="20"/>
                <w:szCs w:val="20"/>
                <w:lang w:eastAsia="zh-CN"/>
              </w:rPr>
              <w:t xml:space="preserve">t can be allocated by the NW to the other </w:t>
            </w:r>
            <w:proofErr w:type="spellStart"/>
            <w:r>
              <w:rPr>
                <w:rFonts w:eastAsiaTheme="minorEastAsia" w:cs="Arial"/>
                <w:snapToGrid w:val="0"/>
                <w:sz w:val="20"/>
                <w:szCs w:val="20"/>
                <w:lang w:eastAsia="zh-CN"/>
              </w:rPr>
              <w:t>U</w:t>
            </w:r>
            <w:r w:rsidR="00F0527B">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as long as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roofErr w:type="spellStart"/>
            <w:r>
              <w:rPr>
                <w:rFonts w:eastAsiaTheme="minorEastAsia" w:cs="Arial"/>
                <w:snapToGrid w:val="0"/>
                <w:sz w:val="20"/>
                <w:szCs w:val="20"/>
                <w:lang w:eastAsia="zh-CN"/>
              </w:rPr>
              <w:t>U</w:t>
            </w:r>
            <w:r w:rsidR="00F0527B">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r w:rsidR="00706021">
        <w:tc>
          <w:tcPr>
            <w:tcW w:w="1555" w:type="dxa"/>
          </w:tcPr>
          <w:p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rsidR="00706021" w:rsidRDefault="00706021" w:rsidP="00097C58">
            <w:pPr>
              <w:snapToGrid w:val="0"/>
              <w:rPr>
                <w:rFonts w:cs="Arial"/>
                <w:b/>
                <w:bCs/>
                <w:snapToGrid w:val="0"/>
                <w:sz w:val="20"/>
                <w:szCs w:val="20"/>
              </w:rPr>
            </w:pPr>
          </w:p>
        </w:tc>
      </w:tr>
      <w:tr w:rsidR="009C5B0E">
        <w:tc>
          <w:tcPr>
            <w:tcW w:w="1555" w:type="dxa"/>
          </w:tcPr>
          <w:p w:rsidR="009C5B0E" w:rsidRDefault="009C5B0E" w:rsidP="00097C58">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rsidR="009C5B0E" w:rsidRDefault="009C5B0E" w:rsidP="00097C58">
            <w:pPr>
              <w:snapToGrid w:val="0"/>
              <w:rPr>
                <w:rFonts w:cs="Arial"/>
                <w:b/>
                <w:bCs/>
                <w:snapToGrid w:val="0"/>
                <w:sz w:val="20"/>
                <w:szCs w:val="20"/>
              </w:rPr>
            </w:pPr>
          </w:p>
        </w:tc>
      </w:tr>
      <w:tr w:rsidR="00F77EAB">
        <w:tc>
          <w:tcPr>
            <w:tcW w:w="1555" w:type="dxa"/>
          </w:tcPr>
          <w:p w:rsidR="00F77EAB" w:rsidRPr="00F77EAB" w:rsidRDefault="00F77EAB" w:rsidP="00097C58">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F77EAB" w:rsidRDefault="00F77EAB" w:rsidP="009C5B0E">
            <w:pPr>
              <w:snapToGrid w:val="0"/>
              <w:rPr>
                <w:rFonts w:cs="Arial" w:hint="eastAsia"/>
                <w:snapToGrid w:val="0"/>
                <w:sz w:val="20"/>
                <w:szCs w:val="20"/>
              </w:rPr>
            </w:pPr>
            <w:r>
              <w:rPr>
                <w:rFonts w:eastAsia="游明朝"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rsidR="00F77EAB" w:rsidRDefault="00F77EAB"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xml:space="preserve">. In this way, the network can distinguish SDT </w:t>
            </w:r>
            <w:proofErr w:type="spellStart"/>
            <w:r w:rsidRPr="004F5FEB">
              <w:rPr>
                <w:rFonts w:eastAsiaTheme="minorEastAsia" w:cs="Arial"/>
                <w:snapToGrid w:val="0"/>
                <w:sz w:val="20"/>
                <w:szCs w:val="20"/>
                <w:lang w:eastAsia="zh-CN"/>
              </w:rPr>
              <w:t>U</w:t>
            </w:r>
            <w:r w:rsidR="00F0527B" w:rsidRPr="004F5FEB">
              <w:rPr>
                <w:rFonts w:eastAsiaTheme="minorEastAsia" w:cs="Arial"/>
                <w:snapToGrid w:val="0"/>
                <w:sz w:val="20"/>
                <w:szCs w:val="20"/>
                <w:lang w:eastAsia="zh-CN"/>
              </w:rPr>
              <w:t>e</w:t>
            </w:r>
            <w:r w:rsidRPr="004F5FEB">
              <w:rPr>
                <w:rFonts w:eastAsiaTheme="minorEastAsia" w:cs="Arial"/>
                <w:snapToGrid w:val="0"/>
                <w:sz w:val="20"/>
                <w:szCs w:val="20"/>
                <w:lang w:eastAsia="zh-CN"/>
              </w:rPr>
              <w:t>s</w:t>
            </w:r>
            <w:proofErr w:type="spellEnd"/>
            <w:r w:rsidRPr="004F5FEB">
              <w:rPr>
                <w:rFonts w:eastAsiaTheme="minorEastAsia" w:cs="Arial"/>
                <w:snapToGrid w:val="0"/>
                <w:sz w:val="20"/>
                <w:szCs w:val="20"/>
                <w:lang w:eastAsia="zh-CN"/>
              </w:rPr>
              <w:t xml:space="preserve">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w:t>
            </w:r>
            <w:proofErr w:type="spellStart"/>
            <w:r w:rsidRPr="002A7713">
              <w:rPr>
                <w:rFonts w:eastAsia="PMingLiU" w:cs="Arial"/>
                <w:snapToGrid w:val="0"/>
                <w:sz w:val="20"/>
                <w:szCs w:val="20"/>
                <w:lang w:eastAsia="zh-TW"/>
              </w:rPr>
              <w:t>U</w:t>
            </w:r>
            <w:r w:rsidR="00F0527B"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performing RA for legacy reasons from </w:t>
            </w:r>
            <w:proofErr w:type="spellStart"/>
            <w:r w:rsidRPr="002A7713">
              <w:rPr>
                <w:rFonts w:eastAsia="PMingLiU" w:cs="Arial"/>
                <w:snapToGrid w:val="0"/>
                <w:sz w:val="20"/>
                <w:szCs w:val="20"/>
                <w:lang w:eastAsia="zh-TW"/>
              </w:rPr>
              <w:t>U</w:t>
            </w:r>
            <w:r w:rsidR="00F0527B"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transmitting small data. However, at high cell loads, PRACH space portioning can result in capacity loss and potentially random-access delays to legacy </w:t>
            </w:r>
            <w:proofErr w:type="spellStart"/>
            <w:r w:rsidRPr="002A7713">
              <w:rPr>
                <w:rFonts w:eastAsia="PMingLiU" w:cs="Arial"/>
                <w:snapToGrid w:val="0"/>
                <w:sz w:val="20"/>
                <w:szCs w:val="20"/>
                <w:lang w:eastAsia="zh-TW"/>
              </w:rPr>
              <w:t>U</w:t>
            </w:r>
            <w:r w:rsidR="00F0527B"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r w:rsidR="00706021">
        <w:tc>
          <w:tcPr>
            <w:tcW w:w="1555" w:type="dxa"/>
          </w:tcPr>
          <w:p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F0527B">
              <w:rPr>
                <w:rFonts w:cs="Arial"/>
                <w:snapToGrid w:val="0"/>
                <w:sz w:val="20"/>
                <w:szCs w:val="20"/>
              </w:rPr>
              <w:t>o</w:t>
            </w:r>
            <w:r>
              <w:rPr>
                <w:rFonts w:cs="Arial"/>
                <w:snapToGrid w:val="0"/>
                <w:sz w:val="20"/>
                <w:szCs w:val="20"/>
              </w:rPr>
              <w:t>s for SDT and non SDT are different, preamble partitioning between SDT and non SDT is not needed.</w:t>
            </w:r>
          </w:p>
          <w:p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F0527B">
              <w:rPr>
                <w:rFonts w:cs="Arial"/>
                <w:snapToGrid w:val="0"/>
                <w:sz w:val="20"/>
                <w:szCs w:val="20"/>
              </w:rPr>
              <w:t>o</w:t>
            </w:r>
            <w:r>
              <w:rPr>
                <w:rFonts w:cs="Arial"/>
                <w:snapToGrid w:val="0"/>
                <w:sz w:val="20"/>
                <w:szCs w:val="20"/>
              </w:rPr>
              <w:t>s for SDT and non SDT are same, preamble partitioning is needed</w:t>
            </w:r>
          </w:p>
        </w:tc>
        <w:tc>
          <w:tcPr>
            <w:tcW w:w="4814" w:type="dxa"/>
          </w:tcPr>
          <w:p w:rsidR="00706021" w:rsidRDefault="00706021" w:rsidP="004C576A">
            <w:pPr>
              <w:snapToGrid w:val="0"/>
              <w:rPr>
                <w:rFonts w:cs="Arial"/>
                <w:b/>
                <w:bCs/>
                <w:snapToGrid w:val="0"/>
                <w:sz w:val="20"/>
                <w:szCs w:val="20"/>
              </w:rPr>
            </w:pPr>
          </w:p>
        </w:tc>
      </w:tr>
      <w:tr w:rsidR="00A4713B">
        <w:tc>
          <w:tcPr>
            <w:tcW w:w="1555" w:type="dxa"/>
          </w:tcPr>
          <w:p w:rsidR="00A4713B" w:rsidRDefault="00A4713B" w:rsidP="004C576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rsidR="00A4713B" w:rsidRDefault="00A4713B" w:rsidP="004C576A">
            <w:pPr>
              <w:snapToGrid w:val="0"/>
              <w:rPr>
                <w:rFonts w:cs="Arial"/>
                <w:b/>
                <w:bCs/>
                <w:snapToGrid w:val="0"/>
                <w:sz w:val="20"/>
                <w:szCs w:val="20"/>
              </w:rPr>
            </w:pPr>
          </w:p>
        </w:tc>
      </w:tr>
      <w:tr w:rsidR="00B53720">
        <w:tc>
          <w:tcPr>
            <w:tcW w:w="1555" w:type="dxa"/>
          </w:tcPr>
          <w:p w:rsidR="00B53720" w:rsidRPr="00B53720" w:rsidRDefault="00B53720" w:rsidP="004C576A">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B53720" w:rsidRDefault="00B53720" w:rsidP="00F37B43">
            <w:pPr>
              <w:snapToGrid w:val="0"/>
              <w:rPr>
                <w:rFonts w:cs="Arial"/>
                <w:snapToGrid w:val="0"/>
                <w:sz w:val="20"/>
                <w:szCs w:val="20"/>
              </w:rPr>
            </w:pPr>
            <w:r>
              <w:rPr>
                <w:rFonts w:eastAsia="游明朝"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游明朝" w:cs="Arial"/>
                <w:snapToGrid w:val="0"/>
                <w:sz w:val="20"/>
                <w:szCs w:val="20"/>
                <w:lang w:eastAsia="ja-JP"/>
              </w:rPr>
              <w:t>this is network configuration issue</w:t>
            </w:r>
            <w:r>
              <w:rPr>
                <w:rFonts w:eastAsia="游明朝" w:cs="Arial" w:hint="eastAsia"/>
                <w:snapToGrid w:val="0"/>
                <w:sz w:val="20"/>
                <w:szCs w:val="20"/>
                <w:lang w:eastAsia="ja-JP"/>
              </w:rPr>
              <w:t>,</w:t>
            </w:r>
            <w:r>
              <w:rPr>
                <w:rFonts w:eastAsia="游明朝" w:cs="Arial"/>
                <w:snapToGrid w:val="0"/>
                <w:sz w:val="20"/>
                <w:szCs w:val="20"/>
                <w:lang w:eastAsia="ja-JP"/>
              </w:rPr>
              <w:t xml:space="preserve"> meaning that this should be up to NW.</w:t>
            </w:r>
          </w:p>
        </w:tc>
        <w:tc>
          <w:tcPr>
            <w:tcW w:w="4814" w:type="dxa"/>
          </w:tcPr>
          <w:p w:rsidR="00B53720" w:rsidRDefault="00B53720" w:rsidP="004C576A">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explain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w:t>
            </w:r>
            <w:r w:rsidR="00F0527B" w:rsidRPr="004F5FEB">
              <w:rPr>
                <w:rFonts w:cs="Arial"/>
                <w:snapToGrid w:val="0"/>
                <w:sz w:val="20"/>
                <w:szCs w:val="20"/>
              </w:rPr>
              <w:t>S</w:t>
            </w:r>
            <w:r w:rsidRPr="004F5FEB">
              <w:rPr>
                <w:rFonts w:cs="Arial"/>
                <w:snapToGrid w:val="0"/>
                <w:sz w:val="20"/>
                <w:szCs w:val="20"/>
              </w:rPr>
              <w:t xml:space="preserve">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w:t>
            </w:r>
            <w:proofErr w:type="spellStart"/>
            <w:r>
              <w:rPr>
                <w:rFonts w:eastAsia="PMingLiU" w:cs="Arial"/>
                <w:snapToGrid w:val="0"/>
                <w:sz w:val="20"/>
                <w:szCs w:val="20"/>
                <w:lang w:eastAsia="zh-TW"/>
              </w:rPr>
              <w:t>U</w:t>
            </w:r>
            <w:r w:rsidR="00F0527B">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xml:space="preserve">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w:t>
            </w:r>
            <w:r w:rsidR="00F0527B">
              <w:rPr>
                <w:rFonts w:eastAsia="PMingLiU" w:cs="Arial"/>
                <w:snapToGrid w:val="0"/>
                <w:sz w:val="20"/>
                <w:szCs w:val="20"/>
                <w:lang w:eastAsia="zh-TW"/>
              </w:rPr>
              <w:t>o</w:t>
            </w:r>
            <w:r>
              <w:rPr>
                <w:rFonts w:eastAsia="PMingLiU" w:cs="Arial"/>
                <w:snapToGrid w:val="0"/>
                <w:sz w:val="20"/>
                <w:szCs w:val="20"/>
                <w:lang w:eastAsia="zh-TW"/>
              </w:rPr>
              <w:t xml:space="preserve">s shared with non-SDT </w:t>
            </w:r>
            <w:proofErr w:type="spellStart"/>
            <w:r>
              <w:rPr>
                <w:rFonts w:eastAsia="PMingLiU" w:cs="Arial"/>
                <w:snapToGrid w:val="0"/>
                <w:sz w:val="20"/>
                <w:szCs w:val="20"/>
                <w:lang w:eastAsia="zh-TW"/>
              </w:rPr>
              <w:t>U</w:t>
            </w:r>
            <w:r w:rsidR="00F0527B">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r w:rsidR="00E46613">
        <w:tc>
          <w:tcPr>
            <w:tcW w:w="1555" w:type="dxa"/>
          </w:tcPr>
          <w:p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rsidR="00E46613" w:rsidRDefault="00E46613" w:rsidP="004C576A">
            <w:pPr>
              <w:snapToGrid w:val="0"/>
              <w:rPr>
                <w:rFonts w:cs="Arial"/>
                <w:snapToGrid w:val="0"/>
                <w:sz w:val="20"/>
                <w:szCs w:val="20"/>
              </w:rPr>
            </w:pPr>
            <w:r>
              <w:rPr>
                <w:rFonts w:cs="Arial"/>
                <w:snapToGrid w:val="0"/>
                <w:sz w:val="20"/>
                <w:szCs w:val="20"/>
              </w:rPr>
              <w:t>If R</w:t>
            </w:r>
            <w:r w:rsidR="00F0527B">
              <w:rPr>
                <w:rFonts w:cs="Arial"/>
                <w:snapToGrid w:val="0"/>
                <w:sz w:val="20"/>
                <w:szCs w:val="20"/>
              </w:rPr>
              <w:t>o</w:t>
            </w:r>
            <w:r>
              <w:rPr>
                <w:rFonts w:cs="Arial"/>
                <w:snapToGrid w:val="0"/>
                <w:sz w:val="20"/>
                <w:szCs w:val="20"/>
              </w:rPr>
              <w:t>s are shared between SDT and non SDT, preamble will be partitioned. So even if RA-RNTI/</w:t>
            </w:r>
            <w:proofErr w:type="spellStart"/>
            <w:r>
              <w:rPr>
                <w:rFonts w:cs="Arial"/>
                <w:snapToGrid w:val="0"/>
                <w:sz w:val="20"/>
                <w:szCs w:val="20"/>
              </w:rPr>
              <w:t>MsgB</w:t>
            </w:r>
            <w:proofErr w:type="spellEnd"/>
            <w:r>
              <w:rPr>
                <w:rFonts w:cs="Arial"/>
                <w:snapToGrid w:val="0"/>
                <w:sz w:val="20"/>
                <w:szCs w:val="20"/>
              </w:rPr>
              <w:t>-RNTI can be same, RAPID can distinguish whether response is for SDT or non SDT.</w:t>
            </w:r>
          </w:p>
          <w:p w:rsidR="00E46613" w:rsidRDefault="00E46613" w:rsidP="004C576A">
            <w:pPr>
              <w:snapToGrid w:val="0"/>
              <w:rPr>
                <w:rFonts w:cs="Arial"/>
                <w:snapToGrid w:val="0"/>
                <w:sz w:val="20"/>
                <w:szCs w:val="20"/>
              </w:rPr>
            </w:pPr>
            <w:r>
              <w:rPr>
                <w:rFonts w:cs="Arial"/>
                <w:snapToGrid w:val="0"/>
                <w:sz w:val="20"/>
                <w:szCs w:val="20"/>
              </w:rPr>
              <w:t>If R</w:t>
            </w:r>
            <w:r w:rsidR="00F0527B">
              <w:rPr>
                <w:rFonts w:cs="Arial"/>
                <w:snapToGrid w:val="0"/>
                <w:sz w:val="20"/>
                <w:szCs w:val="20"/>
              </w:rPr>
              <w:t>o</w:t>
            </w:r>
            <w:r>
              <w:rPr>
                <w:rFonts w:cs="Arial"/>
                <w:snapToGrid w:val="0"/>
                <w:sz w:val="20"/>
                <w:szCs w:val="20"/>
              </w:rPr>
              <w:t>s are not shared between SDT and non SDT, RA-RNTI/</w:t>
            </w:r>
            <w:proofErr w:type="spellStart"/>
            <w:r>
              <w:rPr>
                <w:rFonts w:cs="Arial"/>
                <w:snapToGrid w:val="0"/>
                <w:sz w:val="20"/>
                <w:szCs w:val="20"/>
              </w:rPr>
              <w:t>MsgB</w:t>
            </w:r>
            <w:proofErr w:type="spellEnd"/>
            <w:r>
              <w:rPr>
                <w:rFonts w:cs="Arial"/>
                <w:snapToGrid w:val="0"/>
                <w:sz w:val="20"/>
                <w:szCs w:val="20"/>
              </w:rPr>
              <w:t>-RNTI can distinguish whether response is for SDT or non SDT. In R16, for flexible configuration of R</w:t>
            </w:r>
            <w:r w:rsidR="00F0527B">
              <w:rPr>
                <w:rFonts w:cs="Arial"/>
                <w:snapToGrid w:val="0"/>
                <w:sz w:val="20"/>
                <w:szCs w:val="20"/>
              </w:rPr>
              <w:t>o</w:t>
            </w:r>
            <w:r>
              <w:rPr>
                <w:rFonts w:cs="Arial"/>
                <w:snapToGrid w:val="0"/>
                <w:sz w:val="20"/>
                <w:szCs w:val="20"/>
              </w:rPr>
              <w:t>s, n</w:t>
            </w:r>
            <w:r w:rsidRPr="00E44ABE">
              <w:rPr>
                <w:rFonts w:cs="Arial"/>
                <w:snapToGrid w:val="0"/>
                <w:sz w:val="20"/>
                <w:szCs w:val="20"/>
              </w:rPr>
              <w:t xml:space="preserve">ew parameters </w:t>
            </w:r>
            <w:proofErr w:type="spellStart"/>
            <w:r w:rsidRPr="00E44ABE">
              <w:rPr>
                <w:sz w:val="20"/>
              </w:rPr>
              <w:t>prach-ConfigurationPeriodScaling</w:t>
            </w:r>
            <w:proofErr w:type="spellEnd"/>
            <w:r w:rsidRPr="00E44ABE">
              <w:rPr>
                <w:sz w:val="20"/>
              </w:rPr>
              <w:t xml:space="preserve">, </w:t>
            </w:r>
            <w:proofErr w:type="spellStart"/>
            <w:r w:rsidRPr="00E44ABE">
              <w:rPr>
                <w:sz w:val="20"/>
              </w:rPr>
              <w:t>prach-ConfigurationFrameOffset</w:t>
            </w:r>
            <w:proofErr w:type="spellEnd"/>
            <w:r w:rsidRPr="00E44ABE">
              <w:rPr>
                <w:sz w:val="20"/>
              </w:rPr>
              <w:t xml:space="preserve">, </w:t>
            </w:r>
            <w:proofErr w:type="spellStart"/>
            <w:r w:rsidRPr="00E44ABE">
              <w:rPr>
                <w:sz w:val="20"/>
              </w:rPr>
              <w:t>prach-ConfigurationSOffset</w:t>
            </w:r>
            <w:proofErr w:type="spellEnd"/>
            <w:r w:rsidRPr="00E44ABE">
              <w:rPr>
                <w:sz w:val="20"/>
              </w:rPr>
              <w:t xml:space="preserve"> are introduced. These can be included in RACH configuration of SDT</w:t>
            </w:r>
            <w:r w:rsidR="00E44ABE" w:rsidRPr="00E44ABE">
              <w:rPr>
                <w:sz w:val="20"/>
              </w:rPr>
              <w:t xml:space="preserve"> so that network has enough flexibility to configure R</w:t>
            </w:r>
            <w:r w:rsidR="00F0527B" w:rsidRPr="00E44ABE">
              <w:rPr>
                <w:sz w:val="20"/>
              </w:rPr>
              <w:t>o</w:t>
            </w:r>
            <w:r w:rsidR="00E44ABE" w:rsidRPr="00E44ABE">
              <w:rPr>
                <w:sz w:val="20"/>
              </w:rPr>
              <w:t xml:space="preserve">s for SDT so that </w:t>
            </w:r>
            <w:r w:rsidR="00E44ABE" w:rsidRPr="00E44ABE">
              <w:rPr>
                <w:rFonts w:cs="Arial"/>
                <w:snapToGrid w:val="0"/>
                <w:sz w:val="20"/>
                <w:szCs w:val="20"/>
              </w:rPr>
              <w:t xml:space="preserve"> RA-RNTI/</w:t>
            </w:r>
            <w:proofErr w:type="spellStart"/>
            <w:r w:rsidR="00E44ABE" w:rsidRPr="00E44ABE">
              <w:rPr>
                <w:rFonts w:cs="Arial"/>
                <w:snapToGrid w:val="0"/>
                <w:sz w:val="20"/>
                <w:szCs w:val="20"/>
              </w:rPr>
              <w:t>MsgB</w:t>
            </w:r>
            <w:proofErr w:type="spellEnd"/>
            <w:r w:rsidR="00E44ABE" w:rsidRPr="00E44ABE">
              <w:rPr>
                <w:rFonts w:cs="Arial"/>
                <w:snapToGrid w:val="0"/>
                <w:sz w:val="20"/>
                <w:szCs w:val="20"/>
              </w:rPr>
              <w:t>-RNTI for SDT is different from that of non SDT.</w:t>
            </w:r>
          </w:p>
        </w:tc>
        <w:tc>
          <w:tcPr>
            <w:tcW w:w="4814" w:type="dxa"/>
          </w:tcPr>
          <w:p w:rsidR="00E46613" w:rsidRDefault="00E46613" w:rsidP="004C576A">
            <w:pPr>
              <w:snapToGrid w:val="0"/>
              <w:rPr>
                <w:rFonts w:cs="Arial"/>
                <w:b/>
                <w:bCs/>
                <w:snapToGrid w:val="0"/>
                <w:sz w:val="20"/>
                <w:szCs w:val="20"/>
              </w:rPr>
            </w:pPr>
          </w:p>
        </w:tc>
      </w:tr>
      <w:tr w:rsidR="00D10252">
        <w:tc>
          <w:tcPr>
            <w:tcW w:w="1555" w:type="dxa"/>
          </w:tcPr>
          <w:p w:rsidR="00D10252" w:rsidRDefault="00D10252" w:rsidP="004C576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rsidR="00D10252" w:rsidRDefault="00D10252" w:rsidP="004C576A">
            <w:pPr>
              <w:snapToGrid w:val="0"/>
              <w:rPr>
                <w:rFonts w:cs="Arial"/>
                <w:b/>
                <w:bCs/>
                <w:snapToGrid w:val="0"/>
                <w:sz w:val="20"/>
                <w:szCs w:val="20"/>
              </w:rPr>
            </w:pPr>
          </w:p>
        </w:tc>
      </w:tr>
      <w:tr w:rsidR="00B53720">
        <w:tc>
          <w:tcPr>
            <w:tcW w:w="1555" w:type="dxa"/>
          </w:tcPr>
          <w:p w:rsidR="00B53720" w:rsidRPr="00B53720" w:rsidRDefault="00B53720" w:rsidP="004C576A">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B53720" w:rsidRDefault="00B53720" w:rsidP="001406D9">
            <w:pPr>
              <w:snapToGrid w:val="0"/>
              <w:rPr>
                <w:rFonts w:eastAsia="PMingLiU" w:cs="Arial"/>
                <w:snapToGrid w:val="0"/>
                <w:sz w:val="20"/>
                <w:szCs w:val="20"/>
                <w:lang w:eastAsia="zh-TW"/>
              </w:rPr>
            </w:pPr>
            <w:r>
              <w:rPr>
                <w:rFonts w:eastAsia="游明朝"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rsidR="00B53720" w:rsidRDefault="00B53720" w:rsidP="004C576A">
            <w:pPr>
              <w:snapToGrid w:val="0"/>
              <w:rPr>
                <w:rFonts w:cs="Arial"/>
                <w:b/>
                <w:bCs/>
                <w:snapToGrid w:val="0"/>
                <w:sz w:val="20"/>
                <w:szCs w:val="20"/>
              </w:rPr>
            </w:pPr>
          </w:p>
        </w:tc>
      </w:tr>
    </w:tbl>
    <w:p w:rsidR="00D55952" w:rsidRPr="00C562EF" w:rsidRDefault="00D55952">
      <w:pPr>
        <w:rPr>
          <w:lang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 Considering the backward compatibility, we prefer to introduce a new timer other than extending T319. If T319 is extended, legacy </w:t>
            </w:r>
            <w:proofErr w:type="spellStart"/>
            <w:r>
              <w:rPr>
                <w:rFonts w:eastAsiaTheme="minorEastAsia" w:cs="Arial"/>
                <w:snapToGrid w:val="0"/>
                <w:sz w:val="20"/>
                <w:szCs w:val="20"/>
                <w:lang w:eastAsia="zh-CN"/>
              </w:rPr>
              <w:t>U</w:t>
            </w:r>
            <w:r w:rsidR="00F0527B">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No, extending T319 will have negative impact to the legacy </w:t>
            </w:r>
            <w:proofErr w:type="spellStart"/>
            <w:r>
              <w:rPr>
                <w:rFonts w:eastAsia="PMingLiU" w:cs="Arial"/>
                <w:snapToGrid w:val="0"/>
                <w:sz w:val="20"/>
                <w:szCs w:val="20"/>
                <w:lang w:eastAsia="zh-TW"/>
              </w:rPr>
              <w:t>U</w:t>
            </w:r>
            <w:r w:rsidR="00F0527B">
              <w:rPr>
                <w:rFonts w:eastAsia="PMingLiU" w:cs="Arial"/>
                <w:snapToGrid w:val="0"/>
                <w:sz w:val="20"/>
                <w:szCs w:val="20"/>
                <w:lang w:eastAsia="zh-TW"/>
              </w:rPr>
              <w:t>e</w:t>
            </w:r>
            <w:r>
              <w:rPr>
                <w:rFonts w:eastAsia="PMingLiU" w:cs="Arial"/>
                <w:snapToGrid w:val="0"/>
                <w:sz w:val="20"/>
                <w:szCs w:val="20"/>
                <w:lang w:eastAsia="zh-TW"/>
              </w:rPr>
              <w:t>s</w:t>
            </w:r>
            <w:proofErr w:type="spellEnd"/>
            <w:r w:rsidR="00860BDD">
              <w:rPr>
                <w:rFonts w:eastAsia="PMingLiU" w:cs="Arial"/>
                <w:snapToGrid w:val="0"/>
                <w:sz w:val="20"/>
                <w:szCs w:val="20"/>
                <w:lang w:eastAsia="zh-TW"/>
              </w:rPr>
              <w:t xml:space="preserve">, as well as to the new </w:t>
            </w:r>
            <w:proofErr w:type="spellStart"/>
            <w:r w:rsidR="00860BDD">
              <w:rPr>
                <w:rFonts w:eastAsia="PMingLiU" w:cs="Arial"/>
                <w:snapToGrid w:val="0"/>
                <w:sz w:val="20"/>
                <w:szCs w:val="20"/>
                <w:lang w:eastAsia="zh-TW"/>
              </w:rPr>
              <w:t>U</w:t>
            </w:r>
            <w:r w:rsidR="00F0527B">
              <w:rPr>
                <w:rFonts w:eastAsia="PMingLiU" w:cs="Arial"/>
                <w:snapToGrid w:val="0"/>
                <w:sz w:val="20"/>
                <w:szCs w:val="20"/>
                <w:lang w:eastAsia="zh-TW"/>
              </w:rPr>
              <w:t>e</w:t>
            </w:r>
            <w:r w:rsidR="00860BDD">
              <w:rPr>
                <w:rFonts w:eastAsia="PMingLiU" w:cs="Arial"/>
                <w:snapToGrid w:val="0"/>
                <w:sz w:val="20"/>
                <w:szCs w:val="20"/>
                <w:lang w:eastAsia="zh-TW"/>
              </w:rPr>
              <w:t>s</w:t>
            </w:r>
            <w:proofErr w:type="spellEnd"/>
            <w:r w:rsidR="00860BDD">
              <w:rPr>
                <w:rFonts w:eastAsia="PMingLiU" w:cs="Arial"/>
                <w:snapToGrid w:val="0"/>
                <w:sz w:val="20"/>
                <w:szCs w:val="20"/>
                <w:lang w:eastAsia="zh-TW"/>
              </w:rPr>
              <w:t xml:space="preserve">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rsidR="00366846" w:rsidRDefault="00366846" w:rsidP="00B747B1">
            <w:pPr>
              <w:snapToGrid w:val="0"/>
              <w:rPr>
                <w:rFonts w:cs="Arial"/>
                <w:b/>
                <w:bCs/>
                <w:snapToGrid w:val="0"/>
                <w:sz w:val="20"/>
                <w:szCs w:val="20"/>
              </w:rPr>
            </w:pPr>
          </w:p>
        </w:tc>
      </w:tr>
      <w:tr w:rsidR="00543C8A">
        <w:tc>
          <w:tcPr>
            <w:tcW w:w="1555" w:type="dxa"/>
          </w:tcPr>
          <w:p w:rsidR="00543C8A" w:rsidRDefault="00543C8A"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rsidR="00543C8A" w:rsidRDefault="00543C8A" w:rsidP="00B747B1">
            <w:pPr>
              <w:snapToGrid w:val="0"/>
              <w:rPr>
                <w:rFonts w:cs="Arial"/>
                <w:b/>
                <w:bCs/>
                <w:snapToGrid w:val="0"/>
                <w:sz w:val="20"/>
                <w:szCs w:val="20"/>
              </w:rPr>
            </w:pPr>
          </w:p>
        </w:tc>
      </w:tr>
      <w:tr w:rsidR="00B53720">
        <w:tc>
          <w:tcPr>
            <w:tcW w:w="1555" w:type="dxa"/>
          </w:tcPr>
          <w:p w:rsidR="00B53720" w:rsidRPr="00B53720" w:rsidRDefault="00B53720"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B53720" w:rsidRDefault="00B53720" w:rsidP="00E742A6">
            <w:pPr>
              <w:snapToGrid w:val="0"/>
              <w:rPr>
                <w:rFonts w:cs="Arial"/>
                <w:snapToGrid w:val="0"/>
                <w:sz w:val="20"/>
                <w:szCs w:val="20"/>
              </w:rPr>
            </w:pPr>
            <w:r>
              <w:rPr>
                <w:rFonts w:eastAsia="游明朝" w:cs="Arial"/>
                <w:snapToGrid w:val="0"/>
                <w:sz w:val="20"/>
                <w:szCs w:val="20"/>
                <w:lang w:eastAsia="ja-JP"/>
              </w:rPr>
              <w:t xml:space="preserve">No. As stated in the introduction, the purpose of T319 is for </w:t>
            </w:r>
            <w:r w:rsidRPr="00B72EE4">
              <w:rPr>
                <w:rFonts w:eastAsia="游明朝" w:cs="Arial"/>
                <w:snapToGrid w:val="0"/>
                <w:sz w:val="20"/>
                <w:szCs w:val="20"/>
                <w:lang w:eastAsia="ja-JP"/>
              </w:rPr>
              <w:t xml:space="preserve">RRC </w:t>
            </w:r>
            <w:r>
              <w:rPr>
                <w:rFonts w:eastAsia="游明朝" w:cs="Arial"/>
                <w:snapToGrid w:val="0"/>
                <w:sz w:val="20"/>
                <w:szCs w:val="20"/>
                <w:lang w:eastAsia="ja-JP"/>
              </w:rPr>
              <w:t>r</w:t>
            </w:r>
            <w:r w:rsidRPr="00B72EE4">
              <w:rPr>
                <w:rFonts w:eastAsia="游明朝" w:cs="Arial"/>
                <w:snapToGrid w:val="0"/>
                <w:sz w:val="20"/>
                <w:szCs w:val="20"/>
                <w:lang w:eastAsia="ja-JP"/>
              </w:rPr>
              <w:t>esume failure</w:t>
            </w:r>
            <w:r>
              <w:rPr>
                <w:rFonts w:eastAsia="游明朝" w:cs="Arial"/>
                <w:snapToGrid w:val="0"/>
                <w:sz w:val="20"/>
                <w:szCs w:val="20"/>
                <w:lang w:eastAsia="ja-JP"/>
              </w:rPr>
              <w:t xml:space="preserve">, not for subsequent SDT. If T319 is extended, then this means that failure detection is also extended, which seems to delay the failure recovery. The 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rsidR="00B53720" w:rsidRDefault="00B53720" w:rsidP="00B747B1">
            <w:pPr>
              <w:snapToGrid w:val="0"/>
              <w:rPr>
                <w:rFonts w:cs="Arial"/>
                <w:b/>
                <w:bCs/>
                <w:snapToGrid w:val="0"/>
                <w:sz w:val="20"/>
                <w:szCs w:val="20"/>
              </w:rPr>
            </w:pPr>
          </w:p>
        </w:tc>
      </w:tr>
    </w:tbl>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Since the procedure is for RRC_INACTIVE </w:t>
            </w:r>
            <w:proofErr w:type="spellStart"/>
            <w:r>
              <w:rPr>
                <w:rFonts w:eastAsiaTheme="minorEastAsia" w:cs="Arial"/>
                <w:snapToGrid w:val="0"/>
                <w:sz w:val="20"/>
                <w:szCs w:val="20"/>
                <w:lang w:eastAsia="zh-CN"/>
              </w:rPr>
              <w:t>U</w:t>
            </w:r>
            <w:r w:rsidR="00F0527B">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But does it mean we only rely on T319/New timer for the failure handling? </w:t>
            </w:r>
            <w:r w:rsidR="00F0527B">
              <w:rPr>
                <w:rFonts w:eastAsiaTheme="minorEastAsia" w:cs="Arial"/>
                <w:snapToGrid w:val="0"/>
                <w:sz w:val="20"/>
                <w:szCs w:val="20"/>
                <w:lang w:eastAsia="zh-CN"/>
              </w:rPr>
              <w:t>H</w:t>
            </w:r>
            <w:r>
              <w:rPr>
                <w:rFonts w:eastAsiaTheme="minorEastAsia" w:cs="Arial"/>
                <w:snapToGrid w:val="0"/>
                <w:sz w:val="20"/>
                <w:szCs w:val="20"/>
                <w:lang w:eastAsia="zh-CN"/>
              </w:rPr>
              <w:t>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rsidR="00366846" w:rsidRDefault="00366846" w:rsidP="00B747B1">
            <w:pPr>
              <w:snapToGrid w:val="0"/>
              <w:rPr>
                <w:rFonts w:cs="Arial"/>
                <w:b/>
                <w:bCs/>
                <w:snapToGrid w:val="0"/>
                <w:sz w:val="20"/>
                <w:szCs w:val="20"/>
              </w:rPr>
            </w:pPr>
          </w:p>
        </w:tc>
      </w:tr>
      <w:tr w:rsidR="00D5633C">
        <w:tc>
          <w:tcPr>
            <w:tcW w:w="1555" w:type="dxa"/>
          </w:tcPr>
          <w:p w:rsidR="00D5633C" w:rsidRDefault="00D5633C"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rsidR="00D5633C" w:rsidRDefault="00D5633C" w:rsidP="00B747B1">
            <w:pPr>
              <w:snapToGrid w:val="0"/>
              <w:rPr>
                <w:rFonts w:cs="Arial"/>
                <w:b/>
                <w:bCs/>
                <w:snapToGrid w:val="0"/>
                <w:sz w:val="20"/>
                <w:szCs w:val="20"/>
              </w:rPr>
            </w:pPr>
          </w:p>
        </w:tc>
      </w:tr>
      <w:tr w:rsidR="00F12CEA">
        <w:tc>
          <w:tcPr>
            <w:tcW w:w="1555" w:type="dxa"/>
          </w:tcPr>
          <w:p w:rsidR="00F12CEA" w:rsidRPr="00F12CEA" w:rsidRDefault="00F12CEA" w:rsidP="00B747B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F12CEA" w:rsidRDefault="00D9107F" w:rsidP="00E742A6">
            <w:pPr>
              <w:rPr>
                <w:rFonts w:eastAsia="PMingLiU"/>
                <w:snapToGrid w:val="0"/>
                <w:sz w:val="20"/>
                <w:szCs w:val="20"/>
                <w:lang w:eastAsia="zh-TW"/>
              </w:rPr>
            </w:pPr>
            <w:r>
              <w:rPr>
                <w:rFonts w:eastAsia="游明朝" w:cs="Arial" w:hint="eastAsia"/>
                <w:snapToGrid w:val="0"/>
                <w:sz w:val="20"/>
                <w:szCs w:val="20"/>
                <w:lang w:eastAsia="ja-JP"/>
              </w:rPr>
              <w:t>Y</w:t>
            </w:r>
            <w:r>
              <w:rPr>
                <w:rFonts w:eastAsia="游明朝" w:cs="Arial"/>
                <w:snapToGrid w:val="0"/>
                <w:sz w:val="20"/>
                <w:szCs w:val="20"/>
                <w:lang w:eastAsia="ja-JP"/>
              </w:rPr>
              <w:t>es. T319 has been introduced to detect failures.</w:t>
            </w:r>
          </w:p>
        </w:tc>
        <w:tc>
          <w:tcPr>
            <w:tcW w:w="4814" w:type="dxa"/>
          </w:tcPr>
          <w:p w:rsidR="00F12CEA" w:rsidRDefault="00F12CEA"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8"/>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8"/>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8"/>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r w:rsidR="00366846">
        <w:tc>
          <w:tcPr>
            <w:tcW w:w="1555" w:type="dxa"/>
          </w:tcPr>
          <w:p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rsidR="00366846" w:rsidRDefault="00366846" w:rsidP="00114A41">
            <w:pPr>
              <w:snapToGrid w:val="0"/>
              <w:rPr>
                <w:rFonts w:cs="Arial"/>
                <w:b/>
                <w:bCs/>
                <w:snapToGrid w:val="0"/>
                <w:sz w:val="20"/>
                <w:szCs w:val="20"/>
              </w:rPr>
            </w:pPr>
          </w:p>
        </w:tc>
      </w:tr>
      <w:tr w:rsidR="00F93FDE">
        <w:tc>
          <w:tcPr>
            <w:tcW w:w="1555" w:type="dxa"/>
          </w:tcPr>
          <w:p w:rsidR="00F93FDE" w:rsidRDefault="00F93FDE" w:rsidP="00114A4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rsidR="00F93FDE" w:rsidRDefault="00F93FDE" w:rsidP="00114A41">
            <w:pPr>
              <w:snapToGrid w:val="0"/>
              <w:rPr>
                <w:rFonts w:cs="Arial"/>
                <w:b/>
                <w:bCs/>
                <w:snapToGrid w:val="0"/>
                <w:sz w:val="20"/>
                <w:szCs w:val="20"/>
              </w:rPr>
            </w:pPr>
          </w:p>
        </w:tc>
      </w:tr>
      <w:tr w:rsidR="00D9107F">
        <w:tc>
          <w:tcPr>
            <w:tcW w:w="1555" w:type="dxa"/>
          </w:tcPr>
          <w:p w:rsidR="00D9107F" w:rsidRPr="00D9107F" w:rsidRDefault="00D9107F" w:rsidP="00114A4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rsidR="00D9107F" w:rsidRDefault="00D9107F" w:rsidP="00F93FDE">
            <w:pPr>
              <w:snapToGrid w:val="0"/>
              <w:rPr>
                <w:rFonts w:cs="Arial"/>
                <w:snapToGrid w:val="0"/>
                <w:sz w:val="20"/>
                <w:szCs w:val="20"/>
              </w:rPr>
            </w:pPr>
            <w:r>
              <w:rPr>
                <w:rFonts w:eastAsia="游明朝" w:cs="Arial"/>
                <w:snapToGrid w:val="0"/>
                <w:sz w:val="20"/>
                <w:szCs w:val="20"/>
                <w:lang w:eastAsia="ja-JP"/>
              </w:rPr>
              <w:t>Option 1. Fujitsu think that camping on proper cell is more important than recovering data loss.</w:t>
            </w:r>
            <w:bookmarkStart w:id="3" w:name="_GoBack"/>
            <w:bookmarkEnd w:id="3"/>
          </w:p>
        </w:tc>
        <w:tc>
          <w:tcPr>
            <w:tcW w:w="4814" w:type="dxa"/>
          </w:tcPr>
          <w:p w:rsidR="00D9107F" w:rsidRDefault="00D9107F" w:rsidP="00114A41">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8"/>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w:t>
      </w:r>
      <w:r w:rsidR="00F0527B">
        <w:rPr>
          <w:lang w:val="en-GB"/>
        </w:rPr>
        <w:t>i</w:t>
      </w:r>
      <w:r>
        <w:rPr>
          <w:lang w:val="en-GB"/>
        </w:rPr>
        <w:t>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af8"/>
        <w:ind w:left="360"/>
        <w:rPr>
          <w:lang w:val="en-GB" w:eastAsia="en-GB"/>
        </w:rPr>
      </w:pPr>
    </w:p>
    <w:p w:rsidR="00D55952" w:rsidRDefault="0072635B">
      <w:pPr>
        <w:pStyle w:val="1"/>
        <w:rPr>
          <w:snapToGrid w:val="0"/>
        </w:rPr>
      </w:pPr>
      <w:r>
        <w:rPr>
          <w:snapToGrid w:val="0"/>
        </w:rPr>
        <w:t>Annex (contact details for email discussions)</w:t>
      </w:r>
    </w:p>
    <w:tbl>
      <w:tblPr>
        <w:tblStyle w:val="af2"/>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r>
              <w:rPr>
                <w:lang w:val="en-GB" w:eastAsia="en-GB"/>
              </w:rPr>
              <w:t>Yuanyuan Zhang</w:t>
            </w:r>
          </w:p>
        </w:tc>
        <w:tc>
          <w:tcPr>
            <w:tcW w:w="5289" w:type="dxa"/>
          </w:tcPr>
          <w:p w:rsidR="00D55952" w:rsidRDefault="00F0527B">
            <w:pPr>
              <w:rPr>
                <w:lang w:val="en-GB" w:eastAsia="en-GB"/>
              </w:rPr>
            </w:pPr>
            <w:hyperlink r:id="rId14" w:history="1">
              <w:r w:rsidRPr="0004216B">
                <w:rPr>
                  <w:rStyle w:val="af5"/>
                  <w:lang w:val="en-GB" w:eastAsia="en-GB"/>
                </w:rPr>
                <w:t>Yuany.zhang@mediatek</w:t>
              </w:r>
            </w:hyperlink>
            <w:r w:rsidR="0072635B">
              <w:rPr>
                <w:lang w:val="en-GB" w:eastAsia="en-GB"/>
              </w:rPr>
              <w:t>.com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F0527B">
            <w:pPr>
              <w:rPr>
                <w:lang w:val="en-GB"/>
              </w:rPr>
            </w:pPr>
            <w:hyperlink r:id="rId15" w:history="1">
              <w:r w:rsidRPr="0004216B">
                <w:rPr>
                  <w:rStyle w:val="af5"/>
                  <w:lang w:val="en-GB"/>
                </w:rPr>
                <w:t>s</w:t>
              </w:r>
              <w:r w:rsidRPr="0004216B">
                <w:rPr>
                  <w:rStyle w:val="af5"/>
                  <w:rFonts w:hint="eastAsia"/>
                  <w:lang w:val="en-GB"/>
                </w:rPr>
                <w:t>eungjune.</w:t>
              </w:r>
              <w:r w:rsidRPr="0004216B">
                <w:rPr>
                  <w:rStyle w:val="af5"/>
                  <w:lang w:val="en-GB"/>
                </w:rPr>
                <w:t>yi@lge</w:t>
              </w:r>
            </w:hyperlink>
            <w:r w:rsidR="0072635B">
              <w:rPr>
                <w:lang w:val="en-GB"/>
              </w:rPr>
              <w:t>.com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F0527B">
            <w:pPr>
              <w:rPr>
                <w:lang w:val="en-GB"/>
              </w:rPr>
            </w:pPr>
            <w:hyperlink r:id="rId16" w:history="1">
              <w:r w:rsidR="009D5DCC" w:rsidRPr="00085933">
                <w:rPr>
                  <w:rStyle w:val="af5"/>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rsidR="008B0157" w:rsidRDefault="00F0527B">
            <w:pPr>
              <w:rPr>
                <w:rFonts w:eastAsiaTheme="minorEastAsia"/>
                <w:lang w:val="en-GB" w:eastAsia="zh-CN"/>
              </w:rPr>
            </w:pPr>
            <w:hyperlink r:id="rId17" w:history="1">
              <w:r w:rsidRPr="0004216B">
                <w:rPr>
                  <w:rStyle w:val="af5"/>
                  <w:rFonts w:eastAsiaTheme="minorEastAsia"/>
                  <w:lang w:val="en-GB" w:eastAsia="zh-CN"/>
                </w:rPr>
                <w:pgNum/>
                <w:t>amsun.enbuske@ericsson</w:t>
              </w:r>
            </w:hyperlink>
            <w:r w:rsidR="008B0157">
              <w:rPr>
                <w:rFonts w:eastAsiaTheme="minorEastAsia"/>
                <w:lang w:val="en-GB" w:eastAsia="zh-CN"/>
              </w:rPr>
              <w:t>.com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F0527B">
            <w:pPr>
              <w:rPr>
                <w:rFonts w:eastAsiaTheme="minorEastAsia"/>
                <w:lang w:val="en-GB" w:eastAsia="zh-CN"/>
              </w:rPr>
            </w:pPr>
            <w:hyperlink r:id="rId18" w:history="1">
              <w:r w:rsidR="00CD6CEB" w:rsidRPr="00C229F8">
                <w:rPr>
                  <w:rStyle w:val="af5"/>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rsidR="00CD6CEB" w:rsidRDefault="00CD6CEB">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rsidR="00CD6CEB" w:rsidRDefault="00F0527B">
            <w:pPr>
              <w:rPr>
                <w:rFonts w:eastAsiaTheme="minorEastAsia"/>
                <w:lang w:val="en-GB" w:eastAsia="zh-CN"/>
              </w:rPr>
            </w:pPr>
            <w:hyperlink r:id="rId19" w:history="1">
              <w:r w:rsidRPr="0004216B">
                <w:rPr>
                  <w:rStyle w:val="af5"/>
                  <w:rFonts w:eastAsiaTheme="minorEastAsia"/>
                  <w:lang w:val="en-GB" w:eastAsia="zh-CN"/>
                </w:rPr>
                <w:t>faris.alfarhan@interdigital</w:t>
              </w:r>
            </w:hyperlink>
            <w:r w:rsidR="00CD6CEB">
              <w:rPr>
                <w:rFonts w:eastAsiaTheme="minorEastAsia"/>
                <w:lang w:val="en-GB" w:eastAsia="zh-CN"/>
              </w:rPr>
              <w:t xml:space="preserve">.com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rsidR="00114A41" w:rsidRPr="00114A41" w:rsidRDefault="00F0527B" w:rsidP="00114A41">
            <w:pPr>
              <w:rPr>
                <w:rFonts w:eastAsiaTheme="minorEastAsia"/>
                <w:lang w:val="en-GB" w:eastAsia="zh-CN"/>
              </w:rPr>
            </w:pPr>
            <w:hyperlink r:id="rId20" w:history="1">
              <w:r w:rsidRPr="0004216B">
                <w:rPr>
                  <w:rStyle w:val="af5"/>
                  <w:rFonts w:eastAsiaTheme="minorEastAsia" w:hint="eastAsia"/>
                  <w:lang w:val="en-GB" w:eastAsia="zh-CN"/>
                </w:rPr>
                <w:t>k</w:t>
              </w:r>
              <w:r w:rsidRPr="0004216B">
                <w:rPr>
                  <w:rStyle w:val="af5"/>
                  <w:rFonts w:eastAsiaTheme="minorEastAsia"/>
                  <w:lang w:val="en-GB" w:eastAsia="zh-CN"/>
                </w:rPr>
                <w:t>imjh@etri.re.kr</w:t>
              </w:r>
            </w:hyperlink>
          </w:p>
        </w:tc>
      </w:tr>
      <w:tr w:rsidR="001F44C4">
        <w:tc>
          <w:tcPr>
            <w:tcW w:w="2689" w:type="dxa"/>
          </w:tcPr>
          <w:p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rsidR="001F44C4" w:rsidRPr="00114A41" w:rsidRDefault="001F44C4" w:rsidP="00114A4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rsidR="001F44C4" w:rsidRPr="00114A41" w:rsidRDefault="00F0527B" w:rsidP="00114A41">
            <w:pPr>
              <w:rPr>
                <w:rFonts w:eastAsiaTheme="minorEastAsia"/>
                <w:lang w:val="en-GB" w:eastAsia="zh-CN"/>
              </w:rPr>
            </w:pPr>
            <w:hyperlink r:id="rId21" w:history="1">
              <w:r w:rsidRPr="0004216B">
                <w:rPr>
                  <w:rStyle w:val="af5"/>
                  <w:rFonts w:eastAsiaTheme="minorEastAsia" w:hint="eastAsia"/>
                  <w:lang w:val="en-GB" w:eastAsia="zh-CN"/>
                </w:rPr>
                <w:t>anilag@samsung.com</w:t>
              </w:r>
            </w:hyperlink>
          </w:p>
        </w:tc>
      </w:tr>
      <w:tr w:rsidR="00F93FDE">
        <w:tc>
          <w:tcPr>
            <w:tcW w:w="2689" w:type="dxa"/>
          </w:tcPr>
          <w:p w:rsidR="00F93FDE" w:rsidRDefault="00F93FDE" w:rsidP="00114A41">
            <w:pPr>
              <w:rPr>
                <w:rFonts w:eastAsiaTheme="minorEastAsia"/>
                <w:lang w:val="en-GB" w:eastAsia="zh-CN"/>
              </w:rPr>
            </w:pPr>
            <w:proofErr w:type="spellStart"/>
            <w:r w:rsidRPr="00F93FDE">
              <w:rPr>
                <w:rFonts w:eastAsiaTheme="minorEastAsia"/>
                <w:lang w:val="en-GB" w:eastAsia="zh-CN"/>
              </w:rPr>
              <w:t>ASUSTeK</w:t>
            </w:r>
            <w:proofErr w:type="spellEnd"/>
          </w:p>
        </w:tc>
        <w:tc>
          <w:tcPr>
            <w:tcW w:w="7889" w:type="dxa"/>
          </w:tcPr>
          <w:p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rsidR="00F93FDE" w:rsidRPr="001D4741" w:rsidRDefault="00F0527B" w:rsidP="001D4741">
            <w:pPr>
              <w:rPr>
                <w:rFonts w:eastAsia="PMingLiU"/>
                <w:lang w:val="en-GB" w:eastAsia="zh-TW"/>
              </w:rPr>
            </w:pPr>
            <w:hyperlink r:id="rId22" w:history="1">
              <w:r w:rsidRPr="0004216B">
                <w:rPr>
                  <w:rStyle w:val="af5"/>
                  <w:rFonts w:eastAsia="PMingLiU" w:hint="eastAsia"/>
                  <w:lang w:val="en-GB" w:eastAsia="zh-TW"/>
                </w:rPr>
                <w:t>Erica</w:t>
              </w:r>
              <w:r w:rsidRPr="0004216B">
                <w:rPr>
                  <w:rStyle w:val="af5"/>
                  <w:rFonts w:eastAsia="PMingLiU"/>
                  <w:lang w:val="en-GB" w:eastAsia="zh-TW"/>
                </w:rPr>
                <w:t>_</w:t>
              </w:r>
              <w:r w:rsidRPr="0004216B">
                <w:rPr>
                  <w:rStyle w:val="af5"/>
                  <w:rFonts w:eastAsia="PMingLiU" w:hint="eastAsia"/>
                  <w:lang w:val="en-GB" w:eastAsia="zh-TW"/>
                </w:rPr>
                <w:t>Huang@asus.com</w:t>
              </w:r>
            </w:hyperlink>
          </w:p>
        </w:tc>
      </w:tr>
      <w:tr w:rsidR="00F0527B">
        <w:tc>
          <w:tcPr>
            <w:tcW w:w="2689" w:type="dxa"/>
          </w:tcPr>
          <w:p w:rsidR="00F0527B" w:rsidRPr="00F0527B" w:rsidRDefault="00F0527B" w:rsidP="00114A41">
            <w:pPr>
              <w:rPr>
                <w:rFonts w:eastAsia="游明朝" w:hint="eastAsia"/>
                <w:lang w:val="en-GB" w:eastAsia="ja-JP"/>
              </w:rPr>
            </w:pPr>
            <w:r>
              <w:rPr>
                <w:rFonts w:eastAsia="游明朝" w:hint="eastAsia"/>
                <w:lang w:val="en-GB" w:eastAsia="ja-JP"/>
              </w:rPr>
              <w:t>F</w:t>
            </w:r>
            <w:r>
              <w:rPr>
                <w:rFonts w:eastAsia="游明朝"/>
                <w:lang w:val="en-GB" w:eastAsia="ja-JP"/>
              </w:rPr>
              <w:t>ujitsu</w:t>
            </w:r>
          </w:p>
        </w:tc>
        <w:tc>
          <w:tcPr>
            <w:tcW w:w="7889" w:type="dxa"/>
          </w:tcPr>
          <w:p w:rsidR="00F0527B" w:rsidRPr="00F0527B" w:rsidRDefault="00F0527B" w:rsidP="00114A41">
            <w:pPr>
              <w:rPr>
                <w:rFonts w:eastAsia="游明朝" w:hint="eastAsia"/>
                <w:lang w:val="en-GB" w:eastAsia="ja-JP"/>
              </w:rPr>
            </w:pPr>
            <w:r>
              <w:rPr>
                <w:rFonts w:eastAsia="游明朝" w:hint="eastAsia"/>
                <w:lang w:val="en-GB" w:eastAsia="ja-JP"/>
              </w:rPr>
              <w:t>O</w:t>
            </w:r>
            <w:r>
              <w:rPr>
                <w:rFonts w:eastAsia="游明朝"/>
                <w:lang w:val="en-GB" w:eastAsia="ja-JP"/>
              </w:rPr>
              <w:t>hta, Yoshiaki</w:t>
            </w:r>
          </w:p>
        </w:tc>
        <w:tc>
          <w:tcPr>
            <w:tcW w:w="5289" w:type="dxa"/>
          </w:tcPr>
          <w:p w:rsidR="00F0527B" w:rsidRPr="00F0527B" w:rsidRDefault="00F0527B" w:rsidP="001D4741">
            <w:pPr>
              <w:rPr>
                <w:rFonts w:eastAsia="游明朝" w:hint="eastAsia"/>
                <w:lang w:val="en-GB" w:eastAsia="ja-JP"/>
              </w:rPr>
            </w:pPr>
            <w:hyperlink r:id="rId23" w:history="1">
              <w:r w:rsidRPr="0004216B">
                <w:rPr>
                  <w:rStyle w:val="af5"/>
                  <w:rFonts w:eastAsia="游明朝"/>
                  <w:lang w:val="en-GB" w:eastAsia="ja-JP"/>
                </w:rPr>
                <w:t>ohta.yoshiaki@fujitsu.com</w:t>
              </w:r>
            </w:hyperlink>
          </w:p>
        </w:tc>
      </w:tr>
    </w:tbl>
    <w:p w:rsidR="00D55952" w:rsidRDefault="00D55952">
      <w:pPr>
        <w:rPr>
          <w:lang w:val="en-GB" w:eastAsia="en-GB"/>
        </w:rPr>
      </w:pPr>
    </w:p>
    <w:p w:rsidR="00D55952" w:rsidRDefault="00D55952">
      <w:pPr>
        <w:pStyle w:val="af8"/>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62A" w:rsidRDefault="0090162A">
      <w:pPr>
        <w:spacing w:after="0" w:line="240" w:lineRule="auto"/>
      </w:pPr>
      <w:r>
        <w:separator/>
      </w:r>
    </w:p>
  </w:endnote>
  <w:endnote w:type="continuationSeparator" w:id="0">
    <w:p w:rsidR="0090162A" w:rsidRDefault="0090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62A" w:rsidRDefault="0090162A">
      <w:pPr>
        <w:spacing w:after="0" w:line="240" w:lineRule="auto"/>
      </w:pPr>
      <w:r>
        <w:separator/>
      </w:r>
    </w:p>
  </w:footnote>
  <w:footnote w:type="continuationSeparator" w:id="0">
    <w:p w:rsidR="0090162A" w:rsidRDefault="0090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728BB"/>
    <w:rsid w:val="002B7782"/>
    <w:rsid w:val="002E44A1"/>
    <w:rsid w:val="003608F9"/>
    <w:rsid w:val="00366846"/>
    <w:rsid w:val="003A7F3E"/>
    <w:rsid w:val="003B1043"/>
    <w:rsid w:val="003D2FF7"/>
    <w:rsid w:val="003F2397"/>
    <w:rsid w:val="003F33E5"/>
    <w:rsid w:val="003F6CBB"/>
    <w:rsid w:val="003F7B33"/>
    <w:rsid w:val="00411A29"/>
    <w:rsid w:val="0041361A"/>
    <w:rsid w:val="004141CD"/>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571D2"/>
    <w:rsid w:val="007661BE"/>
    <w:rsid w:val="007700E0"/>
    <w:rsid w:val="00797A56"/>
    <w:rsid w:val="007C006F"/>
    <w:rsid w:val="007C01A3"/>
    <w:rsid w:val="007D4380"/>
    <w:rsid w:val="007E4840"/>
    <w:rsid w:val="007F0240"/>
    <w:rsid w:val="00812E16"/>
    <w:rsid w:val="0084351D"/>
    <w:rsid w:val="00854AAC"/>
    <w:rsid w:val="00860BDD"/>
    <w:rsid w:val="00895F08"/>
    <w:rsid w:val="008B0157"/>
    <w:rsid w:val="008B72F8"/>
    <w:rsid w:val="008C2F90"/>
    <w:rsid w:val="008F7B56"/>
    <w:rsid w:val="0090162A"/>
    <w:rsid w:val="00914B41"/>
    <w:rsid w:val="009151CD"/>
    <w:rsid w:val="00916C0D"/>
    <w:rsid w:val="00951686"/>
    <w:rsid w:val="00954016"/>
    <w:rsid w:val="00976B4E"/>
    <w:rsid w:val="009A6013"/>
    <w:rsid w:val="009B146C"/>
    <w:rsid w:val="009C5B0E"/>
    <w:rsid w:val="009D5DCC"/>
    <w:rsid w:val="00A00663"/>
    <w:rsid w:val="00A110EA"/>
    <w:rsid w:val="00A406F4"/>
    <w:rsid w:val="00A4713B"/>
    <w:rsid w:val="00A71E2F"/>
    <w:rsid w:val="00A82212"/>
    <w:rsid w:val="00A84264"/>
    <w:rsid w:val="00AC1663"/>
    <w:rsid w:val="00AD5624"/>
    <w:rsid w:val="00AF268D"/>
    <w:rsid w:val="00AF3FB4"/>
    <w:rsid w:val="00B43806"/>
    <w:rsid w:val="00B44BFD"/>
    <w:rsid w:val="00B52A64"/>
    <w:rsid w:val="00B53720"/>
    <w:rsid w:val="00B6250E"/>
    <w:rsid w:val="00B747B1"/>
    <w:rsid w:val="00BC3366"/>
    <w:rsid w:val="00BE71C6"/>
    <w:rsid w:val="00C3070D"/>
    <w:rsid w:val="00C562EF"/>
    <w:rsid w:val="00C57051"/>
    <w:rsid w:val="00C57879"/>
    <w:rsid w:val="00C63CBA"/>
    <w:rsid w:val="00C74816"/>
    <w:rsid w:val="00C74E68"/>
    <w:rsid w:val="00C9374C"/>
    <w:rsid w:val="00CC1636"/>
    <w:rsid w:val="00CD13CC"/>
    <w:rsid w:val="00CD5BF3"/>
    <w:rsid w:val="00CD6CEB"/>
    <w:rsid w:val="00CE006A"/>
    <w:rsid w:val="00D10252"/>
    <w:rsid w:val="00D121BC"/>
    <w:rsid w:val="00D15302"/>
    <w:rsid w:val="00D2240E"/>
    <w:rsid w:val="00D263E0"/>
    <w:rsid w:val="00D55015"/>
    <w:rsid w:val="00D55630"/>
    <w:rsid w:val="00D55952"/>
    <w:rsid w:val="00D5633C"/>
    <w:rsid w:val="00D9107F"/>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1E8F"/>
    <w:rsid w:val="00E945D4"/>
    <w:rsid w:val="00E97E58"/>
    <w:rsid w:val="00EE618E"/>
    <w:rsid w:val="00F020E3"/>
    <w:rsid w:val="00F0527B"/>
    <w:rsid w:val="00F12CEA"/>
    <w:rsid w:val="00F22197"/>
    <w:rsid w:val="00F37B43"/>
    <w:rsid w:val="00F46B98"/>
    <w:rsid w:val="00F54AC0"/>
    <w:rsid w:val="00F66A5C"/>
    <w:rsid w:val="00F77EAB"/>
    <w:rsid w:val="00F86CF9"/>
    <w:rsid w:val="00F93FDE"/>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928A2"/>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We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0">
    <w:name w:val="annotation subject"/>
    <w:basedOn w:val="a6"/>
    <w:next w:val="a6"/>
    <w:link w:val="af1"/>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2">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sid w:val="00D55952"/>
    <w:rPr>
      <w:color w:val="954F72" w:themeColor="followedHyperlink"/>
      <w:u w:val="single"/>
    </w:rPr>
  </w:style>
  <w:style w:type="character" w:styleId="af4">
    <w:name w:val="Emphasis"/>
    <w:basedOn w:val="a0"/>
    <w:uiPriority w:val="20"/>
    <w:qFormat/>
    <w:rsid w:val="00D55952"/>
    <w:rPr>
      <w:i/>
      <w:iCs/>
    </w:rPr>
  </w:style>
  <w:style w:type="character" w:styleId="af5">
    <w:name w:val="Hyperlink"/>
    <w:uiPriority w:val="99"/>
    <w:qFormat/>
    <w:rsid w:val="00D55952"/>
    <w:rPr>
      <w:color w:val="0000FF"/>
      <w:u w:val="single"/>
    </w:rPr>
  </w:style>
  <w:style w:type="character" w:styleId="af6">
    <w:name w:val="annotation reference"/>
    <w:rsid w:val="00D55952"/>
    <w:rPr>
      <w:sz w:val="16"/>
      <w:szCs w:val="16"/>
    </w:rPr>
  </w:style>
  <w:style w:type="character" w:styleId="af7">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ヘッダー (文字)"/>
    <w:link w:val="ab"/>
    <w:rsid w:val="00D55952"/>
    <w:rPr>
      <w:rFonts w:eastAsia="Times New Roman"/>
      <w:b/>
      <w:kern w:val="0"/>
      <w:sz w:val="18"/>
      <w:szCs w:val="20"/>
      <w:lang w:eastAsia="en-GB"/>
    </w:rPr>
  </w:style>
  <w:style w:type="character" w:customStyle="1" w:styleId="ac">
    <w:name w:val="フッター (文字)"/>
    <w:link w:val="aa"/>
    <w:rsid w:val="00D55952"/>
    <w:rPr>
      <w:rFonts w:eastAsia="Times New Roman"/>
      <w:b/>
      <w:i/>
      <w:kern w:val="0"/>
      <w:sz w:val="18"/>
      <w:szCs w:val="20"/>
      <w:lang w:val="zh-CN" w:eastAsia="zh-CN"/>
    </w:rPr>
  </w:style>
  <w:style w:type="character" w:customStyle="1" w:styleId="af">
    <w:name w:val="脚注文字列 (文字)"/>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見出し 1 (文字)"/>
    <w:link w:val="1"/>
    <w:rsid w:val="00D55952"/>
    <w:rPr>
      <w:rFonts w:eastAsia="Times New Roman"/>
      <w:kern w:val="0"/>
      <w:sz w:val="36"/>
      <w:szCs w:val="20"/>
      <w:lang w:eastAsia="en-GB"/>
    </w:rPr>
  </w:style>
  <w:style w:type="character" w:customStyle="1" w:styleId="20">
    <w:name w:val="見出し 2 (文字)"/>
    <w:link w:val="2"/>
    <w:rsid w:val="00D55952"/>
    <w:rPr>
      <w:rFonts w:eastAsia="Times New Roman"/>
      <w:kern w:val="0"/>
      <w:sz w:val="32"/>
      <w:szCs w:val="20"/>
      <w:lang w:val="zh-CN" w:eastAsia="zh-CN"/>
    </w:rPr>
  </w:style>
  <w:style w:type="character" w:customStyle="1" w:styleId="30">
    <w:name w:val="見出し 3 (文字)"/>
    <w:link w:val="3"/>
    <w:rsid w:val="00D55952"/>
    <w:rPr>
      <w:rFonts w:eastAsia="Times New Roman"/>
      <w:kern w:val="0"/>
      <w:sz w:val="28"/>
      <w:szCs w:val="20"/>
      <w:lang w:val="zh-CN" w:eastAsia="zh-CN"/>
    </w:rPr>
  </w:style>
  <w:style w:type="character" w:customStyle="1" w:styleId="40">
    <w:name w:val="見出し 4 (文字)"/>
    <w:link w:val="4"/>
    <w:rsid w:val="00D55952"/>
    <w:rPr>
      <w:rFonts w:eastAsia="Times New Roman"/>
      <w:kern w:val="0"/>
      <w:sz w:val="24"/>
      <w:szCs w:val="20"/>
      <w:lang w:val="zh-CN" w:eastAsia="zh-CN"/>
    </w:rPr>
  </w:style>
  <w:style w:type="character" w:customStyle="1" w:styleId="50">
    <w:name w:val="見出し 5 (文字)"/>
    <w:link w:val="5"/>
    <w:qFormat/>
    <w:rsid w:val="00D55952"/>
    <w:rPr>
      <w:rFonts w:eastAsia="Times New Roman"/>
      <w:kern w:val="0"/>
      <w:sz w:val="22"/>
      <w:szCs w:val="20"/>
      <w:lang w:val="zh-CN" w:eastAsia="zh-CN"/>
    </w:rPr>
  </w:style>
  <w:style w:type="character" w:customStyle="1" w:styleId="60">
    <w:name w:val="見出し 6 (文字)"/>
    <w:link w:val="6"/>
    <w:qFormat/>
    <w:rsid w:val="00D55952"/>
    <w:rPr>
      <w:rFonts w:eastAsia="Times New Roman"/>
      <w:kern w:val="0"/>
      <w:sz w:val="20"/>
      <w:szCs w:val="20"/>
      <w:lang w:val="zh-CN" w:eastAsia="zh-CN"/>
    </w:rPr>
  </w:style>
  <w:style w:type="character" w:customStyle="1" w:styleId="70">
    <w:name w:val="見出し 7 (文字)"/>
    <w:link w:val="7"/>
    <w:qFormat/>
    <w:rsid w:val="00D55952"/>
    <w:rPr>
      <w:rFonts w:eastAsia="Times New Roman"/>
      <w:kern w:val="0"/>
      <w:sz w:val="20"/>
      <w:szCs w:val="20"/>
      <w:lang w:val="zh-CN" w:eastAsia="zh-CN"/>
    </w:rPr>
  </w:style>
  <w:style w:type="character" w:customStyle="1" w:styleId="80">
    <w:name w:val="見出し 8 (文字)"/>
    <w:link w:val="8"/>
    <w:rsid w:val="00D55952"/>
    <w:rPr>
      <w:rFonts w:eastAsia="Times New Roman"/>
      <w:kern w:val="0"/>
      <w:sz w:val="36"/>
      <w:szCs w:val="20"/>
      <w:lang w:val="zh-CN" w:eastAsia="zh-CN"/>
    </w:rPr>
  </w:style>
  <w:style w:type="character" w:customStyle="1" w:styleId="90">
    <w:name w:val="見出し 9 (文字)"/>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8">
    <w:name w:val="List Paragraph"/>
    <w:basedOn w:val="a"/>
    <w:link w:val="af9"/>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吹き出し (文字)"/>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コメント文字列 (文字)"/>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D55952"/>
    <w:rPr>
      <w:rFonts w:eastAsia="ＭＳ 明朝"/>
      <w:kern w:val="0"/>
      <w:sz w:val="20"/>
      <w:szCs w:val="24"/>
      <w:lang w:eastAsia="en-GB"/>
    </w:rPr>
  </w:style>
  <w:style w:type="character" w:customStyle="1" w:styleId="af1">
    <w:name w:val="コメント内容 (文字)"/>
    <w:basedOn w:val="a7"/>
    <w:link w:val="af0"/>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ＭＳ 明朝" w:hAnsi="Arial"/>
      <w:lang w:eastAsia="en-GB"/>
    </w:rPr>
  </w:style>
  <w:style w:type="character" w:customStyle="1" w:styleId="Doc-titleChar">
    <w:name w:val="Doc-title Char"/>
    <w:link w:val="Doc-title"/>
    <w:qFormat/>
    <w:rsid w:val="00D55952"/>
    <w:rPr>
      <w:rFonts w:eastAsia="ＭＳ 明朝"/>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ＭＳ 明朝" w:hAnsi="Arial"/>
      <w:b/>
      <w:lang w:eastAsia="en-GB"/>
    </w:rPr>
  </w:style>
  <w:style w:type="character" w:customStyle="1" w:styleId="af9">
    <w:name w:val="リスト段落 (文字)"/>
    <w:link w:val="af8"/>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rsid w:val="00D55952"/>
    <w:rPr>
      <w:rFonts w:eastAsia="ＭＳ 明朝"/>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a">
    <w:name w:val="Document Map"/>
    <w:basedOn w:val="a"/>
    <w:link w:val="afb"/>
    <w:uiPriority w:val="99"/>
    <w:semiHidden/>
    <w:unhideWhenUsed/>
    <w:rsid w:val="007E4840"/>
    <w:rPr>
      <w:rFonts w:ascii="SimSun" w:eastAsia="SimSun"/>
      <w:sz w:val="18"/>
      <w:szCs w:val="18"/>
    </w:rPr>
  </w:style>
  <w:style w:type="character" w:customStyle="1" w:styleId="afb">
    <w:name w:val="見出しマップ (文字)"/>
    <w:basedOn w:val="a0"/>
    <w:link w:val="afa"/>
    <w:uiPriority w:val="99"/>
    <w:semiHidden/>
    <w:rsid w:val="007E4840"/>
    <w:rPr>
      <w:rFonts w:ascii="SimSun" w:eastAsia="SimSun"/>
      <w:sz w:val="18"/>
      <w:szCs w:val="18"/>
      <w:lang w:val="en-US" w:eastAsia="ko-KR"/>
    </w:rPr>
  </w:style>
  <w:style w:type="character" w:customStyle="1" w:styleId="14">
    <w:name w:val="확인되지 않은 멘션1"/>
    <w:basedOn w:val="a0"/>
    <w:uiPriority w:val="99"/>
    <w:semiHidden/>
    <w:unhideWhenUsed/>
    <w:rsid w:val="00CD6CEB"/>
    <w:rPr>
      <w:color w:val="605E5C"/>
      <w:shd w:val="clear" w:color="auto" w:fill="E1DFDD"/>
    </w:rPr>
  </w:style>
  <w:style w:type="character" w:styleId="afc">
    <w:name w:val="Unresolved Mention"/>
    <w:basedOn w:val="a0"/>
    <w:uiPriority w:val="99"/>
    <w:semiHidden/>
    <w:unhideWhenUsed/>
    <w:rsid w:val="00F0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zheng@qti.qualcomm.com" TargetMode="External"/><Relationship Id="rId3" Type="http://schemas.openxmlformats.org/officeDocument/2006/relationships/customXml" Target="../customXml/item3.xml"/><Relationship Id="rId21" Type="http://schemas.openxmlformats.org/officeDocument/2006/relationships/hyperlink" Target="mailto:anilag@samsung.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ndrika@catt.cn" TargetMode="External"/><Relationship Id="rId20" Type="http://schemas.openxmlformats.org/officeDocument/2006/relationships/hyperlink" Target="mailto:kimjh@etri.re.k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eungjune.yi@lge" TargetMode="External"/><Relationship Id="rId23" Type="http://schemas.openxmlformats.org/officeDocument/2006/relationships/hyperlink" Target="mailto:ohta.yoshiaki@fujitsu.com" TargetMode="External"/><Relationship Id="rId10" Type="http://schemas.openxmlformats.org/officeDocument/2006/relationships/settings" Target="settings.xml"/><Relationship Id="rId19" Type="http://schemas.openxmlformats.org/officeDocument/2006/relationships/hyperlink" Target="mailto:faris.alfarhan@interdigita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any.zhang@mediatek" TargetMode="External"/><Relationship Id="rId22"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7B5B92-176E-43E8-BF14-E92B90AD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9905</Words>
  <Characters>56462</Characters>
  <Application>Microsoft Office Word</Application>
  <DocSecurity>0</DocSecurity>
  <Lines>470</Lines>
  <Paragraphs>132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Ohta, Yoshiaki/太田 好明</cp:lastModifiedBy>
  <cp:revision>7</cp:revision>
  <dcterms:created xsi:type="dcterms:W3CDTF">2020-10-06T23:14:00Z</dcterms:created>
  <dcterms:modified xsi:type="dcterms:W3CDTF">2020-10-08T11:24:00Z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