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5952" w:rsidRDefault="0072635B">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#112-e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R2-20yxxxx</w:t>
      </w:r>
    </w:p>
    <w:p w:rsidR="00D55952" w:rsidRDefault="0072635B">
      <w:pPr>
        <w:keepLines/>
        <w:tabs>
          <w:tab w:val="left" w:pos="567"/>
        </w:tabs>
        <w:snapToGrid w:val="0"/>
        <w:spacing w:line="276" w:lineRule="auto"/>
        <w:rPr>
          <w:rFonts w:cs="Arial"/>
          <w:b/>
          <w:bCs/>
          <w:sz w:val="28"/>
          <w:szCs w:val="28"/>
        </w:rPr>
      </w:pPr>
      <w:r>
        <w:rPr>
          <w:rFonts w:eastAsia="SimSun" w:cs="Arial"/>
          <w:b/>
          <w:sz w:val="28"/>
          <w:szCs w:val="28"/>
          <w:lang w:eastAsia="en-US"/>
        </w:rPr>
        <w:t>e-Meeting, xx-</w:t>
      </w:r>
      <w:proofErr w:type="spellStart"/>
      <w:r>
        <w:rPr>
          <w:rFonts w:eastAsia="SimSun" w:cs="Arial"/>
          <w:b/>
          <w:sz w:val="28"/>
          <w:szCs w:val="28"/>
          <w:lang w:eastAsia="en-US"/>
        </w:rPr>
        <w:t>yy</w:t>
      </w:r>
      <w:proofErr w:type="spellEnd"/>
      <w:r>
        <w:rPr>
          <w:rFonts w:eastAsia="SimSun" w:cs="Arial"/>
          <w:b/>
          <w:sz w:val="28"/>
          <w:szCs w:val="28"/>
          <w:lang w:eastAsia="en-US"/>
        </w:rPr>
        <w:t>, 2020</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rsidR="00D55952" w:rsidRDefault="0072635B">
      <w:pPr>
        <w:pStyle w:val="Heading1"/>
        <w:rPr>
          <w:snapToGrid w:val="0"/>
        </w:rPr>
      </w:pPr>
      <w:r>
        <w:rPr>
          <w:snapToGrid w:val="0"/>
        </w:rPr>
        <w:t>Introduction</w:t>
      </w:r>
    </w:p>
    <w:p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rsidR="00D55952" w:rsidRDefault="00D55952">
      <w:pPr>
        <w:snapToGrid w:val="0"/>
        <w:rPr>
          <w:rFonts w:cs="Arial"/>
          <w:snapToGrid w:val="0"/>
          <w:sz w:val="28"/>
          <w:szCs w:val="28"/>
        </w:rPr>
      </w:pPr>
    </w:p>
    <w:p w:rsidR="00D55952" w:rsidRDefault="0072635B">
      <w:pPr>
        <w:pStyle w:val="EmailDiscussion"/>
      </w:pPr>
      <w:bookmarkStart w:id="2" w:name="_Hlk49421495"/>
      <w:r>
        <w:rPr>
          <w:lang w:val="en-US"/>
        </w:rPr>
        <w:t>[Post111-e][</w:t>
      </w:r>
      <w:proofErr w:type="gramStart"/>
      <w:r>
        <w:rPr>
          <w:lang w:val="en-US"/>
        </w:rPr>
        <w:t>925][</w:t>
      </w:r>
      <w:proofErr w:type="gramEnd"/>
      <w:r>
        <w:rPr>
          <w:lang w:val="en-US"/>
        </w:rPr>
        <w:t xml:space="preserve">R17 Small Data] </w:t>
      </w:r>
      <w:bookmarkEnd w:id="2"/>
      <w:r>
        <w:rPr>
          <w:lang w:val="en-US"/>
        </w:rPr>
        <w:t>Agreeable details of RRC-based solution (RACH and CG) (ZTE)</w:t>
      </w:r>
    </w:p>
    <w:p w:rsidR="00D55952" w:rsidRDefault="0072635B">
      <w:pPr>
        <w:pStyle w:val="EmailDiscussion2"/>
        <w:ind w:left="1982"/>
      </w:pPr>
      <w:r>
        <w:t>Scope:</w:t>
      </w:r>
    </w:p>
    <w:p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rsidR="00D55952" w:rsidRDefault="0072635B">
      <w:pPr>
        <w:pStyle w:val="EmailDiscussion2"/>
        <w:ind w:left="1982"/>
      </w:pPr>
      <w:r>
        <w:t>•</w:t>
      </w:r>
      <w:r>
        <w:tab/>
        <w:t>Identify any impacts to other WGs (e.g. RAN1)</w:t>
      </w:r>
    </w:p>
    <w:p w:rsidR="00D55952" w:rsidRDefault="0072635B">
      <w:pPr>
        <w:pStyle w:val="EmailDiscussion2"/>
        <w:ind w:left="1982"/>
      </w:pPr>
      <w:r>
        <w:t>Outcome: Report, Agreeable proposals and identified impacts to other groups</w:t>
      </w:r>
    </w:p>
    <w:p w:rsidR="00D55952" w:rsidRDefault="0072635B">
      <w:pPr>
        <w:pStyle w:val="EmailDiscussion2"/>
        <w:ind w:left="1982"/>
      </w:pPr>
      <w:r>
        <w:t>Deadline: Long</w:t>
      </w:r>
    </w:p>
    <w:p w:rsidR="00D55952" w:rsidRDefault="00D55952">
      <w:pPr>
        <w:snapToGrid w:val="0"/>
        <w:rPr>
          <w:rFonts w:cs="Arial"/>
          <w:b/>
          <w:bCs/>
          <w:snapToGrid w:val="0"/>
          <w:sz w:val="28"/>
          <w:szCs w:val="28"/>
        </w:rPr>
      </w:pPr>
    </w:p>
    <w:p w:rsidR="00D55952" w:rsidRDefault="0072635B">
      <w:pPr>
        <w:snapToGrid w:val="0"/>
        <w:rPr>
          <w:rFonts w:cs="Arial"/>
          <w:b/>
          <w:bCs/>
          <w:snapToGrid w:val="0"/>
        </w:rPr>
      </w:pPr>
      <w:r>
        <w:rPr>
          <w:rFonts w:cs="Arial"/>
          <w:b/>
          <w:bCs/>
          <w:snapToGrid w:val="0"/>
        </w:rPr>
        <w:t xml:space="preserve">Deadline for company comments: </w:t>
      </w:r>
    </w:p>
    <w:p w:rsidR="00D55952" w:rsidRDefault="0072635B">
      <w:pPr>
        <w:snapToGrid w:val="0"/>
        <w:rPr>
          <w:rFonts w:cs="Arial"/>
          <w:snapToGrid w:val="0"/>
        </w:rPr>
      </w:pPr>
      <w:r>
        <w:rPr>
          <w:rFonts w:cs="Arial"/>
          <w:snapToGrid w:val="0"/>
          <w:sz w:val="20"/>
          <w:szCs w:val="20"/>
        </w:rPr>
        <w:t xml:space="preserve">To allow sufficient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rsidR="00D55952" w:rsidRDefault="00D55952">
      <w:pPr>
        <w:snapToGrid w:val="0"/>
        <w:rPr>
          <w:rFonts w:cs="Arial"/>
          <w:snapToGrid w:val="0"/>
          <w:sz w:val="20"/>
          <w:szCs w:val="20"/>
        </w:rPr>
      </w:pPr>
    </w:p>
    <w:p w:rsidR="00D55952" w:rsidRDefault="0072635B">
      <w:pPr>
        <w:pStyle w:val="Heading1"/>
        <w:rPr>
          <w:snapToGrid w:val="0"/>
        </w:rPr>
      </w:pPr>
      <w:r>
        <w:rPr>
          <w:snapToGrid w:val="0"/>
        </w:rPr>
        <w:t>Overall procedure for RRC-based small data transmission</w:t>
      </w:r>
    </w:p>
    <w:p w:rsidR="00D55952" w:rsidRDefault="0072635B">
      <w:pPr>
        <w:pStyle w:val="Heading2"/>
        <w:rPr>
          <w:snapToGrid w:val="0"/>
          <w:lang w:val="en-US"/>
        </w:rPr>
      </w:pPr>
      <w:r>
        <w:rPr>
          <w:snapToGrid w:val="0"/>
          <w:lang w:val="en-GB"/>
        </w:rPr>
        <w:t>UE procedure upon moving to INACTIVE</w:t>
      </w:r>
    </w:p>
    <w:p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RLC entities for SRB1 are reestablished</w:t>
      </w:r>
    </w:p>
    <w:p w:rsidR="00D55952" w:rsidRDefault="0072635B">
      <w:pPr>
        <w:pStyle w:val="ListParagraph"/>
        <w:numPr>
          <w:ilvl w:val="0"/>
          <w:numId w:val="4"/>
        </w:numPr>
        <w:snapToGrid w:val="0"/>
        <w:rPr>
          <w:rFonts w:cs="Arial"/>
          <w:snapToGrid w:val="0"/>
          <w:sz w:val="20"/>
          <w:szCs w:val="20"/>
        </w:rPr>
      </w:pPr>
      <w:r>
        <w:rPr>
          <w:rFonts w:cs="Arial"/>
          <w:snapToGrid w:val="0"/>
          <w:sz w:val="20"/>
          <w:szCs w:val="20"/>
        </w:rPr>
        <w:t>All SRBs and DRBs are suspended, except SRB0</w:t>
      </w:r>
    </w:p>
    <w:p w:rsidR="00D55952" w:rsidRDefault="00D55952">
      <w:pPr>
        <w:rPr>
          <w:rFonts w:cs="Arial"/>
          <w:snapToGrid w:val="0"/>
          <w:sz w:val="20"/>
          <w:szCs w:val="20"/>
        </w:rPr>
      </w:pPr>
    </w:p>
    <w:p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rsidR="00D55952" w:rsidRDefault="00D55952">
      <w:pPr>
        <w:rPr>
          <w:rFonts w:cs="Arial"/>
          <w:snapToGrid w:val="0"/>
          <w:sz w:val="20"/>
          <w:szCs w:val="20"/>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w:t>
            </w:r>
            <w:proofErr w:type="gramStart"/>
            <w:r>
              <w:rPr>
                <w:rFonts w:cs="Arial"/>
                <w:b/>
                <w:bCs/>
                <w:snapToGrid w:val="0"/>
                <w:sz w:val="20"/>
                <w:szCs w:val="20"/>
              </w:rPr>
              <w:t>is</w:t>
            </w:r>
            <w:proofErr w:type="gramEnd"/>
            <w:r>
              <w:rPr>
                <w:rFonts w:cs="Arial"/>
                <w:b/>
                <w:bCs/>
                <w:snapToGrid w:val="0"/>
                <w:sz w:val="20"/>
                <w:szCs w:val="20"/>
              </w:rPr>
              <w:t xml:space="preserve">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rsidR="00D55952" w:rsidRDefault="00D55952">
            <w:pPr>
              <w:snapToGrid w:val="0"/>
              <w:rPr>
                <w:rFonts w:cs="Arial"/>
                <w:b/>
                <w:bCs/>
                <w:snapToGrid w:val="0"/>
                <w:sz w:val="20"/>
                <w:szCs w:val="20"/>
              </w:rPr>
            </w:pPr>
          </w:p>
        </w:tc>
      </w:tr>
      <w:tr w:rsidR="007E4840">
        <w:tc>
          <w:tcPr>
            <w:tcW w:w="1555" w:type="dxa"/>
          </w:tcPr>
          <w:p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rsidR="007E4840" w:rsidRDefault="007E4840">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rsidR="001B5053" w:rsidRDefault="001B5053" w:rsidP="001B5053">
            <w:pPr>
              <w:snapToGrid w:val="0"/>
              <w:rPr>
                <w:rFonts w:cs="Arial"/>
                <w:b/>
                <w:bCs/>
                <w:snapToGrid w:val="0"/>
                <w:sz w:val="20"/>
                <w:szCs w:val="20"/>
              </w:rPr>
            </w:pPr>
          </w:p>
        </w:tc>
      </w:tr>
      <w:tr w:rsidR="0055328C">
        <w:tc>
          <w:tcPr>
            <w:tcW w:w="1555" w:type="dxa"/>
          </w:tcPr>
          <w:p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rsidR="0055328C" w:rsidRDefault="0055328C" w:rsidP="001B5053">
            <w:pPr>
              <w:snapToGrid w:val="0"/>
              <w:rPr>
                <w:rFonts w:cs="Arial"/>
                <w:b/>
                <w:bCs/>
                <w:snapToGrid w:val="0"/>
                <w:sz w:val="20"/>
                <w:szCs w:val="20"/>
              </w:rPr>
            </w:pPr>
          </w:p>
        </w:tc>
      </w:tr>
      <w:tr w:rsidR="00CD5BF3">
        <w:tc>
          <w:tcPr>
            <w:tcW w:w="1555"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5C4952">
        <w:tc>
          <w:tcPr>
            <w:tcW w:w="1555" w:type="dxa"/>
          </w:tcPr>
          <w:p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rsidR="005C4952" w:rsidRDefault="005C4952" w:rsidP="00CD5BF3">
            <w:pPr>
              <w:snapToGrid w:val="0"/>
              <w:rPr>
                <w:rFonts w:cs="Arial"/>
                <w:b/>
                <w:bCs/>
                <w:snapToGrid w:val="0"/>
                <w:sz w:val="20"/>
                <w:szCs w:val="20"/>
              </w:rPr>
            </w:pPr>
          </w:p>
        </w:tc>
      </w:tr>
      <w:tr w:rsidR="00695BE6">
        <w:tc>
          <w:tcPr>
            <w:tcW w:w="1555"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rsidR="00536D6F" w:rsidRDefault="00536D6F" w:rsidP="00695BE6">
            <w:pPr>
              <w:snapToGrid w:val="0"/>
              <w:rPr>
                <w:rFonts w:cs="Arial"/>
                <w:b/>
                <w:bCs/>
                <w:snapToGrid w:val="0"/>
                <w:sz w:val="20"/>
                <w:szCs w:val="20"/>
              </w:rPr>
            </w:pPr>
          </w:p>
        </w:tc>
      </w:tr>
    </w:tbl>
    <w:p w:rsidR="00D55952" w:rsidRDefault="00D55952">
      <w:pPr>
        <w:pStyle w:val="Heading2"/>
        <w:numPr>
          <w:ilvl w:val="0"/>
          <w:numId w:val="0"/>
        </w:numPr>
        <w:ind w:left="576" w:hanging="576"/>
        <w:rPr>
          <w:snapToGrid w:val="0"/>
          <w:lang w:val="en-GB"/>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RLC entities for SRB1 reestablished</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w:t>
            </w:r>
            <w:proofErr w:type="gramStart"/>
            <w:r>
              <w:rPr>
                <w:rFonts w:cs="Arial"/>
                <w:b/>
                <w:bCs/>
                <w:snapToGrid w:val="0"/>
                <w:sz w:val="20"/>
                <w:szCs w:val="20"/>
              </w:rPr>
              <w:t>is</w:t>
            </w:r>
            <w:proofErr w:type="gramEnd"/>
            <w:r>
              <w:rPr>
                <w:rFonts w:cs="Arial"/>
                <w:b/>
                <w:bCs/>
                <w:snapToGrid w:val="0"/>
                <w:sz w:val="20"/>
                <w:szCs w:val="20"/>
              </w:rPr>
              <w:t xml:space="preserve"> and which aspects need updates and further discussion. </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rsidR="00D55952" w:rsidRDefault="0072635B">
            <w:pPr>
              <w:pStyle w:val="ListParagraph"/>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w:t>
            </w:r>
            <w:proofErr w:type="gramStart"/>
            <w:r>
              <w:rPr>
                <w:rFonts w:cs="Arial"/>
                <w:snapToGrid w:val="0"/>
                <w:sz w:val="20"/>
                <w:szCs w:val="20"/>
              </w:rPr>
              <w:t>stage-3</w:t>
            </w:r>
            <w:proofErr w:type="gramEnd"/>
            <w:r>
              <w:rPr>
                <w:rFonts w:cs="Arial"/>
                <w:snapToGrid w:val="0"/>
                <w:sz w:val="20"/>
                <w:szCs w:val="20"/>
              </w:rPr>
              <w:t xml:space="preserve">. </w:t>
            </w:r>
          </w:p>
          <w:p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 xml:space="preserve">We think the new TAT is similar to the legacy </w:t>
            </w:r>
            <w:proofErr w:type="gramStart"/>
            <w:r>
              <w:rPr>
                <w:rFonts w:cs="Arial"/>
                <w:snapToGrid w:val="0"/>
                <w:sz w:val="20"/>
                <w:szCs w:val="20"/>
              </w:rPr>
              <w:t>TAT, but</w:t>
            </w:r>
            <w:proofErr w:type="gramEnd"/>
            <w:r>
              <w:rPr>
                <w:rFonts w:cs="Arial"/>
                <w:snapToGrid w:val="0"/>
                <w:sz w:val="20"/>
                <w:szCs w:val="20"/>
              </w:rPr>
              <w:t xml:space="preserve"> is only used in RRC_INACTIVE. Detailed behavior of the new TAT needs more discussion.</w:t>
            </w:r>
          </w:p>
          <w:p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rsidR="00CD5BF3" w:rsidRDefault="00CD5BF3"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p w:rsidR="009D5DCC" w:rsidRDefault="009D5DCC"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rsidR="00695BE6" w:rsidRDefault="00695BE6" w:rsidP="00695BE6">
            <w:pPr>
              <w:snapToGrid w:val="0"/>
              <w:rPr>
                <w:rFonts w:cs="Arial"/>
                <w:b/>
                <w:bCs/>
                <w:snapToGrid w:val="0"/>
                <w:sz w:val="20"/>
                <w:szCs w:val="20"/>
              </w:rPr>
            </w:pPr>
          </w:p>
        </w:tc>
      </w:tr>
      <w:tr w:rsidR="00536D6F">
        <w:tc>
          <w:tcPr>
            <w:tcW w:w="1555" w:type="dxa"/>
          </w:tcPr>
          <w:p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rsidR="00536D6F" w:rsidRDefault="00536D6F" w:rsidP="00695BE6">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p w:rsidR="00D55952" w:rsidRDefault="0072635B">
      <w:pPr>
        <w:pStyle w:val="Heading2"/>
        <w:rPr>
          <w:snapToGrid w:val="0"/>
          <w:lang w:val="en-GB"/>
        </w:rPr>
      </w:pPr>
      <w:r>
        <w:rPr>
          <w:snapToGrid w:val="0"/>
          <w:lang w:val="en-GB"/>
        </w:rPr>
        <w:t>UE procedure upon initiating small data transmission</w:t>
      </w:r>
    </w:p>
    <w:p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rsidR="00D55952" w:rsidRDefault="0072635B">
            <w:pPr>
              <w:snapToGrid w:val="0"/>
              <w:rPr>
                <w:rFonts w:cs="Arial"/>
                <w:snapToGrid w:val="0"/>
                <w:sz w:val="20"/>
                <w:szCs w:val="20"/>
              </w:rPr>
            </w:pPr>
            <w:r>
              <w:rPr>
                <w:rFonts w:cs="Arial"/>
                <w:snapToGrid w:val="0"/>
                <w:sz w:val="20"/>
                <w:szCs w:val="20"/>
              </w:rPr>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rsidR="001B5053" w:rsidRDefault="001B5053" w:rsidP="001B5053">
            <w:pPr>
              <w:snapToGrid w:val="0"/>
              <w:rPr>
                <w:rFonts w:cs="Arial"/>
                <w:b/>
                <w:bCs/>
                <w:snapToGrid w:val="0"/>
                <w:sz w:val="20"/>
                <w:szCs w:val="20"/>
              </w:rPr>
            </w:pPr>
          </w:p>
        </w:tc>
      </w:tr>
      <w:tr w:rsidR="00CC1636">
        <w:tc>
          <w:tcPr>
            <w:tcW w:w="1555"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rsidR="00CC1636" w:rsidRDefault="00CC1636" w:rsidP="001B5053">
            <w:pPr>
              <w:snapToGrid w:val="0"/>
              <w:rPr>
                <w:rFonts w:cs="Arial"/>
                <w:b/>
                <w:bCs/>
                <w:snapToGrid w:val="0"/>
                <w:sz w:val="20"/>
                <w:szCs w:val="20"/>
              </w:rPr>
            </w:pPr>
          </w:p>
        </w:tc>
      </w:tr>
      <w:tr w:rsidR="00CD5BF3">
        <w:tc>
          <w:tcPr>
            <w:tcW w:w="1555" w:type="dxa"/>
          </w:tcPr>
          <w:p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 xml:space="preserve">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rsidR="00695BE6" w:rsidRDefault="00695BE6" w:rsidP="00695BE6">
            <w:pPr>
              <w:snapToGrid w:val="0"/>
              <w:rPr>
                <w:rFonts w:cs="Arial"/>
                <w:b/>
                <w:bCs/>
                <w:snapToGrid w:val="0"/>
                <w:sz w:val="20"/>
                <w:szCs w:val="20"/>
              </w:rPr>
            </w:pPr>
          </w:p>
        </w:tc>
      </w:tr>
      <w:tr w:rsidR="00FF179C">
        <w:tc>
          <w:tcPr>
            <w:tcW w:w="1555"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rsidR="00FF179C" w:rsidRDefault="00FF179C" w:rsidP="00695BE6">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pStyle w:val="Heading2"/>
        <w:rPr>
          <w:snapToGrid w:val="0"/>
          <w:lang w:val="en-GB"/>
        </w:rPr>
      </w:pPr>
      <w:r>
        <w:rPr>
          <w:snapToGrid w:val="0"/>
          <w:lang w:val="en-GB"/>
        </w:rPr>
        <w:t>Handling of user plane and contents of first UL message</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rPr>
          <w:sz w:val="20"/>
          <w:szCs w:val="20"/>
          <w:lang w:val="en-GB" w:eastAsia="zh-CN"/>
        </w:rPr>
      </w:pPr>
    </w:p>
    <w:p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rsidR="00D55952" w:rsidRDefault="0072635B">
            <w:pPr>
              <w:snapToGrid w:val="0"/>
              <w:rPr>
                <w:rFonts w:eastAsia="SimSun"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DRBs should be resumed. But definitely, there are some necessary changes to current resume procedures. </w:t>
            </w:r>
          </w:p>
          <w:p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particular network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UE should at least resume the DRBs subjecting to SDT when the procedure is initiated. In addition, we should further discuss whether it is allowed to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w:t>
            </w:r>
            <w:r w:rsidRPr="0072635B">
              <w:rPr>
                <w:rFonts w:eastAsiaTheme="minorEastAsia" w:cs="Arial" w:hint="eastAsia"/>
                <w:snapToGrid w:val="0"/>
                <w:sz w:val="20"/>
                <w:szCs w:val="20"/>
                <w:lang w:eastAsia="zh-CN"/>
              </w:rPr>
              <w:lastRenderedPageBreak/>
              <w:t xml:space="preserve">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rsidR="001B5053" w:rsidRDefault="001B5053" w:rsidP="001B5053">
            <w:pPr>
              <w:snapToGrid w:val="0"/>
              <w:rPr>
                <w:rFonts w:cs="Arial"/>
                <w:b/>
                <w:bCs/>
                <w:snapToGrid w:val="0"/>
                <w:sz w:val="20"/>
                <w:szCs w:val="20"/>
              </w:rPr>
            </w:pPr>
          </w:p>
        </w:tc>
      </w:tr>
      <w:tr w:rsidR="007F0240">
        <w:tc>
          <w:tcPr>
            <w:tcW w:w="1555" w:type="dxa"/>
          </w:tcPr>
          <w:p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rsidR="007F0240" w:rsidRDefault="007F0240" w:rsidP="001B5053">
            <w:pPr>
              <w:snapToGrid w:val="0"/>
              <w:rPr>
                <w:rFonts w:cs="Arial"/>
                <w:b/>
                <w:bCs/>
                <w:snapToGrid w:val="0"/>
                <w:sz w:val="20"/>
                <w:szCs w:val="20"/>
              </w:rPr>
            </w:pPr>
          </w:p>
        </w:tc>
      </w:tr>
      <w:tr w:rsidR="00CD5BF3">
        <w:tc>
          <w:tcPr>
            <w:tcW w:w="1555" w:type="dxa"/>
          </w:tcPr>
          <w:p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4D792E" w:rsidRDefault="00695BE6" w:rsidP="00695BE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rsidR="00A406F4" w:rsidRDefault="00A406F4"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rsidR="00D55952" w:rsidRDefault="00D55952">
      <w:pPr>
        <w:rPr>
          <w:sz w:val="20"/>
          <w:szCs w:val="20"/>
          <w:lang w:val="en-GB" w:eastAsia="zh-CN"/>
        </w:rPr>
      </w:pPr>
    </w:p>
    <w:p w:rsidR="00D55952" w:rsidRDefault="00D55952">
      <w:pPr>
        <w:pStyle w:val="ListParagraph"/>
        <w:numPr>
          <w:ilvl w:val="0"/>
          <w:numId w:val="5"/>
        </w:num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lastRenderedPageBreak/>
              <w:t>Q 2.3.2: Do companies agree that the first UL message (i.e. MSG3 for 4-step RACH, MSGA payload for 2-step RACH and the CG transmission for CG) may contain the following contents (depending on the size of the message):</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rsidR="00D55952" w:rsidRDefault="0072635B">
            <w:pPr>
              <w:pStyle w:val="ListParagraph"/>
              <w:numPr>
                <w:ilvl w:val="0"/>
                <w:numId w:val="5"/>
              </w:numPr>
              <w:snapToGrid w:val="0"/>
              <w:rPr>
                <w:rFonts w:cs="Arial"/>
                <w:b/>
                <w:bCs/>
                <w:snapToGrid w:val="0"/>
                <w:sz w:val="20"/>
                <w:szCs w:val="20"/>
              </w:rPr>
            </w:pPr>
            <w:r>
              <w:rPr>
                <w:rFonts w:cs="Arial"/>
                <w:b/>
                <w:bCs/>
                <w:snapToGrid w:val="0"/>
                <w:sz w:val="20"/>
                <w:szCs w:val="20"/>
              </w:rPr>
              <w:t>MAC CEs (e.g. BSR)</w:t>
            </w: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w:t>
            </w:r>
            <w:proofErr w:type="gramStart"/>
            <w:r w:rsidRPr="0072635B">
              <w:rPr>
                <w:rFonts w:cs="Arial" w:hint="eastAsia"/>
                <w:snapToGrid w:val="0"/>
                <w:sz w:val="20"/>
                <w:szCs w:val="20"/>
              </w:rPr>
              <w:t>SDT;MAC</w:t>
            </w:r>
            <w:proofErr w:type="gramEnd"/>
            <w:r w:rsidRPr="0072635B">
              <w:rPr>
                <w:rFonts w:cs="Arial" w:hint="eastAsia"/>
                <w:snapToGrid w:val="0"/>
                <w:sz w:val="20"/>
                <w:szCs w:val="20"/>
              </w:rPr>
              <w:t xml:space="preserve">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rsidR="00A406F4" w:rsidRDefault="00A406F4"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2"/>
        <w:rPr>
          <w:snapToGrid w:val="0"/>
          <w:lang w:val="en-GB"/>
        </w:rPr>
      </w:pPr>
      <w:r>
        <w:rPr>
          <w:snapToGrid w:val="0"/>
          <w:lang w:val="en-GB"/>
        </w:rPr>
        <w:t>Security framework</w:t>
      </w:r>
    </w:p>
    <w:p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Pr>
                <w:rFonts w:cs="Arial"/>
                <w:b/>
                <w:bCs/>
                <w:snapToGrid w:val="0"/>
                <w:sz w:val="20"/>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466DF6">
        <w:tc>
          <w:tcPr>
            <w:tcW w:w="1555"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rsidR="00466DF6" w:rsidRDefault="00466DF6"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bl>
    <w:p w:rsidR="00D55952" w:rsidRDefault="00D55952">
      <w:pPr>
        <w:snapToGrid w:val="0"/>
        <w:rPr>
          <w:rFonts w:cs="Arial"/>
          <w:b/>
          <w:bCs/>
          <w:snapToGrid w:val="0"/>
          <w:sz w:val="20"/>
          <w:szCs w:val="20"/>
          <w:u w:val="single"/>
        </w:rPr>
      </w:pPr>
    </w:p>
    <w:p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CATT</w:t>
            </w:r>
          </w:p>
        </w:tc>
        <w:tc>
          <w:tcPr>
            <w:tcW w:w="9497" w:type="dxa"/>
          </w:tcPr>
          <w:p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rsidR="00695BE6" w:rsidRDefault="00695BE6" w:rsidP="00695BE6">
            <w:pPr>
              <w:snapToGrid w:val="0"/>
              <w:rPr>
                <w:rFonts w:cs="Arial"/>
                <w:b/>
                <w:bCs/>
                <w:snapToGrid w:val="0"/>
                <w:sz w:val="20"/>
                <w:szCs w:val="20"/>
              </w:rPr>
            </w:pPr>
          </w:p>
        </w:tc>
      </w:tr>
      <w:tr w:rsidR="00A406F4">
        <w:tc>
          <w:tcPr>
            <w:tcW w:w="1555" w:type="dxa"/>
          </w:tcPr>
          <w:p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rsidR="00A406F4" w:rsidRDefault="00A406F4" w:rsidP="00695BE6">
            <w:pPr>
              <w:snapToGrid w:val="0"/>
              <w:rPr>
                <w:rFonts w:cs="Arial"/>
                <w:b/>
                <w:bCs/>
                <w:snapToGrid w:val="0"/>
                <w:sz w:val="20"/>
                <w:szCs w:val="20"/>
              </w:rPr>
            </w:pPr>
          </w:p>
        </w:tc>
      </w:tr>
    </w:tbl>
    <w:p w:rsidR="00D55952" w:rsidRDefault="0072635B">
      <w:pPr>
        <w:pStyle w:val="Heading2"/>
        <w:rPr>
          <w:snapToGrid w:val="0"/>
          <w:lang w:val="en-GB"/>
        </w:rPr>
      </w:pPr>
      <w:r>
        <w:rPr>
          <w:snapToGrid w:val="0"/>
          <w:lang w:val="en-GB"/>
        </w:rPr>
        <w:t xml:space="preserve">Subsequent data transmission </w:t>
      </w:r>
    </w:p>
    <w:p w:rsidR="00D55952" w:rsidRDefault="0072635B">
      <w:pPr>
        <w:rPr>
          <w:sz w:val="20"/>
          <w:szCs w:val="20"/>
          <w:lang w:val="en-GB" w:eastAsia="zh-CN"/>
        </w:rPr>
      </w:pPr>
      <w:r>
        <w:rPr>
          <w:sz w:val="20"/>
          <w:szCs w:val="20"/>
          <w:lang w:val="en-GB" w:eastAsia="zh-CN"/>
        </w:rPr>
        <w:t xml:space="preserve">At RAN2#111-e, the following agreement was made: </w:t>
      </w:r>
    </w:p>
    <w:p w:rsidR="00D55952" w:rsidRDefault="00D55952">
      <w:pPr>
        <w:ind w:left="432"/>
        <w:rPr>
          <w:i/>
          <w:iCs/>
          <w:sz w:val="20"/>
          <w:szCs w:val="20"/>
          <w:highlight w:val="yellow"/>
          <w:lang w:val="en-GB" w:eastAsia="zh-CN"/>
        </w:rPr>
      </w:pPr>
    </w:p>
    <w:p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rsidR="00D55952" w:rsidRDefault="00D55952">
      <w:pPr>
        <w:rPr>
          <w:i/>
          <w:iCs/>
          <w:sz w:val="20"/>
          <w:szCs w:val="20"/>
          <w:lang w:val="en-GB" w:eastAsia="zh-CN"/>
        </w:rPr>
      </w:pPr>
    </w:p>
    <w:p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2.5.1: For RACH based solutions, do companies agree that upon successful completion of contention resolution, the UE shall monitor C-RNTI search space for further UL and DL scheduling from the network?</w:t>
            </w:r>
          </w:p>
          <w:p w:rsidR="00D55952" w:rsidRDefault="00D55952">
            <w:pPr>
              <w:snapToGrid w:val="0"/>
              <w:rPr>
                <w:rFonts w:cs="Arial"/>
                <w:snapToGrid w:val="0"/>
                <w:sz w:val="20"/>
                <w:szCs w:val="20"/>
              </w:rPr>
            </w:pPr>
          </w:p>
          <w:p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5D5618">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is allowed to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DF778A" w:rsidP="00042EA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irst of all,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rsidR="004141CD" w:rsidRDefault="004141CD"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rsidR="001B5053" w:rsidRDefault="001B5053" w:rsidP="001B5053">
            <w:pPr>
              <w:snapToGrid w:val="0"/>
              <w:rPr>
                <w:rFonts w:cs="Arial"/>
                <w:b/>
                <w:bCs/>
                <w:snapToGrid w:val="0"/>
                <w:sz w:val="20"/>
                <w:szCs w:val="20"/>
              </w:rPr>
            </w:pPr>
          </w:p>
        </w:tc>
      </w:tr>
      <w:tr w:rsidR="005D5618">
        <w:tc>
          <w:tcPr>
            <w:tcW w:w="1555"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rsidR="005D5618" w:rsidRDefault="005D5618" w:rsidP="001B5053">
            <w:pPr>
              <w:snapToGrid w:val="0"/>
              <w:rPr>
                <w:rFonts w:cs="Arial"/>
                <w:b/>
                <w:bCs/>
                <w:snapToGrid w:val="0"/>
                <w:sz w:val="20"/>
                <w:szCs w:val="20"/>
              </w:rPr>
            </w:pPr>
          </w:p>
        </w:tc>
      </w:tr>
      <w:tr w:rsidR="00CD5BF3">
        <w:tc>
          <w:tcPr>
            <w:tcW w:w="1555"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rsidR="00092FC9" w:rsidRPr="00092FC9" w:rsidRDefault="00092FC9" w:rsidP="00CD5BF3">
            <w:pPr>
              <w:snapToGrid w:val="0"/>
              <w:rPr>
                <w:rFonts w:eastAsiaTheme="minorEastAsia" w:cs="Arial"/>
                <w:snapToGrid w:val="0"/>
                <w:sz w:val="20"/>
                <w:szCs w:val="20"/>
                <w:lang w:eastAsia="zh-CN"/>
              </w:rPr>
            </w:pP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rsidR="00695BE6" w:rsidRDefault="00695BE6" w:rsidP="00695BE6">
            <w:pPr>
              <w:snapToGrid w:val="0"/>
              <w:rPr>
                <w:rFonts w:cs="Arial"/>
                <w:b/>
                <w:bCs/>
                <w:snapToGrid w:val="0"/>
                <w:sz w:val="20"/>
                <w:szCs w:val="20"/>
              </w:rPr>
            </w:pPr>
          </w:p>
        </w:tc>
      </w:tr>
      <w:tr w:rsidR="004141CD">
        <w:tc>
          <w:tcPr>
            <w:tcW w:w="1555"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rsidR="004141CD" w:rsidRDefault="004141CD"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rsidR="00D55952" w:rsidRDefault="00D55952">
      <w:pPr>
        <w:rPr>
          <w:sz w:val="20"/>
          <w:szCs w:val="20"/>
          <w:lang w:val="en-GB" w:eastAsia="zh-CN"/>
        </w:rPr>
      </w:pP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2.5.3: For CG based solution, do companies agree that after transmitting the first UL message on the CG resource, the UE shall monitor a configured UE RNTI? If yes, which RNTI is this (options </w:t>
            </w:r>
            <w:proofErr w:type="gramStart"/>
            <w:r>
              <w:rPr>
                <w:rFonts w:cs="Arial"/>
                <w:b/>
                <w:bCs/>
                <w:snapToGrid w:val="0"/>
                <w:sz w:val="20"/>
                <w:szCs w:val="20"/>
              </w:rPr>
              <w:t>are:</w:t>
            </w:r>
            <w:proofErr w:type="gramEnd"/>
            <w:r>
              <w:rPr>
                <w:rFonts w:cs="Arial"/>
                <w:b/>
                <w:bCs/>
                <w:snapToGrid w:val="0"/>
                <w:sz w:val="20"/>
                <w:szCs w:val="20"/>
              </w:rPr>
              <w:t xml:space="preserve"> old C-RNTI, some other RNTI configured by the network – such as SDT-RNTI, other options – please elaborate)</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SimSun"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Since the CG resources are assumed to be valid only in the same serving cell, as long as the CG resources are valid, the C-RNTI of the UE can also be considered to be valid in the cell.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It has to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rsidR="00D55952" w:rsidRDefault="0072635B">
            <w:pPr>
              <w:snapToGrid w:val="0"/>
              <w:rPr>
                <w:rFonts w:cs="Arial"/>
                <w:snapToGrid w:val="0"/>
                <w:sz w:val="20"/>
                <w:szCs w:val="20"/>
              </w:rPr>
            </w:pPr>
            <w:r>
              <w:rPr>
                <w:rFonts w:cs="Arial"/>
                <w:snapToGrid w:val="0"/>
                <w:sz w:val="20"/>
                <w:szCs w:val="20"/>
              </w:rPr>
              <w:lastRenderedPageBreak/>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a period of time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rsidR="001B5053" w:rsidRDefault="001B5053" w:rsidP="001B5053">
            <w:pPr>
              <w:snapToGrid w:val="0"/>
              <w:rPr>
                <w:rFonts w:cs="Arial"/>
                <w:b/>
                <w:bCs/>
                <w:snapToGrid w:val="0"/>
                <w:sz w:val="20"/>
                <w:szCs w:val="20"/>
              </w:rPr>
            </w:pPr>
          </w:p>
        </w:tc>
      </w:tr>
      <w:tr w:rsidR="004E7FFB">
        <w:tc>
          <w:tcPr>
            <w:tcW w:w="1555"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rsidR="002728BB" w:rsidRDefault="002728BB" w:rsidP="001B5053">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rsidR="004E7FFB" w:rsidRDefault="004E7FFB" w:rsidP="001B5053">
            <w:pPr>
              <w:snapToGrid w:val="0"/>
              <w:rPr>
                <w:rFonts w:cs="Arial"/>
                <w:b/>
                <w:bCs/>
                <w:snapToGrid w:val="0"/>
                <w:sz w:val="20"/>
                <w:szCs w:val="20"/>
              </w:rPr>
            </w:pPr>
          </w:p>
        </w:tc>
      </w:tr>
      <w:tr w:rsidR="00CD5BF3">
        <w:tc>
          <w:tcPr>
            <w:tcW w:w="1555" w:type="dxa"/>
          </w:tcPr>
          <w:p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rsidR="003F7B33" w:rsidRDefault="003F7B33"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D55952">
      <w:pPr>
        <w:rPr>
          <w:sz w:val="20"/>
          <w:szCs w:val="20"/>
          <w:lang w:val="en-GB" w:eastAsia="zh-CN"/>
        </w:rPr>
      </w:pPr>
    </w:p>
    <w:p w:rsidR="00D55952" w:rsidRDefault="0072635B">
      <w:pPr>
        <w:pStyle w:val="Heading1"/>
        <w:rPr>
          <w:snapToGrid w:val="0"/>
        </w:rPr>
      </w:pPr>
      <w:r>
        <w:rPr>
          <w:snapToGrid w:val="0"/>
        </w:rPr>
        <w:lastRenderedPageBreak/>
        <w:t>Other aspects with potential impact to other WGs</w:t>
      </w:r>
    </w:p>
    <w:p w:rsidR="00D55952" w:rsidRDefault="0072635B">
      <w:pPr>
        <w:pStyle w:val="Heading2"/>
        <w:rPr>
          <w:snapToGrid w:val="0"/>
          <w:lang w:val="en-GB"/>
        </w:rPr>
      </w:pPr>
      <w:r>
        <w:rPr>
          <w:snapToGrid w:val="0"/>
          <w:lang w:val="en-GB"/>
        </w:rPr>
        <w:t>Resource configuration</w:t>
      </w:r>
    </w:p>
    <w:p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so as to trigger the necessary investigations in RAN1 if any.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Shared RACH resources between SDT and non-SDT</w:t>
            </w:r>
          </w:p>
          <w:p w:rsidR="00D55952" w:rsidRDefault="0072635B">
            <w:pPr>
              <w:pStyle w:val="ListParagraph"/>
              <w:numPr>
                <w:ilvl w:val="0"/>
                <w:numId w:val="5"/>
              </w:numPr>
              <w:snapToGrid w:val="0"/>
              <w:rPr>
                <w:rFonts w:eastAsia="SimSun" w:cs="Arial"/>
                <w:b/>
                <w:bCs/>
                <w:snapToGrid w:val="0"/>
                <w:sz w:val="20"/>
                <w:szCs w:val="20"/>
                <w:lang w:eastAsia="zh-CN"/>
              </w:rPr>
            </w:pPr>
            <w:r>
              <w:rPr>
                <w:rFonts w:eastAsia="SimSun" w:cs="Arial"/>
                <w:b/>
                <w:bCs/>
                <w:snapToGrid w:val="0"/>
                <w:sz w:val="20"/>
                <w:szCs w:val="20"/>
                <w:lang w:eastAsia="zh-CN"/>
              </w:rPr>
              <w:t>Separate RACH resources between SDT and non-SDT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rsidR="00D55952" w:rsidRDefault="0072635B">
            <w:pPr>
              <w:snapToGrid w:val="0"/>
              <w:rPr>
                <w:rFonts w:cs="Arial"/>
                <w:snapToGrid w:val="0"/>
                <w:sz w:val="20"/>
                <w:szCs w:val="20"/>
              </w:rPr>
            </w:pPr>
            <w:r>
              <w:rPr>
                <w:rFonts w:cs="Arial"/>
                <w:snapToGrid w:val="0"/>
                <w:sz w:val="20"/>
                <w:szCs w:val="20"/>
              </w:rPr>
              <w:t xml:space="preserve">I think from UE aspect, a particular RACH resources for SDT should be configured. But from network aspect, those RACH resources can be shared or separate resources from non-SDT.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that particular RACH resource</w:t>
            </w:r>
            <w:r w:rsidRPr="007326E7">
              <w:rPr>
                <w:rFonts w:eastAsia="PMingLiU" w:cs="Arial"/>
                <w:snapToGrid w:val="0"/>
                <w:sz w:val="20"/>
                <w:szCs w:val="20"/>
                <w:lang w:eastAsia="zh-TW"/>
              </w:rPr>
              <w:t xml:space="preserve"> for SDT.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ACH occasion can be both separated </w:t>
            </w:r>
            <w:proofErr w:type="gramStart"/>
            <w:r>
              <w:rPr>
                <w:rFonts w:eastAsiaTheme="minorEastAsia" w:cs="Arial"/>
                <w:snapToGrid w:val="0"/>
                <w:sz w:val="20"/>
                <w:szCs w:val="20"/>
                <w:lang w:eastAsia="zh-CN"/>
              </w:rPr>
              <w:t>or</w:t>
            </w:r>
            <w:proofErr w:type="gramEnd"/>
            <w:r>
              <w:rPr>
                <w:rFonts w:eastAsiaTheme="minorEastAsia" w:cs="Arial"/>
                <w:snapToGrid w:val="0"/>
                <w:sz w:val="20"/>
                <w:szCs w:val="20"/>
                <w:lang w:eastAsia="zh-CN"/>
              </w:rPr>
              <w:t xml:space="preserve"> shared. But RACH resource in terms of time/frequency/code should be separated between SDT and non-SDT.</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rsidR="00695BE6" w:rsidRDefault="00695BE6" w:rsidP="00695BE6">
            <w:pPr>
              <w:snapToGrid w:val="0"/>
              <w:rPr>
                <w:rFonts w:cs="Arial"/>
                <w:b/>
                <w:bCs/>
                <w:snapToGrid w:val="0"/>
                <w:sz w:val="20"/>
                <w:szCs w:val="20"/>
              </w:rPr>
            </w:pPr>
          </w:p>
        </w:tc>
      </w:tr>
      <w:tr w:rsidR="003F7B33">
        <w:tc>
          <w:tcPr>
            <w:tcW w:w="1555"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This should be up to NW configuration and supported as baseline. We understand the term “shared resources” similar to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rsidR="003F7B33" w:rsidRDefault="003F7B33" w:rsidP="00695BE6">
            <w:pPr>
              <w:snapToGrid w:val="0"/>
              <w:rPr>
                <w:rFonts w:cs="Arial"/>
                <w:b/>
                <w:bCs/>
                <w:snapToGrid w:val="0"/>
                <w:sz w:val="20"/>
                <w:szCs w:val="20"/>
              </w:rPr>
            </w:pPr>
          </w:p>
        </w:tc>
      </w:tr>
    </w:tbl>
    <w:p w:rsidR="00D55952" w:rsidRDefault="00D55952">
      <w:pPr>
        <w:rPr>
          <w:lang w:val="en-GB" w:eastAsia="zh-CN"/>
        </w:rPr>
      </w:pP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06"/>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highlight w:val="green"/>
              </w:rPr>
            </w:pPr>
            <w:r>
              <w:rPr>
                <w:rFonts w:cs="Arial"/>
                <w:snapToGrid w:val="0"/>
                <w:sz w:val="20"/>
                <w:szCs w:val="20"/>
              </w:rPr>
              <w:t xml:space="preserve">Yes, </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If separate RACH resource pool for SDT and non-SDT is allowed, then some ambiguity may exist in the </w:t>
            </w:r>
            <w:r>
              <w:rPr>
                <w:rFonts w:eastAsia="SimSun" w:cs="Arial" w:hint="eastAsia"/>
                <w:snapToGrid w:val="0"/>
                <w:sz w:val="20"/>
                <w:szCs w:val="20"/>
                <w:lang w:eastAsia="zh-CN"/>
              </w:rPr>
              <w:t>MSG2/MSGB</w:t>
            </w:r>
            <w:r>
              <w:rPr>
                <w:rFonts w:eastAsia="SimSun" w:cs="Arial"/>
                <w:snapToGrid w:val="0"/>
                <w:sz w:val="20"/>
                <w:szCs w:val="20"/>
                <w:lang w:eastAsia="zh-CN"/>
              </w:rPr>
              <w:t xml:space="preserve"> for different RA resource pool, since the same RA-RNTI/RAP-ID may be used in the two separate resource pool.  To solve this issue, the following alternatives can be considered:</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Alt1: RA-RNTI based solution (e.g. a special RA-RNTI can be used to indicate the </w:t>
            </w:r>
            <w:r>
              <w:rPr>
                <w:rFonts w:eastAsia="SimSun" w:cs="Arial" w:hint="eastAsia"/>
                <w:snapToGrid w:val="0"/>
                <w:sz w:val="20"/>
                <w:szCs w:val="20"/>
                <w:lang w:eastAsia="zh-CN"/>
              </w:rPr>
              <w:t xml:space="preserve">MSG2/MSGB </w:t>
            </w:r>
            <w:r>
              <w:rPr>
                <w:rFonts w:eastAsia="SimSun" w:cs="Arial"/>
                <w:snapToGrid w:val="0"/>
                <w:sz w:val="20"/>
                <w:szCs w:val="20"/>
                <w:lang w:eastAsia="zh-CN"/>
              </w:rPr>
              <w:t>for SDT, and more information can</w:t>
            </w:r>
            <w:r>
              <w:rPr>
                <w:rFonts w:eastAsia="SimSun" w:cs="Arial" w:hint="eastAsia"/>
                <w:snapToGrid w:val="0"/>
                <w:sz w:val="20"/>
                <w:szCs w:val="20"/>
                <w:lang w:eastAsia="zh-CN"/>
              </w:rPr>
              <w:t xml:space="preserve"> </w:t>
            </w:r>
            <w:r>
              <w:rPr>
                <w:rFonts w:eastAsia="SimSun" w:cs="Arial"/>
                <w:snapToGrid w:val="0"/>
                <w:sz w:val="20"/>
                <w:szCs w:val="20"/>
                <w:lang w:eastAsia="zh-CN"/>
              </w:rPr>
              <w:t>be included in MAC RAR to identify UE)</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 xml:space="preserve">Alt2: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/CORESET (needs RAN1 input)</w:t>
            </w:r>
          </w:p>
          <w:p w:rsidR="00D55952" w:rsidRDefault="0072635B">
            <w:pPr>
              <w:snapToGrid w:val="0"/>
              <w:rPr>
                <w:rFonts w:eastAsia="SimSun" w:cs="Arial"/>
                <w:snapToGrid w:val="0"/>
                <w:sz w:val="20"/>
                <w:szCs w:val="20"/>
                <w:lang w:eastAsia="zh-CN"/>
              </w:rPr>
            </w:pPr>
            <w:r>
              <w:rPr>
                <w:rFonts w:eastAsia="SimSun" w:cs="Arial"/>
                <w:snapToGrid w:val="0"/>
                <w:sz w:val="20"/>
                <w:szCs w:val="20"/>
                <w:lang w:eastAsia="zh-CN"/>
              </w:rPr>
              <w:t>For the two alternatives above, we think alternative 2 is more straightforward. Also considering</w:t>
            </w:r>
            <w:r>
              <w:rPr>
                <w:rFonts w:eastAsia="SimSun" w:cs="Arial" w:hint="eastAsia"/>
                <w:snapToGrid w:val="0"/>
                <w:sz w:val="20"/>
                <w:szCs w:val="20"/>
                <w:lang w:eastAsia="zh-CN"/>
              </w:rPr>
              <w:t xml:space="preserve"> one</w:t>
            </w:r>
            <w:r>
              <w:rPr>
                <w:rFonts w:eastAsia="SimSun" w:cs="Arial"/>
                <w:snapToGrid w:val="0"/>
                <w:sz w:val="20"/>
                <w:szCs w:val="20"/>
                <w:lang w:eastAsia="zh-CN"/>
              </w:rPr>
              <w:t xml:space="preserve"> of the </w:t>
            </w:r>
            <w:proofErr w:type="gramStart"/>
            <w:r>
              <w:rPr>
                <w:rFonts w:eastAsia="SimSun" w:cs="Arial"/>
                <w:snapToGrid w:val="0"/>
                <w:sz w:val="20"/>
                <w:szCs w:val="20"/>
                <w:lang w:eastAsia="zh-CN"/>
              </w:rPr>
              <w:t>intention</w:t>
            </w:r>
            <w:proofErr w:type="gramEnd"/>
            <w:r>
              <w:rPr>
                <w:rFonts w:eastAsia="SimSun" w:cs="Arial"/>
                <w:snapToGrid w:val="0"/>
                <w:sz w:val="20"/>
                <w:szCs w:val="20"/>
                <w:lang w:eastAsia="zh-CN"/>
              </w:rPr>
              <w:t xml:space="preserve"> to allow the configuration of separate RA resource pool for SDT is to avoid the congestion on non-SDT RA </w:t>
            </w:r>
            <w:r>
              <w:rPr>
                <w:rFonts w:eastAsia="SimSun" w:cs="Arial"/>
                <w:snapToGrid w:val="0"/>
                <w:sz w:val="20"/>
                <w:szCs w:val="20"/>
                <w:lang w:eastAsia="zh-CN"/>
              </w:rPr>
              <w:lastRenderedPageBreak/>
              <w:t xml:space="preserve">resource, having a separate </w:t>
            </w:r>
            <w:proofErr w:type="spellStart"/>
            <w:r>
              <w:rPr>
                <w:rFonts w:eastAsia="SimSun" w:cs="Arial"/>
                <w:snapToGrid w:val="0"/>
                <w:sz w:val="20"/>
                <w:szCs w:val="20"/>
                <w:lang w:eastAsia="zh-CN"/>
              </w:rPr>
              <w:t>SearchSpace</w:t>
            </w:r>
            <w:proofErr w:type="spellEnd"/>
            <w:r>
              <w:rPr>
                <w:rFonts w:eastAsia="SimSun" w:cs="Arial"/>
                <w:snapToGrid w:val="0"/>
                <w:sz w:val="20"/>
                <w:szCs w:val="20"/>
                <w:lang w:eastAsia="zh-CN"/>
              </w:rPr>
              <w:t xml:space="preserve">/CORESET can be used to avoid the congestion on the legacy RA </w:t>
            </w:r>
            <w:proofErr w:type="spellStart"/>
            <w:r>
              <w:rPr>
                <w:rFonts w:eastAsia="SimSun" w:cs="Arial" w:hint="eastAsia"/>
                <w:snapToGrid w:val="0"/>
                <w:sz w:val="20"/>
                <w:szCs w:val="20"/>
                <w:lang w:eastAsia="zh-CN"/>
              </w:rPr>
              <w:t>SearchSpace</w:t>
            </w:r>
            <w:proofErr w:type="spellEnd"/>
            <w:r>
              <w:rPr>
                <w:rFonts w:eastAsia="SimSun" w:cs="Arial"/>
                <w:snapToGrid w:val="0"/>
                <w:sz w:val="20"/>
                <w:szCs w:val="20"/>
                <w:lang w:eastAsia="zh-CN"/>
              </w:rPr>
              <w:t>/CORESET.</w:t>
            </w:r>
          </w:p>
          <w:p w:rsidR="00D55952" w:rsidRDefault="0072635B">
            <w:pPr>
              <w:snapToGrid w:val="0"/>
              <w:rPr>
                <w:rFonts w:eastAsia="SimSun" w:cs="Arial"/>
                <w:snapToGrid w:val="0"/>
                <w:sz w:val="20"/>
                <w:szCs w:val="20"/>
                <w:highlight w:val="green"/>
                <w:lang w:eastAsia="zh-CN"/>
              </w:rPr>
            </w:pPr>
            <w:r>
              <w:rPr>
                <w:rFonts w:eastAsia="SimSun" w:cs="Arial" w:hint="eastAsia"/>
                <w:snapToGrid w:val="0"/>
                <w:sz w:val="20"/>
                <w:szCs w:val="20"/>
                <w:lang w:eastAsia="zh-CN"/>
              </w:rPr>
              <w:t xml:space="preserve">Therefore, we prefer to have separate </w:t>
            </w:r>
            <w:proofErr w:type="spellStart"/>
            <w:r>
              <w:rPr>
                <w:rFonts w:eastAsia="SimSun" w:cs="Arial" w:hint="eastAsia"/>
                <w:snapToGrid w:val="0"/>
                <w:sz w:val="20"/>
                <w:szCs w:val="20"/>
                <w:lang w:eastAsia="zh-CN"/>
              </w:rPr>
              <w:t>SearchSpace</w:t>
            </w:r>
            <w:proofErr w:type="spellEnd"/>
            <w:r>
              <w:rPr>
                <w:rFonts w:eastAsia="SimSun" w:cs="Arial" w:hint="eastAsia"/>
                <w:snapToGrid w:val="0"/>
                <w:sz w:val="20"/>
                <w:szCs w:val="20"/>
                <w:lang w:eastAsia="zh-CN"/>
              </w:rPr>
              <w:t>/CORESET from RAN2 persp</w:t>
            </w:r>
            <w:r>
              <w:rPr>
                <w:rFonts w:eastAsia="SimSun" w:cs="Arial"/>
                <w:snapToGrid w:val="0"/>
                <w:sz w:val="20"/>
                <w:szCs w:val="20"/>
                <w:lang w:eastAsia="zh-CN"/>
              </w:rPr>
              <w:t>e</w:t>
            </w:r>
            <w:r>
              <w:rPr>
                <w:rFonts w:eastAsia="SimSun" w:cs="Arial" w:hint="eastAsia"/>
                <w:snapToGrid w:val="0"/>
                <w:sz w:val="20"/>
                <w:szCs w:val="20"/>
                <w:lang w:eastAsia="zh-CN"/>
              </w:rPr>
              <w:t>ctive, and ask RAN1 to confirm the fe</w:t>
            </w:r>
            <w:r>
              <w:rPr>
                <w:rFonts w:eastAsia="SimSun" w:cs="Arial"/>
                <w:snapToGrid w:val="0"/>
                <w:sz w:val="20"/>
                <w:szCs w:val="20"/>
                <w:lang w:eastAsia="zh-CN"/>
              </w:rPr>
              <w:t>a</w:t>
            </w:r>
            <w:r>
              <w:rPr>
                <w:rFonts w:eastAsia="SimSun" w:cs="Arial" w:hint="eastAsia"/>
                <w:snapToGrid w:val="0"/>
                <w:sz w:val="20"/>
                <w:szCs w:val="20"/>
                <w:lang w:eastAsia="zh-CN"/>
              </w:rPr>
              <w:t>sibility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rsidR="00D55952" w:rsidRDefault="0072635B">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 xml:space="preserve">We think separate BWP needs to be </w:t>
            </w:r>
            <w:proofErr w:type="gramStart"/>
            <w:r>
              <w:rPr>
                <w:rFonts w:cs="Arial"/>
                <w:snapToGrid w:val="0"/>
                <w:sz w:val="20"/>
                <w:szCs w:val="20"/>
              </w:rPr>
              <w:t>considered, and</w:t>
            </w:r>
            <w:proofErr w:type="gramEnd"/>
            <w:r>
              <w:rPr>
                <w:rFonts w:cs="Arial"/>
                <w:snapToGrid w:val="0"/>
                <w:sz w:val="20"/>
                <w:szCs w:val="20"/>
              </w:rPr>
              <w:t xml:space="preserve"> ask RAN1 about the feasibility.</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the above company and think it is more suitable to let RAN1 to decide. Actually, in R16, for the 2-step RACH discussion, the decision was finalized by RAN1</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rsidR="00695BE6" w:rsidRDefault="00695BE6" w:rsidP="00695BE6">
            <w:pPr>
              <w:snapToGrid w:val="0"/>
              <w:rPr>
                <w:rFonts w:cs="Arial"/>
                <w:b/>
                <w:bCs/>
                <w:snapToGrid w:val="0"/>
                <w:sz w:val="20"/>
                <w:szCs w:val="20"/>
              </w:rPr>
            </w:pPr>
          </w:p>
        </w:tc>
      </w:tr>
      <w:tr w:rsidR="00596BE4">
        <w:tc>
          <w:tcPr>
            <w:tcW w:w="1555" w:type="dxa"/>
          </w:tcPr>
          <w:p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rsidR="00596BE4" w:rsidRDefault="00596BE4" w:rsidP="00695BE6">
            <w:pPr>
              <w:snapToGrid w:val="0"/>
              <w:rPr>
                <w:rFonts w:cs="Arial"/>
                <w:b/>
                <w:bCs/>
                <w:snapToGrid w:val="0"/>
                <w:sz w:val="20"/>
                <w:szCs w:val="20"/>
              </w:rPr>
            </w:pPr>
          </w:p>
        </w:tc>
      </w:tr>
    </w:tbl>
    <w:p w:rsidR="00D55952" w:rsidRDefault="00D55952">
      <w:pPr>
        <w:rPr>
          <w:lang w:val="en-GB" w:eastAsia="zh-CN"/>
        </w:rPr>
      </w:pPr>
    </w:p>
    <w:p w:rsidR="00D55952" w:rsidRDefault="0072635B">
      <w:pPr>
        <w:pStyle w:val="Heading2"/>
        <w:rPr>
          <w:snapToGrid w:val="0"/>
          <w:lang w:val="en-GB"/>
        </w:rPr>
      </w:pPr>
      <w:r>
        <w:rPr>
          <w:snapToGrid w:val="0"/>
          <w:lang w:val="en-GB"/>
        </w:rPr>
        <w:t>Cell reselection and failure handling</w:t>
      </w:r>
    </w:p>
    <w:p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3.2.1: Do companies agree that T319 should be extended to support SDT and if yes, by how much</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rsidR="00D55952" w:rsidRDefault="00D55952">
            <w:pPr>
              <w:snapToGrid w:val="0"/>
              <w:rPr>
                <w:rFonts w:eastAsia="SimSun" w:cs="Arial"/>
                <w:snapToGrid w:val="0"/>
                <w:sz w:val="20"/>
                <w:szCs w:val="20"/>
                <w:lang w:eastAsia="zh-CN"/>
              </w:rPr>
            </w:pP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Considering the backward compatibility, we prefer to introduce a new timer other than extending T319. If T319 is extended, legacy UEs have to keep monitoring PDCCH for a long time, which is power consumption. We can introduce a new timer which has the same function as T319 but with longer value for SDT.</w:t>
            </w:r>
          </w:p>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1B5053">
        <w:tc>
          <w:tcPr>
            <w:tcW w:w="1555" w:type="dxa"/>
          </w:tcPr>
          <w:p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rsidR="001B5053" w:rsidRDefault="001B5053" w:rsidP="001B5053">
            <w:pPr>
              <w:snapToGrid w:val="0"/>
              <w:rPr>
                <w:rFonts w:cs="Arial"/>
                <w:b/>
                <w:bCs/>
                <w:snapToGrid w:val="0"/>
                <w:sz w:val="20"/>
                <w:szCs w:val="20"/>
              </w:rPr>
            </w:pPr>
          </w:p>
        </w:tc>
      </w:tr>
      <w:tr w:rsidR="004F5FEB">
        <w:tc>
          <w:tcPr>
            <w:tcW w:w="1555"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rsidR="004F5FEB" w:rsidRDefault="004F5FEB" w:rsidP="001B5053">
            <w:pPr>
              <w:snapToGrid w:val="0"/>
              <w:rPr>
                <w:rFonts w:cs="Arial"/>
                <w:b/>
                <w:bCs/>
                <w:snapToGrid w:val="0"/>
                <w:sz w:val="20"/>
                <w:szCs w:val="20"/>
              </w:rPr>
            </w:pPr>
          </w:p>
        </w:tc>
      </w:tr>
      <w:tr w:rsidR="00CD5BF3">
        <w:tc>
          <w:tcPr>
            <w:tcW w:w="1555" w:type="dxa"/>
          </w:tcPr>
          <w:p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w:t>
            </w:r>
            <w:proofErr w:type="gramStart"/>
            <w:r>
              <w:rPr>
                <w:rFonts w:eastAsia="PMingLiU" w:cs="Arial"/>
                <w:snapToGrid w:val="0"/>
                <w:sz w:val="20"/>
                <w:szCs w:val="20"/>
                <w:lang w:eastAsia="zh-TW"/>
              </w:rPr>
              <w:t>retrieve</w:t>
            </w:r>
            <w:proofErr w:type="gramEnd"/>
            <w:r>
              <w:rPr>
                <w:rFonts w:eastAsia="PMingLiU" w:cs="Arial"/>
                <w:snapToGrid w:val="0"/>
                <w:sz w:val="20"/>
                <w:szCs w:val="20"/>
                <w:lang w:eastAsia="zh-TW"/>
              </w:rPr>
              <w:t xml:space="preser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taken into account.</w:t>
            </w:r>
          </w:p>
        </w:tc>
        <w:tc>
          <w:tcPr>
            <w:tcW w:w="4814" w:type="dxa"/>
          </w:tcPr>
          <w:p w:rsidR="00CD5BF3" w:rsidRDefault="00CD5BF3" w:rsidP="00CD5BF3">
            <w:pPr>
              <w:snapToGrid w:val="0"/>
              <w:rPr>
                <w:rFonts w:cs="Arial"/>
                <w:b/>
                <w:bCs/>
                <w:snapToGrid w:val="0"/>
                <w:sz w:val="20"/>
                <w:szCs w:val="20"/>
              </w:rPr>
            </w:pPr>
          </w:p>
        </w:tc>
      </w:tr>
      <w:tr w:rsidR="009D5DCC">
        <w:tc>
          <w:tcPr>
            <w:tcW w:w="1555" w:type="dxa"/>
          </w:tcPr>
          <w:p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rsidR="009D5DCC" w:rsidRDefault="009D5DCC" w:rsidP="00CD5BF3">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rsidR="00695BE6" w:rsidRDefault="00695BE6" w:rsidP="00695BE6">
            <w:pPr>
              <w:snapToGrid w:val="0"/>
              <w:rPr>
                <w:rFonts w:cs="Arial"/>
                <w:b/>
                <w:bCs/>
                <w:snapToGrid w:val="0"/>
                <w:sz w:val="20"/>
                <w:szCs w:val="20"/>
              </w:rPr>
            </w:pPr>
          </w:p>
        </w:tc>
      </w:tr>
      <w:tr w:rsidR="00D9324E">
        <w:tc>
          <w:tcPr>
            <w:tcW w:w="1555"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rsidR="00D9324E" w:rsidRDefault="00D9324E" w:rsidP="00695BE6">
            <w:pPr>
              <w:snapToGrid w:val="0"/>
              <w:rPr>
                <w:rFonts w:cs="Arial"/>
                <w:b/>
                <w:bCs/>
                <w:snapToGrid w:val="0"/>
                <w:sz w:val="20"/>
                <w:szCs w:val="20"/>
              </w:rPr>
            </w:pPr>
          </w:p>
        </w:tc>
      </w:tr>
    </w:tbl>
    <w:p w:rsidR="00D55952" w:rsidRDefault="00D55952">
      <w:pPr>
        <w:rPr>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eastAsia="SimSun"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Yes, we think this is sufficient.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lastRenderedPageBreak/>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But does it mean we only rely on T319/New timer for the failure handling? how about the RLC counter for RLF?</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Whether T319 is sufficient needs to be discussed. The beam validity should be taken into account at least for the CG based solution.</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rsidR="007C006F" w:rsidRDefault="007C006F"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rPr>
          <w:sz w:val="20"/>
          <w:szCs w:val="20"/>
          <w:lang w:val="en-GB" w:eastAsia="zh-CN"/>
        </w:rPr>
      </w:pPr>
      <w:r>
        <w:rPr>
          <w:sz w:val="20"/>
          <w:szCs w:val="20"/>
          <w:lang w:val="en-GB" w:eastAsia="zh-CN"/>
        </w:rPr>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rsidR="00D55952" w:rsidRDefault="00D55952">
      <w:pPr>
        <w:rPr>
          <w:sz w:val="20"/>
          <w:szCs w:val="20"/>
          <w:lang w:val="en-GB" w:eastAsia="zh-CN"/>
        </w:rPr>
      </w:pPr>
    </w:p>
    <w:tbl>
      <w:tblPr>
        <w:tblStyle w:val="TableGrid"/>
        <w:tblW w:w="15866" w:type="dxa"/>
        <w:tblLayout w:type="fixed"/>
        <w:tblLook w:val="04A0" w:firstRow="1" w:lastRow="0" w:firstColumn="1" w:lastColumn="0" w:noHBand="0" w:noVBand="1"/>
      </w:tblPr>
      <w:tblGrid>
        <w:gridCol w:w="1555"/>
        <w:gridCol w:w="9497"/>
        <w:gridCol w:w="4814"/>
      </w:tblGrid>
      <w:tr w:rsidR="00D55952">
        <w:tc>
          <w:tcPr>
            <w:tcW w:w="15866" w:type="dxa"/>
            <w:gridSpan w:val="3"/>
          </w:tcPr>
          <w:p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rsidR="00D55952" w:rsidRDefault="0072635B">
            <w:pPr>
              <w:snapToGrid w:val="0"/>
              <w:rPr>
                <w:rFonts w:eastAsia="SimSun"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trPr>
          <w:trHeight w:val="3811"/>
        </w:trPr>
        <w:tc>
          <w:tcPr>
            <w:tcW w:w="1555" w:type="dxa"/>
          </w:tcPr>
          <w:p w:rsidR="00D55952" w:rsidRDefault="0072635B">
            <w:pPr>
              <w:snapToGrid w:val="0"/>
              <w:rPr>
                <w:rFonts w:cs="Arial"/>
                <w:snapToGrid w:val="0"/>
                <w:sz w:val="20"/>
                <w:szCs w:val="20"/>
              </w:rPr>
            </w:pPr>
            <w:r>
              <w:rPr>
                <w:rFonts w:cs="Arial"/>
                <w:snapToGrid w:val="0"/>
                <w:sz w:val="20"/>
                <w:szCs w:val="20"/>
              </w:rPr>
              <w:t>ZTE</w:t>
            </w:r>
          </w:p>
        </w:tc>
        <w:tc>
          <w:tcPr>
            <w:tcW w:w="9497" w:type="dxa"/>
          </w:tcPr>
          <w:p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rsidR="00D55952" w:rsidRDefault="0072635B">
            <w:pPr>
              <w:pStyle w:val="ListParagraph"/>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rsidR="00D55952" w:rsidRDefault="0072635B">
            <w:pPr>
              <w:pStyle w:val="ListParagraph"/>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rsidR="00D55952" w:rsidRDefault="0072635B">
            <w:pPr>
              <w:snapToGrid w:val="0"/>
              <w:rPr>
                <w:rFonts w:cs="Arial"/>
                <w:snapToGrid w:val="0"/>
                <w:sz w:val="20"/>
                <w:szCs w:val="20"/>
              </w:rPr>
            </w:pPr>
            <w:r>
              <w:rPr>
                <w:rFonts w:cs="Arial"/>
                <w:snapToGrid w:val="0"/>
                <w:sz w:val="20"/>
                <w:szCs w:val="20"/>
              </w:rPr>
              <w:t xml:space="preserve">Option1 is the baseline. </w:t>
            </w:r>
          </w:p>
          <w:p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rsidR="00D55952" w:rsidRDefault="00D55952">
            <w:pPr>
              <w:snapToGrid w:val="0"/>
              <w:rPr>
                <w:rFonts w:cs="Arial"/>
                <w:b/>
                <w:bCs/>
                <w:snapToGrid w:val="0"/>
                <w:sz w:val="20"/>
                <w:szCs w:val="20"/>
              </w:rPr>
            </w:pPr>
          </w:p>
        </w:tc>
      </w:tr>
      <w:tr w:rsidR="00D55952">
        <w:tc>
          <w:tcPr>
            <w:tcW w:w="1555" w:type="dxa"/>
          </w:tcPr>
          <w:p w:rsidR="00D55952" w:rsidRDefault="0072635B">
            <w:pPr>
              <w:snapToGrid w:val="0"/>
              <w:rPr>
                <w:rFonts w:cs="Arial"/>
                <w:snapToGrid w:val="0"/>
                <w:sz w:val="20"/>
                <w:szCs w:val="20"/>
              </w:rPr>
            </w:pPr>
            <w:r>
              <w:rPr>
                <w:rFonts w:cs="Arial" w:hint="eastAsia"/>
                <w:snapToGrid w:val="0"/>
                <w:sz w:val="20"/>
                <w:szCs w:val="20"/>
              </w:rPr>
              <w:t>LG</w:t>
            </w:r>
          </w:p>
        </w:tc>
        <w:tc>
          <w:tcPr>
            <w:tcW w:w="9497" w:type="dxa"/>
          </w:tcPr>
          <w:p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rsidR="00D55952" w:rsidRDefault="0072635B">
            <w:pPr>
              <w:snapToGrid w:val="0"/>
              <w:rPr>
                <w:rFonts w:cs="Arial"/>
                <w:snapToGrid w:val="0"/>
                <w:sz w:val="20"/>
                <w:szCs w:val="20"/>
              </w:rPr>
            </w:pPr>
            <w:r>
              <w:rPr>
                <w:rFonts w:cs="Arial"/>
                <w:snapToGrid w:val="0"/>
                <w:sz w:val="20"/>
                <w:szCs w:val="20"/>
              </w:rPr>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rsidR="00D55952" w:rsidRDefault="00D55952">
            <w:pPr>
              <w:snapToGrid w:val="0"/>
              <w:rPr>
                <w:rFonts w:cs="Arial"/>
                <w:b/>
                <w:bCs/>
                <w:snapToGrid w:val="0"/>
                <w:sz w:val="20"/>
                <w:szCs w:val="20"/>
              </w:rPr>
            </w:pPr>
          </w:p>
        </w:tc>
      </w:tr>
      <w:tr w:rsidR="0072635B">
        <w:tc>
          <w:tcPr>
            <w:tcW w:w="1555" w:type="dxa"/>
          </w:tcPr>
          <w:p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rsidR="0072635B" w:rsidRDefault="0072635B">
            <w:pPr>
              <w:snapToGrid w:val="0"/>
              <w:rPr>
                <w:rFonts w:cs="Arial"/>
                <w:b/>
                <w:bCs/>
                <w:snapToGrid w:val="0"/>
                <w:sz w:val="20"/>
                <w:szCs w:val="20"/>
              </w:rPr>
            </w:pPr>
          </w:p>
        </w:tc>
      </w:tr>
      <w:tr w:rsidR="001B5053">
        <w:tc>
          <w:tcPr>
            <w:tcW w:w="1555"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rsidR="001B5053" w:rsidRDefault="001B5053" w:rsidP="001B5053">
            <w:pPr>
              <w:snapToGrid w:val="0"/>
              <w:rPr>
                <w:rFonts w:cs="Arial"/>
                <w:b/>
                <w:bCs/>
                <w:snapToGrid w:val="0"/>
                <w:sz w:val="20"/>
                <w:szCs w:val="20"/>
              </w:rPr>
            </w:pPr>
          </w:p>
        </w:tc>
      </w:tr>
      <w:tr w:rsidR="003F6CBB">
        <w:tc>
          <w:tcPr>
            <w:tcW w:w="1555" w:type="dxa"/>
          </w:tcPr>
          <w:p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rsidR="003F6CBB" w:rsidRDefault="003F6CBB" w:rsidP="001B5053">
            <w:pPr>
              <w:snapToGrid w:val="0"/>
              <w:rPr>
                <w:rFonts w:cs="Arial"/>
                <w:b/>
                <w:bCs/>
                <w:snapToGrid w:val="0"/>
                <w:sz w:val="20"/>
                <w:szCs w:val="20"/>
              </w:rPr>
            </w:pPr>
          </w:p>
        </w:tc>
      </w:tr>
      <w:tr w:rsidR="00954016">
        <w:tc>
          <w:tcPr>
            <w:tcW w:w="1555" w:type="dxa"/>
          </w:tcPr>
          <w:p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rsidR="00954016" w:rsidRDefault="00954016" w:rsidP="00954016">
            <w:pPr>
              <w:snapToGrid w:val="0"/>
              <w:rPr>
                <w:rFonts w:cs="Arial"/>
                <w:snapToGrid w:val="0"/>
                <w:sz w:val="20"/>
                <w:szCs w:val="20"/>
              </w:rPr>
            </w:pPr>
            <w:r>
              <w:rPr>
                <w:rFonts w:cs="Arial"/>
                <w:snapToGrid w:val="0"/>
                <w:sz w:val="20"/>
                <w:szCs w:val="20"/>
              </w:rPr>
              <w:lastRenderedPageBreak/>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rsidR="00954016" w:rsidRDefault="00954016" w:rsidP="00954016">
            <w:pPr>
              <w:snapToGrid w:val="0"/>
              <w:rPr>
                <w:rFonts w:eastAsia="PMingLiU" w:cs="Arial"/>
                <w:snapToGrid w:val="0"/>
                <w:sz w:val="20"/>
                <w:szCs w:val="20"/>
                <w:lang w:eastAsia="zh-TW"/>
              </w:rPr>
            </w:pPr>
            <w:r>
              <w:rPr>
                <w:rFonts w:cs="Arial"/>
                <w:snapToGrid w:val="0"/>
                <w:sz w:val="20"/>
                <w:szCs w:val="20"/>
              </w:rPr>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rsidR="00954016" w:rsidRDefault="00954016" w:rsidP="00954016">
            <w:pPr>
              <w:snapToGrid w:val="0"/>
              <w:rPr>
                <w:rFonts w:cs="Arial"/>
                <w:b/>
                <w:bCs/>
                <w:snapToGrid w:val="0"/>
                <w:sz w:val="20"/>
                <w:szCs w:val="20"/>
              </w:rPr>
            </w:pPr>
          </w:p>
        </w:tc>
      </w:tr>
      <w:tr w:rsidR="009D5DCC">
        <w:tc>
          <w:tcPr>
            <w:tcW w:w="1555" w:type="dxa"/>
          </w:tcPr>
          <w:p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rsidR="009D5DCC" w:rsidRDefault="009D5DCC" w:rsidP="00954016">
            <w:pPr>
              <w:snapToGrid w:val="0"/>
              <w:rPr>
                <w:rFonts w:cs="Arial"/>
                <w:b/>
                <w:bCs/>
                <w:snapToGrid w:val="0"/>
                <w:sz w:val="20"/>
                <w:szCs w:val="20"/>
              </w:rPr>
            </w:pPr>
          </w:p>
        </w:tc>
      </w:tr>
      <w:tr w:rsidR="00695BE6">
        <w:tc>
          <w:tcPr>
            <w:tcW w:w="1555" w:type="dxa"/>
          </w:tcPr>
          <w:p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rsidR="00695BE6" w:rsidRDefault="00695BE6" w:rsidP="00695BE6">
            <w:pPr>
              <w:snapToGrid w:val="0"/>
              <w:rPr>
                <w:rFonts w:cs="Arial"/>
                <w:b/>
                <w:bCs/>
                <w:snapToGrid w:val="0"/>
                <w:sz w:val="20"/>
                <w:szCs w:val="20"/>
              </w:rPr>
            </w:pPr>
          </w:p>
        </w:tc>
      </w:tr>
      <w:tr w:rsidR="007C006F">
        <w:tc>
          <w:tcPr>
            <w:tcW w:w="1555" w:type="dxa"/>
          </w:tcPr>
          <w:p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rsidR="007C006F" w:rsidRDefault="007C006F" w:rsidP="00695BE6">
            <w:pPr>
              <w:snapToGrid w:val="0"/>
              <w:rPr>
                <w:rFonts w:cs="Arial"/>
                <w:b/>
                <w:bCs/>
                <w:snapToGrid w:val="0"/>
                <w:sz w:val="20"/>
                <w:szCs w:val="20"/>
              </w:rPr>
            </w:pPr>
          </w:p>
        </w:tc>
      </w:tr>
    </w:tbl>
    <w:p w:rsidR="00D55952" w:rsidRDefault="00D55952">
      <w:pPr>
        <w:rPr>
          <w:sz w:val="20"/>
          <w:szCs w:val="20"/>
          <w:lang w:val="en-GB" w:eastAsia="zh-CN"/>
        </w:rPr>
      </w:pPr>
    </w:p>
    <w:p w:rsidR="00D55952" w:rsidRDefault="0072635B">
      <w:pPr>
        <w:pStyle w:val="Heading1"/>
        <w:rPr>
          <w:snapToGrid w:val="0"/>
        </w:rPr>
      </w:pPr>
      <w:r>
        <w:rPr>
          <w:snapToGrid w:val="0"/>
        </w:rPr>
        <w:t>Conclusion and proposals</w:t>
      </w:r>
    </w:p>
    <w:p w:rsidR="00D55952" w:rsidRDefault="0072635B">
      <w:pPr>
        <w:rPr>
          <w:lang w:val="en-GB" w:eastAsia="en-GB"/>
        </w:rPr>
      </w:pPr>
      <w:r>
        <w:rPr>
          <w:highlight w:val="yellow"/>
          <w:lang w:val="en-GB" w:eastAsia="en-GB"/>
        </w:rPr>
        <w:t>TBD</w:t>
      </w:r>
    </w:p>
    <w:p w:rsidR="00D55952" w:rsidRDefault="00D55952">
      <w:pPr>
        <w:rPr>
          <w:sz w:val="20"/>
          <w:szCs w:val="20"/>
          <w:lang w:val="en-GB" w:eastAsia="zh-CN"/>
        </w:rPr>
      </w:pPr>
    </w:p>
    <w:p w:rsidR="00D55952" w:rsidRDefault="00D55952">
      <w:pPr>
        <w:rPr>
          <w:sz w:val="20"/>
          <w:szCs w:val="20"/>
          <w:lang w:eastAsia="zh-CN"/>
        </w:rPr>
      </w:pPr>
    </w:p>
    <w:p w:rsidR="00D55952" w:rsidRDefault="0072635B">
      <w:pPr>
        <w:pStyle w:val="Heading1"/>
        <w:rPr>
          <w:snapToGrid w:val="0"/>
        </w:rPr>
      </w:pPr>
      <w:r>
        <w:rPr>
          <w:snapToGrid w:val="0"/>
        </w:rPr>
        <w:lastRenderedPageBreak/>
        <w:t>References</w:t>
      </w:r>
    </w:p>
    <w:p w:rsidR="00D55952" w:rsidRDefault="0072635B">
      <w:pPr>
        <w:pStyle w:val="ListParagraph"/>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rsidR="00D55952" w:rsidRDefault="00D55952">
      <w:pPr>
        <w:pStyle w:val="ListParagraph"/>
        <w:ind w:left="360"/>
        <w:rPr>
          <w:lang w:val="en-GB" w:eastAsia="en-GB"/>
        </w:rPr>
      </w:pPr>
    </w:p>
    <w:p w:rsidR="00D55952" w:rsidRDefault="0072635B">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55952">
        <w:tc>
          <w:tcPr>
            <w:tcW w:w="2689" w:type="dxa"/>
            <w:shd w:val="clear" w:color="auto" w:fill="00B0F0"/>
          </w:tcPr>
          <w:p w:rsidR="00D55952" w:rsidRDefault="0072635B">
            <w:pPr>
              <w:jc w:val="center"/>
              <w:rPr>
                <w:lang w:val="en-GB" w:eastAsia="en-GB"/>
              </w:rPr>
            </w:pPr>
            <w:r>
              <w:rPr>
                <w:lang w:val="en-GB" w:eastAsia="en-GB"/>
              </w:rPr>
              <w:t>Company</w:t>
            </w:r>
          </w:p>
        </w:tc>
        <w:tc>
          <w:tcPr>
            <w:tcW w:w="7889" w:type="dxa"/>
            <w:shd w:val="clear" w:color="auto" w:fill="00B0F0"/>
          </w:tcPr>
          <w:p w:rsidR="00D55952" w:rsidRDefault="0072635B">
            <w:pPr>
              <w:jc w:val="center"/>
              <w:rPr>
                <w:lang w:val="en-GB" w:eastAsia="en-GB"/>
              </w:rPr>
            </w:pPr>
            <w:r>
              <w:rPr>
                <w:lang w:val="en-GB" w:eastAsia="en-GB"/>
              </w:rPr>
              <w:t>Contact name</w:t>
            </w:r>
          </w:p>
        </w:tc>
        <w:tc>
          <w:tcPr>
            <w:tcW w:w="5289" w:type="dxa"/>
            <w:shd w:val="clear" w:color="auto" w:fill="00B0F0"/>
          </w:tcPr>
          <w:p w:rsidR="00D55952" w:rsidRDefault="0072635B">
            <w:pPr>
              <w:jc w:val="center"/>
              <w:rPr>
                <w:lang w:val="en-GB" w:eastAsia="en-GB"/>
              </w:rPr>
            </w:pPr>
            <w:r>
              <w:rPr>
                <w:lang w:val="en-GB" w:eastAsia="en-GB"/>
              </w:rPr>
              <w:t>Contact email</w:t>
            </w:r>
          </w:p>
        </w:tc>
      </w:tr>
      <w:tr w:rsidR="00D55952">
        <w:tc>
          <w:tcPr>
            <w:tcW w:w="2689" w:type="dxa"/>
          </w:tcPr>
          <w:p w:rsidR="00D55952" w:rsidRDefault="0072635B">
            <w:pPr>
              <w:rPr>
                <w:lang w:val="en-GB" w:eastAsia="en-GB"/>
              </w:rPr>
            </w:pPr>
            <w:proofErr w:type="spellStart"/>
            <w:r>
              <w:rPr>
                <w:lang w:val="en-GB" w:eastAsia="en-GB"/>
              </w:rPr>
              <w:t>Mediatek</w:t>
            </w:r>
            <w:proofErr w:type="spellEnd"/>
          </w:p>
        </w:tc>
        <w:tc>
          <w:tcPr>
            <w:tcW w:w="7889" w:type="dxa"/>
          </w:tcPr>
          <w:p w:rsidR="00D55952" w:rsidRDefault="0072635B">
            <w:pPr>
              <w:rPr>
                <w:lang w:val="en-GB" w:eastAsia="en-GB"/>
              </w:rPr>
            </w:pPr>
            <w:r>
              <w:rPr>
                <w:lang w:val="en-GB" w:eastAsia="en-GB"/>
              </w:rPr>
              <w:t>Yuanyuan Zhang</w:t>
            </w:r>
          </w:p>
        </w:tc>
        <w:tc>
          <w:tcPr>
            <w:tcW w:w="5289" w:type="dxa"/>
          </w:tcPr>
          <w:p w:rsidR="00D55952" w:rsidRDefault="0072635B">
            <w:pPr>
              <w:rPr>
                <w:lang w:val="en-GB" w:eastAsia="en-GB"/>
              </w:rPr>
            </w:pPr>
            <w:r>
              <w:rPr>
                <w:lang w:val="en-GB" w:eastAsia="en-GB"/>
              </w:rPr>
              <w:t>Yuany.zhang@mediatek.com</w:t>
            </w:r>
          </w:p>
        </w:tc>
      </w:tr>
      <w:tr w:rsidR="00D55952">
        <w:tc>
          <w:tcPr>
            <w:tcW w:w="2689" w:type="dxa"/>
          </w:tcPr>
          <w:p w:rsidR="00D55952" w:rsidRDefault="0072635B">
            <w:pPr>
              <w:rPr>
                <w:lang w:val="en-GB"/>
              </w:rPr>
            </w:pPr>
            <w:r>
              <w:rPr>
                <w:rFonts w:hint="eastAsia"/>
                <w:lang w:val="en-GB"/>
              </w:rPr>
              <w:t>LG</w:t>
            </w:r>
          </w:p>
        </w:tc>
        <w:tc>
          <w:tcPr>
            <w:tcW w:w="7889" w:type="dxa"/>
          </w:tcPr>
          <w:p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rsidR="00D55952" w:rsidRDefault="0072635B">
            <w:pPr>
              <w:rPr>
                <w:lang w:val="en-GB"/>
              </w:rPr>
            </w:pPr>
            <w:r>
              <w:rPr>
                <w:lang w:val="en-GB"/>
              </w:rPr>
              <w:t>s</w:t>
            </w:r>
            <w:r>
              <w:rPr>
                <w:rFonts w:hint="eastAsia"/>
                <w:lang w:val="en-GB"/>
              </w:rPr>
              <w:t>eungjune.</w:t>
            </w:r>
            <w:r>
              <w:rPr>
                <w:lang w:val="en-GB"/>
              </w:rPr>
              <w:t>yi@lge.com</w:t>
            </w:r>
          </w:p>
        </w:tc>
      </w:tr>
      <w:tr w:rsidR="003A7F3E">
        <w:tc>
          <w:tcPr>
            <w:tcW w:w="2689" w:type="dxa"/>
          </w:tcPr>
          <w:p w:rsidR="003A7F3E" w:rsidRDefault="003A7F3E">
            <w:pPr>
              <w:rPr>
                <w:lang w:val="en-GB"/>
              </w:rPr>
            </w:pPr>
            <w:r>
              <w:rPr>
                <w:lang w:val="en-GB"/>
              </w:rPr>
              <w:t>CATT</w:t>
            </w:r>
          </w:p>
        </w:tc>
        <w:tc>
          <w:tcPr>
            <w:tcW w:w="7889" w:type="dxa"/>
          </w:tcPr>
          <w:p w:rsidR="003A7F3E" w:rsidRDefault="003A7F3E">
            <w:pPr>
              <w:rPr>
                <w:lang w:val="en-GB"/>
              </w:rPr>
            </w:pPr>
            <w:r>
              <w:rPr>
                <w:lang w:val="en-GB"/>
              </w:rPr>
              <w:t>Chandrika Worrall</w:t>
            </w:r>
          </w:p>
        </w:tc>
        <w:tc>
          <w:tcPr>
            <w:tcW w:w="5289" w:type="dxa"/>
          </w:tcPr>
          <w:p w:rsidR="003A7F3E" w:rsidRDefault="00536D6F">
            <w:pPr>
              <w:rPr>
                <w:lang w:val="en-GB"/>
              </w:rPr>
            </w:pPr>
            <w:hyperlink r:id="rId14" w:history="1">
              <w:r w:rsidR="009D5DCC" w:rsidRPr="00085933">
                <w:rPr>
                  <w:rStyle w:val="Hyperlink"/>
                  <w:lang w:val="en-GB"/>
                </w:rPr>
                <w:t>chandrika@catt.cn</w:t>
              </w:r>
            </w:hyperlink>
          </w:p>
        </w:tc>
      </w:tr>
      <w:tr w:rsidR="009D5DCC">
        <w:tc>
          <w:tcPr>
            <w:tcW w:w="2689" w:type="dxa"/>
          </w:tcPr>
          <w:p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tc>
          <w:tcPr>
            <w:tcW w:w="2689" w:type="dxa"/>
          </w:tcPr>
          <w:p w:rsidR="008B0157" w:rsidRDefault="008B0157">
            <w:pPr>
              <w:rPr>
                <w:rFonts w:eastAsiaTheme="minorEastAsia" w:hint="eastAsia"/>
                <w:lang w:val="en-GB" w:eastAsia="zh-CN"/>
              </w:rPr>
            </w:pPr>
            <w:r>
              <w:rPr>
                <w:rFonts w:eastAsiaTheme="minorEastAsia"/>
                <w:lang w:val="en-GB" w:eastAsia="zh-CN"/>
              </w:rPr>
              <w:t>Ericsson</w:t>
            </w:r>
          </w:p>
        </w:tc>
        <w:tc>
          <w:tcPr>
            <w:tcW w:w="7889" w:type="dxa"/>
          </w:tcPr>
          <w:p w:rsidR="008B0157" w:rsidRDefault="008B0157">
            <w:pPr>
              <w:rPr>
                <w:rFonts w:eastAsiaTheme="minorEastAsia" w:hint="eastAsia"/>
                <w:lang w:val="en-GB" w:eastAsia="zh-CN"/>
              </w:rPr>
            </w:pPr>
            <w:r>
              <w:rPr>
                <w:rFonts w:eastAsiaTheme="minorEastAsia"/>
                <w:lang w:val="en-GB" w:eastAsia="zh-CN"/>
              </w:rPr>
              <w:t>Henrik Enbuske</w:t>
            </w:r>
          </w:p>
        </w:tc>
        <w:tc>
          <w:tcPr>
            <w:tcW w:w="5289" w:type="dxa"/>
          </w:tcPr>
          <w:p w:rsidR="008B0157" w:rsidRDefault="008B0157">
            <w:pPr>
              <w:rPr>
                <w:rFonts w:eastAsiaTheme="minorEastAsia" w:hint="eastAsia"/>
                <w:lang w:val="en-GB" w:eastAsia="zh-CN"/>
              </w:rPr>
            </w:pPr>
            <w:r>
              <w:rPr>
                <w:rFonts w:eastAsiaTheme="minorEastAsia"/>
                <w:lang w:val="en-GB" w:eastAsia="zh-CN"/>
              </w:rPr>
              <w:t>henrik.enbuske@ericsson.com</w:t>
            </w:r>
          </w:p>
        </w:tc>
      </w:tr>
    </w:tbl>
    <w:p w:rsidR="00D55952" w:rsidRDefault="00D55952">
      <w:pPr>
        <w:rPr>
          <w:lang w:val="en-GB" w:eastAsia="en-GB"/>
        </w:rPr>
      </w:pPr>
    </w:p>
    <w:p w:rsidR="00D55952" w:rsidRDefault="00D55952">
      <w:pPr>
        <w:pStyle w:val="ListParagraph"/>
        <w:ind w:left="360"/>
        <w:rPr>
          <w:lang w:val="en-GB" w:eastAsia="en-GB"/>
        </w:rPr>
      </w:pPr>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3013" w:rsidRDefault="000D3013">
      <w:pPr>
        <w:spacing w:after="0" w:line="240" w:lineRule="auto"/>
      </w:pPr>
      <w:r>
        <w:separator/>
      </w:r>
    </w:p>
  </w:endnote>
  <w:endnote w:type="continuationSeparator" w:id="0">
    <w:p w:rsidR="000D3013" w:rsidRDefault="000D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3013" w:rsidRDefault="000D3013">
      <w:pPr>
        <w:spacing w:after="0" w:line="240" w:lineRule="auto"/>
      </w:pPr>
      <w:r>
        <w:separator/>
      </w:r>
    </w:p>
  </w:footnote>
  <w:footnote w:type="continuationSeparator" w:id="0">
    <w:p w:rsidR="000D3013" w:rsidRDefault="000D3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92FC9"/>
    <w:rsid w:val="000D3013"/>
    <w:rsid w:val="00137FF1"/>
    <w:rsid w:val="001B5053"/>
    <w:rsid w:val="002728BB"/>
    <w:rsid w:val="003A7F3E"/>
    <w:rsid w:val="003F33E5"/>
    <w:rsid w:val="003F6CBB"/>
    <w:rsid w:val="003F7B33"/>
    <w:rsid w:val="004141CD"/>
    <w:rsid w:val="004529E8"/>
    <w:rsid w:val="00466DF6"/>
    <w:rsid w:val="004E3B6F"/>
    <w:rsid w:val="004E7FFB"/>
    <w:rsid w:val="004F2AE7"/>
    <w:rsid w:val="004F5FEB"/>
    <w:rsid w:val="0050248F"/>
    <w:rsid w:val="00536D6F"/>
    <w:rsid w:val="00541E62"/>
    <w:rsid w:val="0055328C"/>
    <w:rsid w:val="00596BE4"/>
    <w:rsid w:val="005C4952"/>
    <w:rsid w:val="005D5618"/>
    <w:rsid w:val="00695BE6"/>
    <w:rsid w:val="0072635B"/>
    <w:rsid w:val="007C006F"/>
    <w:rsid w:val="007E4840"/>
    <w:rsid w:val="007F0240"/>
    <w:rsid w:val="008B0157"/>
    <w:rsid w:val="00954016"/>
    <w:rsid w:val="009A6013"/>
    <w:rsid w:val="009D5DCC"/>
    <w:rsid w:val="00A406F4"/>
    <w:rsid w:val="00B52A64"/>
    <w:rsid w:val="00B6250E"/>
    <w:rsid w:val="00C57051"/>
    <w:rsid w:val="00C63CBA"/>
    <w:rsid w:val="00C74816"/>
    <w:rsid w:val="00CC1636"/>
    <w:rsid w:val="00CD5BF3"/>
    <w:rsid w:val="00D121BC"/>
    <w:rsid w:val="00D2240E"/>
    <w:rsid w:val="00D55952"/>
    <w:rsid w:val="00D9324E"/>
    <w:rsid w:val="00DA1CC7"/>
    <w:rsid w:val="00DD2216"/>
    <w:rsid w:val="00DF58A6"/>
    <w:rsid w:val="00DF778A"/>
    <w:rsid w:val="00E30945"/>
    <w:rsid w:val="00E522DF"/>
    <w:rsid w:val="00F2219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7FEB6"/>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52"/>
    <w:rPr>
      <w:rFonts w:eastAsia="Gulim"/>
      <w:sz w:val="24"/>
      <w:szCs w:val="24"/>
      <w:lang w:val="en-US" w:eastAsia="ko-KR"/>
    </w:rPr>
  </w:style>
  <w:style w:type="paragraph" w:styleId="Heading1">
    <w:name w:val="heading 1"/>
    <w:next w:val="Normal"/>
    <w:link w:val="Heading1Char"/>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basedOn w:val="Heading1"/>
    <w:next w:val="Normal"/>
    <w:link w:val="Heading2Char"/>
    <w:qFormat/>
    <w:rsid w:val="00D55952"/>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rsid w:val="00D55952"/>
    <w:pPr>
      <w:numPr>
        <w:ilvl w:val="2"/>
      </w:numPr>
      <w:spacing w:before="120"/>
      <w:outlineLvl w:val="2"/>
    </w:pPr>
    <w:rPr>
      <w:sz w:val="28"/>
    </w:rPr>
  </w:style>
  <w:style w:type="paragraph" w:styleId="Heading4">
    <w:name w:val="heading 4"/>
    <w:basedOn w:val="Heading3"/>
    <w:next w:val="Normal"/>
    <w:link w:val="Heading4Char"/>
    <w:qFormat/>
    <w:rsid w:val="00D55952"/>
    <w:pPr>
      <w:numPr>
        <w:ilvl w:val="3"/>
      </w:numPr>
      <w:outlineLvl w:val="3"/>
    </w:pPr>
    <w:rPr>
      <w:sz w:val="24"/>
    </w:rPr>
  </w:style>
  <w:style w:type="paragraph" w:styleId="Heading5">
    <w:name w:val="heading 5"/>
    <w:basedOn w:val="Heading4"/>
    <w:next w:val="Normal"/>
    <w:link w:val="Heading5Char"/>
    <w:qFormat/>
    <w:rsid w:val="00D55952"/>
    <w:pPr>
      <w:numPr>
        <w:ilvl w:val="4"/>
      </w:numPr>
      <w:outlineLvl w:val="4"/>
    </w:pPr>
    <w:rPr>
      <w:sz w:val="22"/>
    </w:rPr>
  </w:style>
  <w:style w:type="paragraph" w:styleId="Heading6">
    <w:name w:val="heading 6"/>
    <w:basedOn w:val="H6"/>
    <w:next w:val="Normal"/>
    <w:link w:val="Heading6Char"/>
    <w:qFormat/>
    <w:rsid w:val="00D55952"/>
    <w:pPr>
      <w:numPr>
        <w:ilvl w:val="5"/>
      </w:numPr>
      <w:outlineLvl w:val="5"/>
    </w:pPr>
  </w:style>
  <w:style w:type="paragraph" w:styleId="Heading7">
    <w:name w:val="heading 7"/>
    <w:basedOn w:val="H6"/>
    <w:next w:val="Normal"/>
    <w:link w:val="Heading7Char"/>
    <w:qFormat/>
    <w:rsid w:val="00D55952"/>
    <w:pPr>
      <w:numPr>
        <w:ilvl w:val="6"/>
      </w:numPr>
      <w:outlineLvl w:val="6"/>
    </w:pPr>
  </w:style>
  <w:style w:type="paragraph" w:styleId="Heading8">
    <w:name w:val="heading 8"/>
    <w:basedOn w:val="Heading1"/>
    <w:next w:val="Normal"/>
    <w:link w:val="Heading8Char"/>
    <w:qFormat/>
    <w:rsid w:val="00D55952"/>
    <w:pPr>
      <w:numPr>
        <w:ilvl w:val="7"/>
      </w:numPr>
      <w:outlineLvl w:val="7"/>
    </w:pPr>
    <w:rPr>
      <w:lang w:val="zh-CN" w:eastAsia="zh-CN"/>
    </w:rPr>
  </w:style>
  <w:style w:type="paragraph" w:styleId="Heading9">
    <w:name w:val="heading 9"/>
    <w:basedOn w:val="Heading8"/>
    <w:next w:val="Normal"/>
    <w:link w:val="Heading9Char"/>
    <w:qFormat/>
    <w:rsid w:val="00D55952"/>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55952"/>
    <w:pPr>
      <w:ind w:left="1985" w:hanging="1985"/>
      <w:outlineLvl w:val="9"/>
    </w:pPr>
    <w:rPr>
      <w:sz w:val="20"/>
    </w:rPr>
  </w:style>
  <w:style w:type="paragraph" w:styleId="List3">
    <w:name w:val="List 3"/>
    <w:basedOn w:val="List2"/>
    <w:qFormat/>
    <w:rsid w:val="00D55952"/>
    <w:pPr>
      <w:ind w:left="1135"/>
    </w:pPr>
  </w:style>
  <w:style w:type="paragraph" w:styleId="List2">
    <w:name w:val="List 2"/>
    <w:basedOn w:val="List"/>
    <w:qFormat/>
    <w:rsid w:val="00D55952"/>
    <w:pPr>
      <w:ind w:left="851"/>
    </w:pPr>
  </w:style>
  <w:style w:type="paragraph" w:styleId="List">
    <w:name w:val="List"/>
    <w:basedOn w:val="Normal"/>
    <w:qFormat/>
    <w:rsid w:val="00D55952"/>
    <w:pPr>
      <w:ind w:left="568" w:hanging="284"/>
    </w:pPr>
  </w:style>
  <w:style w:type="paragraph" w:styleId="TOC7">
    <w:name w:val="toc 7"/>
    <w:basedOn w:val="TOC6"/>
    <w:next w:val="Normal"/>
    <w:uiPriority w:val="39"/>
    <w:qFormat/>
    <w:rsid w:val="00D55952"/>
    <w:pPr>
      <w:ind w:left="2268" w:hanging="2268"/>
    </w:pPr>
  </w:style>
  <w:style w:type="paragraph" w:styleId="TOC6">
    <w:name w:val="toc 6"/>
    <w:basedOn w:val="TOC5"/>
    <w:next w:val="Normal"/>
    <w:uiPriority w:val="39"/>
    <w:qFormat/>
    <w:rsid w:val="00D55952"/>
    <w:pPr>
      <w:ind w:left="1985" w:hanging="1985"/>
    </w:pPr>
  </w:style>
  <w:style w:type="paragraph" w:styleId="TOC5">
    <w:name w:val="toc 5"/>
    <w:basedOn w:val="TOC4"/>
    <w:next w:val="Normal"/>
    <w:uiPriority w:val="39"/>
    <w:qFormat/>
    <w:rsid w:val="00D55952"/>
    <w:pPr>
      <w:ind w:left="1701" w:hanging="1701"/>
    </w:pPr>
  </w:style>
  <w:style w:type="paragraph" w:styleId="TOC4">
    <w:name w:val="toc 4"/>
    <w:basedOn w:val="TOC3"/>
    <w:next w:val="Normal"/>
    <w:uiPriority w:val="39"/>
    <w:qFormat/>
    <w:rsid w:val="00D55952"/>
    <w:pPr>
      <w:ind w:left="1418" w:hanging="1418"/>
    </w:pPr>
  </w:style>
  <w:style w:type="paragraph" w:styleId="TOC3">
    <w:name w:val="toc 3"/>
    <w:basedOn w:val="TOC2"/>
    <w:next w:val="Normal"/>
    <w:uiPriority w:val="39"/>
    <w:qFormat/>
    <w:rsid w:val="00D55952"/>
    <w:pPr>
      <w:ind w:left="1134" w:hanging="1134"/>
    </w:pPr>
  </w:style>
  <w:style w:type="paragraph" w:styleId="TOC2">
    <w:name w:val="toc 2"/>
    <w:basedOn w:val="TOC1"/>
    <w:next w:val="Normal"/>
    <w:uiPriority w:val="39"/>
    <w:qFormat/>
    <w:rsid w:val="00D55952"/>
    <w:pPr>
      <w:keepNext w:val="0"/>
      <w:spacing w:before="0"/>
      <w:ind w:left="851" w:hanging="851"/>
    </w:pPr>
    <w:rPr>
      <w:sz w:val="20"/>
    </w:rPr>
  </w:style>
  <w:style w:type="paragraph" w:styleId="TOC1">
    <w:name w:val="toc 1"/>
    <w:next w:val="Normal"/>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ListNumber2">
    <w:name w:val="List Number 2"/>
    <w:basedOn w:val="ListNumber"/>
    <w:qFormat/>
    <w:rsid w:val="00D55952"/>
    <w:pPr>
      <w:ind w:left="851"/>
    </w:pPr>
  </w:style>
  <w:style w:type="paragraph" w:styleId="ListNumber">
    <w:name w:val="List Number"/>
    <w:basedOn w:val="List"/>
    <w:qFormat/>
    <w:rsid w:val="00D55952"/>
  </w:style>
  <w:style w:type="paragraph" w:styleId="ListBullet4">
    <w:name w:val="List Bullet 4"/>
    <w:basedOn w:val="ListBullet3"/>
    <w:qFormat/>
    <w:rsid w:val="00D55952"/>
    <w:pPr>
      <w:ind w:left="1418"/>
    </w:pPr>
  </w:style>
  <w:style w:type="paragraph" w:styleId="ListBullet3">
    <w:name w:val="List Bullet 3"/>
    <w:basedOn w:val="ListBullet2"/>
    <w:qFormat/>
    <w:rsid w:val="00D55952"/>
    <w:pPr>
      <w:ind w:left="1135"/>
    </w:pPr>
  </w:style>
  <w:style w:type="paragraph" w:styleId="ListBullet2">
    <w:name w:val="List Bullet 2"/>
    <w:basedOn w:val="ListBullet"/>
    <w:qFormat/>
    <w:rsid w:val="00D55952"/>
    <w:pPr>
      <w:ind w:left="851"/>
    </w:pPr>
  </w:style>
  <w:style w:type="paragraph" w:styleId="ListBullet">
    <w:name w:val="List Bullet"/>
    <w:basedOn w:val="List"/>
    <w:qFormat/>
    <w:rsid w:val="00D55952"/>
  </w:style>
  <w:style w:type="paragraph" w:styleId="CommentText">
    <w:name w:val="annotation text"/>
    <w:basedOn w:val="Normal"/>
    <w:link w:val="CommentTextChar"/>
    <w:qFormat/>
    <w:rsid w:val="00D55952"/>
    <w:rPr>
      <w:rFonts w:eastAsia="Malgun Gothic"/>
      <w:lang w:eastAsia="en-US"/>
    </w:rPr>
  </w:style>
  <w:style w:type="paragraph" w:styleId="ListBullet5">
    <w:name w:val="List Bullet 5"/>
    <w:basedOn w:val="ListBullet4"/>
    <w:qFormat/>
    <w:rsid w:val="00D55952"/>
    <w:pPr>
      <w:ind w:left="1702"/>
    </w:pPr>
  </w:style>
  <w:style w:type="paragraph" w:styleId="TOC8">
    <w:name w:val="toc 8"/>
    <w:basedOn w:val="TOC1"/>
    <w:next w:val="Normal"/>
    <w:uiPriority w:val="39"/>
    <w:qFormat/>
    <w:rsid w:val="00D55952"/>
    <w:pPr>
      <w:spacing w:before="180"/>
      <w:ind w:left="2693" w:hanging="2693"/>
    </w:pPr>
    <w:rPr>
      <w:b/>
    </w:rPr>
  </w:style>
  <w:style w:type="paragraph" w:styleId="BalloonText">
    <w:name w:val="Balloon Text"/>
    <w:basedOn w:val="Normal"/>
    <w:link w:val="BalloonTextChar"/>
    <w:uiPriority w:val="99"/>
    <w:semiHidden/>
    <w:unhideWhenUsed/>
    <w:qFormat/>
    <w:rsid w:val="00D55952"/>
    <w:rPr>
      <w:rFonts w:ascii="Segoe UI" w:hAnsi="Segoe UI" w:cs="Segoe UI"/>
      <w:sz w:val="18"/>
      <w:szCs w:val="18"/>
    </w:rPr>
  </w:style>
  <w:style w:type="paragraph" w:styleId="Footer">
    <w:name w:val="footer"/>
    <w:basedOn w:val="Header"/>
    <w:link w:val="FooterChar"/>
    <w:qFormat/>
    <w:rsid w:val="00D55952"/>
    <w:pPr>
      <w:jc w:val="center"/>
    </w:pPr>
    <w:rPr>
      <w:i/>
      <w:lang w:val="zh-CN" w:eastAsia="zh-CN"/>
    </w:rPr>
  </w:style>
  <w:style w:type="paragraph" w:styleId="Header">
    <w:name w:val="header"/>
    <w:link w:val="HeaderChar"/>
    <w:qFormat/>
    <w:rsid w:val="00D55952"/>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rsid w:val="00D55952"/>
    <w:pPr>
      <w:keepLines/>
      <w:ind w:left="454" w:hanging="454"/>
    </w:pPr>
    <w:rPr>
      <w:sz w:val="16"/>
      <w:lang w:val="zh-CN" w:eastAsia="zh-CN"/>
    </w:rPr>
  </w:style>
  <w:style w:type="paragraph" w:styleId="List5">
    <w:name w:val="List 5"/>
    <w:basedOn w:val="List4"/>
    <w:qFormat/>
    <w:rsid w:val="00D55952"/>
    <w:pPr>
      <w:ind w:left="1702"/>
    </w:pPr>
  </w:style>
  <w:style w:type="paragraph" w:styleId="List4">
    <w:name w:val="List 4"/>
    <w:basedOn w:val="List3"/>
    <w:qFormat/>
    <w:rsid w:val="00D55952"/>
    <w:pPr>
      <w:ind w:left="1418"/>
    </w:pPr>
  </w:style>
  <w:style w:type="paragraph" w:styleId="TOC9">
    <w:name w:val="toc 9"/>
    <w:basedOn w:val="TOC8"/>
    <w:next w:val="Normal"/>
    <w:uiPriority w:val="39"/>
    <w:qFormat/>
    <w:rsid w:val="00D55952"/>
    <w:pPr>
      <w:ind w:left="1418" w:hanging="1418"/>
    </w:pPr>
  </w:style>
  <w:style w:type="paragraph" w:styleId="NormalWeb">
    <w:name w:val="Normal (Web)"/>
    <w:basedOn w:val="Normal"/>
    <w:uiPriority w:val="99"/>
    <w:semiHidden/>
    <w:unhideWhenUsed/>
    <w:qFormat/>
    <w:rsid w:val="00D55952"/>
    <w:pPr>
      <w:spacing w:before="100" w:beforeAutospacing="1" w:after="100" w:afterAutospacing="1"/>
    </w:pPr>
    <w:rPr>
      <w:rFonts w:eastAsia="Times New Roman"/>
      <w:lang w:val="en-GB" w:eastAsia="en-GB"/>
    </w:rPr>
  </w:style>
  <w:style w:type="paragraph" w:styleId="Index1">
    <w:name w:val="index 1"/>
    <w:basedOn w:val="Normal"/>
    <w:next w:val="Normal"/>
    <w:qFormat/>
    <w:rsid w:val="00D55952"/>
    <w:pPr>
      <w:keepLines/>
    </w:pPr>
  </w:style>
  <w:style w:type="paragraph" w:styleId="Index2">
    <w:name w:val="index 2"/>
    <w:basedOn w:val="Index1"/>
    <w:next w:val="Normal"/>
    <w:qFormat/>
    <w:rsid w:val="00D55952"/>
    <w:pPr>
      <w:ind w:left="284"/>
    </w:pPr>
  </w:style>
  <w:style w:type="paragraph" w:styleId="CommentSubject">
    <w:name w:val="annotation subject"/>
    <w:basedOn w:val="CommentText"/>
    <w:next w:val="CommentText"/>
    <w:link w:val="CommentSubjectChar"/>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D55952"/>
    <w:rPr>
      <w:color w:val="954F72" w:themeColor="followedHyperlink"/>
      <w:u w:val="single"/>
    </w:rPr>
  </w:style>
  <w:style w:type="character" w:styleId="Emphasis">
    <w:name w:val="Emphasis"/>
    <w:basedOn w:val="DefaultParagraphFont"/>
    <w:uiPriority w:val="20"/>
    <w:qFormat/>
    <w:rsid w:val="00D55952"/>
    <w:rPr>
      <w:i/>
      <w:iCs/>
    </w:rPr>
  </w:style>
  <w:style w:type="character" w:styleId="Hyperlink">
    <w:name w:val="Hyperlink"/>
    <w:uiPriority w:val="99"/>
    <w:qFormat/>
    <w:rsid w:val="00D55952"/>
    <w:rPr>
      <w:color w:val="0000FF"/>
      <w:u w:val="single"/>
    </w:rPr>
  </w:style>
  <w:style w:type="character" w:styleId="CommentReference">
    <w:name w:val="annotation reference"/>
    <w:rsid w:val="00D55952"/>
    <w:rPr>
      <w:sz w:val="16"/>
      <w:szCs w:val="16"/>
    </w:rPr>
  </w:style>
  <w:style w:type="character" w:styleId="FootnoteReference">
    <w:name w:val="footnote reference"/>
    <w:rsid w:val="00D55952"/>
    <w:rPr>
      <w:b/>
      <w:position w:val="6"/>
      <w:sz w:val="16"/>
    </w:rPr>
  </w:style>
  <w:style w:type="paragraph" w:customStyle="1" w:styleId="B1">
    <w:name w:val="B1"/>
    <w:basedOn w:val="List"/>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List2"/>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List3"/>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List4"/>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List5"/>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Normal"/>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Normal"/>
    <w:next w:val="Normal"/>
    <w:rsid w:val="00D55952"/>
    <w:pPr>
      <w:keepLines/>
      <w:tabs>
        <w:tab w:val="center" w:pos="4536"/>
        <w:tab w:val="right" w:pos="9072"/>
      </w:tabs>
    </w:pPr>
  </w:style>
  <w:style w:type="paragraph" w:customStyle="1" w:styleId="EX">
    <w:name w:val="EX"/>
    <w:basedOn w:val="Normal"/>
    <w:qFormat/>
    <w:rsid w:val="00D55952"/>
    <w:pPr>
      <w:keepLines/>
      <w:ind w:left="1702" w:hanging="1418"/>
    </w:pPr>
  </w:style>
  <w:style w:type="paragraph" w:customStyle="1" w:styleId="EW">
    <w:name w:val="EW"/>
    <w:basedOn w:val="EX"/>
    <w:rsid w:val="00D55952"/>
  </w:style>
  <w:style w:type="character" w:customStyle="1" w:styleId="HeaderChar">
    <w:name w:val="Header Char"/>
    <w:link w:val="Header"/>
    <w:rsid w:val="00D55952"/>
    <w:rPr>
      <w:rFonts w:eastAsia="Times New Roman"/>
      <w:b/>
      <w:kern w:val="0"/>
      <w:sz w:val="18"/>
      <w:szCs w:val="20"/>
      <w:lang w:eastAsia="en-GB"/>
    </w:rPr>
  </w:style>
  <w:style w:type="character" w:customStyle="1" w:styleId="FooterChar">
    <w:name w:val="Footer Char"/>
    <w:link w:val="Footer"/>
    <w:rsid w:val="00D55952"/>
    <w:rPr>
      <w:rFonts w:eastAsia="Times New Roman"/>
      <w:b/>
      <w:i/>
      <w:kern w:val="0"/>
      <w:sz w:val="18"/>
      <w:szCs w:val="20"/>
      <w:lang w:val="zh-CN" w:eastAsia="zh-CN"/>
    </w:rPr>
  </w:style>
  <w:style w:type="character" w:customStyle="1" w:styleId="FootnoteTextChar">
    <w:name w:val="Footnote Text Char"/>
    <w:link w:val="FootnoteText"/>
    <w:rsid w:val="00D55952"/>
    <w:rPr>
      <w:rFonts w:ascii="Times New Roman" w:eastAsia="Times New Roman" w:hAnsi="Times New Roman"/>
      <w:kern w:val="0"/>
      <w:sz w:val="16"/>
      <w:szCs w:val="20"/>
      <w:lang w:val="zh-CN" w:eastAsia="zh-CN"/>
    </w:rPr>
  </w:style>
  <w:style w:type="paragraph" w:customStyle="1" w:styleId="FP">
    <w:name w:val="FP"/>
    <w:basedOn w:val="Normal"/>
    <w:rsid w:val="00D55952"/>
  </w:style>
  <w:style w:type="character" w:customStyle="1" w:styleId="Heading1Char">
    <w:name w:val="Heading 1 Char"/>
    <w:link w:val="Heading1"/>
    <w:rsid w:val="00D55952"/>
    <w:rPr>
      <w:rFonts w:eastAsia="Times New Roman"/>
      <w:kern w:val="0"/>
      <w:sz w:val="36"/>
      <w:szCs w:val="20"/>
      <w:lang w:eastAsia="en-GB"/>
    </w:rPr>
  </w:style>
  <w:style w:type="character" w:customStyle="1" w:styleId="Heading2Char">
    <w:name w:val="Heading 2 Char"/>
    <w:link w:val="Heading2"/>
    <w:rsid w:val="00D55952"/>
    <w:rPr>
      <w:rFonts w:eastAsia="Times New Roman"/>
      <w:kern w:val="0"/>
      <w:sz w:val="32"/>
      <w:szCs w:val="20"/>
      <w:lang w:val="zh-CN" w:eastAsia="zh-CN"/>
    </w:rPr>
  </w:style>
  <w:style w:type="character" w:customStyle="1" w:styleId="Heading3Char">
    <w:name w:val="Heading 3 Char"/>
    <w:link w:val="Heading3"/>
    <w:rsid w:val="00D55952"/>
    <w:rPr>
      <w:rFonts w:eastAsia="Times New Roman"/>
      <w:kern w:val="0"/>
      <w:sz w:val="28"/>
      <w:szCs w:val="20"/>
      <w:lang w:val="zh-CN" w:eastAsia="zh-CN"/>
    </w:rPr>
  </w:style>
  <w:style w:type="character" w:customStyle="1" w:styleId="Heading4Char">
    <w:name w:val="Heading 4 Char"/>
    <w:link w:val="Heading4"/>
    <w:rsid w:val="00D55952"/>
    <w:rPr>
      <w:rFonts w:eastAsia="Times New Roman"/>
      <w:kern w:val="0"/>
      <w:sz w:val="24"/>
      <w:szCs w:val="20"/>
      <w:lang w:val="zh-CN" w:eastAsia="zh-CN"/>
    </w:rPr>
  </w:style>
  <w:style w:type="character" w:customStyle="1" w:styleId="Heading5Char">
    <w:name w:val="Heading 5 Char"/>
    <w:link w:val="Heading5"/>
    <w:qFormat/>
    <w:rsid w:val="00D55952"/>
    <w:rPr>
      <w:rFonts w:eastAsia="Times New Roman"/>
      <w:kern w:val="0"/>
      <w:sz w:val="22"/>
      <w:szCs w:val="20"/>
      <w:lang w:val="zh-CN" w:eastAsia="zh-CN"/>
    </w:rPr>
  </w:style>
  <w:style w:type="character" w:customStyle="1" w:styleId="Heading6Char">
    <w:name w:val="Heading 6 Char"/>
    <w:link w:val="Heading6"/>
    <w:qFormat/>
    <w:rsid w:val="00D55952"/>
    <w:rPr>
      <w:rFonts w:eastAsia="Times New Roman"/>
      <w:kern w:val="0"/>
      <w:sz w:val="20"/>
      <w:szCs w:val="20"/>
      <w:lang w:val="zh-CN" w:eastAsia="zh-CN"/>
    </w:rPr>
  </w:style>
  <w:style w:type="character" w:customStyle="1" w:styleId="Heading7Char">
    <w:name w:val="Heading 7 Char"/>
    <w:link w:val="Heading7"/>
    <w:qFormat/>
    <w:rsid w:val="00D55952"/>
    <w:rPr>
      <w:rFonts w:eastAsia="Times New Roman"/>
      <w:kern w:val="0"/>
      <w:sz w:val="20"/>
      <w:szCs w:val="20"/>
      <w:lang w:val="zh-CN" w:eastAsia="zh-CN"/>
    </w:rPr>
  </w:style>
  <w:style w:type="character" w:customStyle="1" w:styleId="Heading8Char">
    <w:name w:val="Heading 8 Char"/>
    <w:link w:val="Heading8"/>
    <w:rsid w:val="00D55952"/>
    <w:rPr>
      <w:rFonts w:eastAsia="Times New Roman"/>
      <w:kern w:val="0"/>
      <w:sz w:val="36"/>
      <w:szCs w:val="20"/>
      <w:lang w:val="zh-CN" w:eastAsia="zh-CN"/>
    </w:rPr>
  </w:style>
  <w:style w:type="character" w:customStyle="1" w:styleId="Heading9Char">
    <w:name w:val="Heading 9 Char"/>
    <w:link w:val="Heading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Normal"/>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Heading1"/>
    <w:next w:val="Normal"/>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BalloonTextChar">
    <w:name w:val="Balloon Text Char"/>
    <w:basedOn w:val="DefaultParagraphFont"/>
    <w:link w:val="BalloonText"/>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CommentTextChar">
    <w:name w:val="Comment Text Char"/>
    <w:basedOn w:val="DefaultParagraphFont"/>
    <w:link w:val="CommentText"/>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Normal"/>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Normal"/>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Normal"/>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DefaultParagraphFont"/>
    <w:qFormat/>
    <w:rsid w:val="00D55952"/>
  </w:style>
  <w:style w:type="character" w:customStyle="1" w:styleId="UnresolvedMention1">
    <w:name w:val="Unresolved Mention1"/>
    <w:basedOn w:val="DefaultParagraphFont"/>
    <w:uiPriority w:val="99"/>
    <w:semiHidden/>
    <w:unhideWhenUsed/>
    <w:rsid w:val="00D55952"/>
    <w:rPr>
      <w:color w:val="605E5C"/>
      <w:shd w:val="clear" w:color="auto" w:fill="E1DFDD"/>
    </w:rPr>
  </w:style>
  <w:style w:type="paragraph" w:customStyle="1" w:styleId="EmailDiscussion">
    <w:name w:val="EmailDiscussion"/>
    <w:basedOn w:val="Normal"/>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
    <w:name w:val="修订1"/>
    <w:hidden/>
    <w:uiPriority w:val="99"/>
    <w:semiHidden/>
    <w:qFormat/>
    <w:rsid w:val="00D55952"/>
    <w:rPr>
      <w:rFonts w:eastAsia="Gulim"/>
      <w:sz w:val="24"/>
      <w:szCs w:val="24"/>
      <w:lang w:val="en-US" w:eastAsia="ko-KR"/>
    </w:rPr>
  </w:style>
  <w:style w:type="paragraph" w:styleId="DocumentMap">
    <w:name w:val="Document Map"/>
    <w:basedOn w:val="Normal"/>
    <w:link w:val="DocumentMapChar"/>
    <w:uiPriority w:val="99"/>
    <w:semiHidden/>
    <w:unhideWhenUsed/>
    <w:rsid w:val="007E4840"/>
    <w:rPr>
      <w:rFonts w:ascii="SimSun" w:eastAsia="SimSun"/>
      <w:sz w:val="18"/>
      <w:szCs w:val="18"/>
    </w:rPr>
  </w:style>
  <w:style w:type="character" w:customStyle="1" w:styleId="DocumentMapChar">
    <w:name w:val="Document Map Char"/>
    <w:basedOn w:val="DefaultParagraphFont"/>
    <w:link w:val="DocumentMap"/>
    <w:uiPriority w:val="99"/>
    <w:semiHidden/>
    <w:rsid w:val="007E4840"/>
    <w:rPr>
      <w:rFonts w:ascii="SimSun" w:eastAsia="SimSun"/>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handrika@ca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c737d9468f99fef9e204e4bf551bedd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fc749abe0231d9c9e9d050a823225aff"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60A415-C1DF-4815-8763-8BE668F1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11E5473-602D-4609-AE67-1CA44B22BCD7}">
  <ds:schemaRefs>
    <ds:schemaRef ds:uri="http://schemas.openxmlformats.org/officeDocument/2006/bibliography"/>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195656A9-C5BA-412F-A995-B38710A8FF6B}">
  <ds:schemaRefs>
    <ds:schemaRef ds:uri="http://schemas.microsoft.com/sharepoint/events"/>
  </ds:schemaRefs>
</ds:datastoreItem>
</file>

<file path=customXml/itemProps6.xml><?xml version="1.0" encoding="utf-8"?>
<ds:datastoreItem xmlns:ds="http://schemas.openxmlformats.org/officeDocument/2006/customXml" ds:itemID="{9CE8A60C-7534-4803-B657-22782D314E43}">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7132</Words>
  <Characters>40659</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47696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Ericsson(Henrik)</cp:lastModifiedBy>
  <cp:revision>5</cp:revision>
  <dcterms:created xsi:type="dcterms:W3CDTF">2020-09-30T13:13:00Z</dcterms:created>
  <dcterms:modified xsi:type="dcterms:W3CDTF">2020-09-30T13:18:00Z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