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proofErr w:type="gramStart"/>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roofErr w:type="gramEnd"/>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w:t>
      </w:r>
      <w:proofErr w:type="gramEnd"/>
      <w:r w:rsidR="00C61DED" w:rsidRPr="00C61DED">
        <w:rPr>
          <w:rFonts w:ascii="Arial" w:hAnsi="Arial" w:cs="Arial"/>
          <w:b/>
          <w:bCs/>
          <w:sz w:val="24"/>
        </w:rPr>
        <w:t>920][</w:t>
      </w:r>
      <w:proofErr w:type="spellStart"/>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w:t>
      </w:r>
      <w:proofErr w:type="gramStart"/>
      <w:r w:rsidRPr="00954E3B">
        <w:t>)EN</w:t>
      </w:r>
      <w:proofErr w:type="gramEnd"/>
      <w:r w:rsidRPr="00954E3B">
        <w:t>-D</w:t>
      </w:r>
      <w:r>
        <w:t>C deployment scenarios are</w:t>
      </w:r>
      <w:r w:rsidRPr="00954E3B">
        <w:t xml:space="preserve"> considered.</w:t>
      </w:r>
      <w:r>
        <w:t xml:space="preserve"> This includes:</w:t>
      </w:r>
    </w:p>
    <w:p w14:paraId="02882E34" w14:textId="77777777" w:rsidR="00166E26" w:rsidRDefault="00166E26" w:rsidP="00166E26">
      <w:r>
        <w:t>-</w:t>
      </w:r>
      <w:r>
        <w:tab/>
      </w:r>
      <w:proofErr w:type="gramStart"/>
      <w:r>
        <w:t>conditional</w:t>
      </w:r>
      <w:proofErr w:type="gramEnd"/>
      <w:r>
        <w:t xml:space="preserve"> </w:t>
      </w:r>
      <w:proofErr w:type="spellStart"/>
      <w:r>
        <w:t>PSCell</w:t>
      </w:r>
      <w:proofErr w:type="spellEnd"/>
      <w:r>
        <w:t xml:space="preserve"> addition </w:t>
      </w:r>
    </w:p>
    <w:p w14:paraId="3D613E68" w14:textId="77777777" w:rsidR="00166E26" w:rsidRDefault="00166E26" w:rsidP="00166E26">
      <w:r>
        <w:t>-</w:t>
      </w:r>
      <w:r>
        <w:tab/>
        <w:t xml:space="preserve">MN initiated Inter-SN conditional </w:t>
      </w:r>
      <w:proofErr w:type="spellStart"/>
      <w:r>
        <w:t>PSCell</w:t>
      </w:r>
      <w:proofErr w:type="spellEnd"/>
      <w:r>
        <w:t xml:space="preserve"> change</w:t>
      </w:r>
    </w:p>
    <w:p w14:paraId="2CDD557D" w14:textId="46035FBA" w:rsidR="005C000E" w:rsidRDefault="00166E26" w:rsidP="00A209D6">
      <w:r>
        <w:t xml:space="preserve">- </w:t>
      </w:r>
      <w:r>
        <w:tab/>
        <w:t xml:space="preserve">SN initiated Inter-SN conditional </w:t>
      </w:r>
      <w:proofErr w:type="spellStart"/>
      <w:r>
        <w:t>PSCell</w:t>
      </w:r>
      <w:proofErr w:type="spellEnd"/>
      <w:r>
        <w:t xml:space="preserve">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w:t>
      </w:r>
      <w:proofErr w:type="gramStart"/>
      <w:r w:rsidR="00213CA8">
        <w:t>addition,</w:t>
      </w:r>
      <w:proofErr w:type="gramEnd"/>
      <w:r w:rsidR="00213CA8">
        <w:t xml:space="preserve">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gramStart"/>
      <w:r>
        <w:t>o</w:t>
      </w:r>
      <w:proofErr w:type="gramEnd"/>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w:t>
      </w:r>
      <w:proofErr w:type="gramStart"/>
      <w:r>
        <w:t>There</w:t>
      </w:r>
      <w:proofErr w:type="gramEnd"/>
      <w:r>
        <w:t xml:space="preserve"> is already an agreement for conditional </w:t>
      </w:r>
      <w:proofErr w:type="spellStart"/>
      <w:r>
        <w:t>PSCell</w:t>
      </w:r>
      <w:proofErr w:type="spellEnd"/>
      <w:r>
        <w:t xml:space="preserve">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 xml:space="preserve">At most two triggering quantities (e.g. RSRP and RSRQ, RSRP and SINR, etc.) can be configured simultaneously. </w:t>
      </w:r>
      <w:proofErr w:type="gramStart"/>
      <w:r>
        <w:t>FFS on UE capability.</w:t>
      </w:r>
      <w:proofErr w:type="gramEnd"/>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w:t>
      </w:r>
      <w:proofErr w:type="gramStart"/>
      <w:r>
        <w:t>moreover</w:t>
      </w:r>
      <w:proofErr w:type="gramEnd"/>
      <w:r>
        <w:t xml:space="preserve">,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RRCReconfiguration/ RRCConnectionReconfiguration message to the UE, which includes the execution condition generated by the MN, and encapsulates the RRCReconfiguration provided by the candidate </w:t>
      </w:r>
      <w:proofErr w:type="spellStart"/>
      <w:r>
        <w:t>PSCells</w:t>
      </w:r>
      <w:proofErr w:type="spellEnd"/>
      <w:r>
        <w:t>.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RRCReconfiguration message generated by the SN for intra-SN conditional </w:t>
      </w:r>
      <w:proofErr w:type="spellStart"/>
      <w:r>
        <w:t>PSCell</w:t>
      </w:r>
      <w:proofErr w:type="spellEnd"/>
      <w:r>
        <w:t xml:space="preserve">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166E26"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17220E0C" w:rsidR="00166E26" w:rsidRDefault="00166E26">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12C54086" w14:textId="6F409E5C" w:rsidR="00166E26" w:rsidRDefault="00166E26">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34491DA9" w14:textId="77777777" w:rsidR="00166E26" w:rsidRDefault="00166E26">
            <w:pPr>
              <w:spacing w:line="256" w:lineRule="auto"/>
              <w:rPr>
                <w:rFonts w:ascii="Arial" w:eastAsia="Helvetica" w:hAnsi="Arial" w:cs="Arial"/>
                <w:lang w:val="en-US"/>
              </w:rPr>
            </w:pPr>
          </w:p>
        </w:tc>
      </w:tr>
      <w:tr w:rsidR="00166E26"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77777777" w:rsidR="00166E26" w:rsidRDefault="00166E26">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57F8E94" w14:textId="77777777" w:rsidR="00166E26" w:rsidRDefault="00166E26">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98D8241" w14:textId="77777777" w:rsidR="00166E26" w:rsidRDefault="00166E26">
            <w:pPr>
              <w:spacing w:line="256" w:lineRule="auto"/>
              <w:rPr>
                <w:rFonts w:ascii="Arial" w:eastAsia="Helvetica" w:hAnsi="Arial" w:cs="Arial"/>
                <w:lang w:val="en-US"/>
              </w:rPr>
            </w:pPr>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w:t>
      </w:r>
      <w:proofErr w:type="gramStart"/>
      <w:r>
        <w:t>,8</w:t>
      </w:r>
      <w:proofErr w:type="gramEnd"/>
      <w:r>
        <w:t xml:space="preserve">]. And the trigger condition is defined by a measurement identity, given by a measurement configuration provided by the MN. </w:t>
      </w:r>
      <w:r w:rsidR="00864C89">
        <w:t>A</w:t>
      </w:r>
      <w:r>
        <w:t>s discuss in [4</w:t>
      </w:r>
      <w:proofErr w:type="gramStart"/>
      <w:r>
        <w:t>,9</w:t>
      </w:r>
      <w:proofErr w:type="gramEnd"/>
      <w:r>
        <w:t>],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w:t>
      </w:r>
      <w:proofErr w:type="gramStart"/>
      <w:r w:rsidRPr="00AD459C">
        <w:t>condition,</w:t>
      </w:r>
      <w:proofErr w:type="gramEnd"/>
      <w:r w:rsidRPr="00AD459C">
        <w:t xml:space="preserve">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As discussed in [16</w:t>
      </w:r>
      <w:proofErr w:type="gramStart"/>
      <w:r w:rsidR="001B6F9B">
        <w:t>,17</w:t>
      </w:r>
      <w:proofErr w:type="gramEnd"/>
      <w:r w:rsidR="001B6F9B">
        <w:t xml:space="preserve">], conditional </w:t>
      </w:r>
      <w:proofErr w:type="spellStart"/>
      <w:r w:rsidR="001B6F9B">
        <w:t>PSCell</w:t>
      </w:r>
      <w:proofErr w:type="spellEnd"/>
      <w:r w:rsidR="001B6F9B">
        <w:t xml:space="preserve"> addition should take Rel-15 SN addition as baseline, e.g. reuse the existing signalling flows in 37.340 with minimal modifications.</w:t>
      </w:r>
    </w:p>
    <w:p w14:paraId="0BC83020" w14:textId="092F1D7A" w:rsidR="00372177" w:rsidRDefault="00372177" w:rsidP="00A4157F">
      <w:pPr>
        <w:jc w:val="both"/>
      </w:pPr>
      <w:r>
        <w:lastRenderedPageBreak/>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CD4E6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7777777" w:rsidR="00CD4E6D" w:rsidRDefault="00CD4E6D"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65BE22F4" w14:textId="77777777" w:rsidR="00CD4E6D" w:rsidRDefault="00CD4E6D"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A4FCC92" w14:textId="77777777" w:rsidR="00CD4E6D" w:rsidRDefault="00CD4E6D" w:rsidP="007107B1">
            <w:pPr>
              <w:spacing w:line="256" w:lineRule="auto"/>
              <w:rPr>
                <w:rFonts w:ascii="Arial" w:eastAsia="Helvetica" w:hAnsi="Arial" w:cs="Arial"/>
                <w:lang w:val="en-US"/>
              </w:rPr>
            </w:pPr>
          </w:p>
        </w:tc>
      </w:tr>
      <w:tr w:rsidR="00CD4E6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7777777" w:rsidR="00CD4E6D" w:rsidRDefault="00CD4E6D"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4CEFFFA" w14:textId="77777777" w:rsidR="00CD4E6D" w:rsidRDefault="00CD4E6D"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43EEFD8" w14:textId="77777777" w:rsidR="00CD4E6D" w:rsidRDefault="00CD4E6D" w:rsidP="007107B1">
            <w:pPr>
              <w:spacing w:line="256" w:lineRule="auto"/>
              <w:rPr>
                <w:rFonts w:ascii="Arial" w:eastAsia="Helvetica" w:hAnsi="Arial" w:cs="Arial"/>
                <w:lang w:val="en-US"/>
              </w:rPr>
            </w:pPr>
          </w:p>
        </w:tc>
      </w:tr>
    </w:tbl>
    <w:p w14:paraId="1DDCD4C6" w14:textId="77777777" w:rsidR="00CD4E6D" w:rsidRDefault="00CD4E6D" w:rsidP="00FD4609">
      <w:pPr>
        <w:rPr>
          <w:b/>
        </w:rPr>
      </w:pPr>
    </w:p>
    <w:p w14:paraId="4DA68D2B" w14:textId="47637013"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w:t>
      </w:r>
      <w:proofErr w:type="gramStart"/>
      <w:r>
        <w:t>,7,15</w:t>
      </w:r>
      <w:proofErr w:type="gramEnd"/>
      <w:r>
        <w:t xml:space="preserve">]. The final conditional configuration message encapsulates the RRCReconfiguration provided by the candidate </w:t>
      </w:r>
      <w:proofErr w:type="spellStart"/>
      <w:r>
        <w:t>PSCell</w:t>
      </w:r>
      <w:proofErr w:type="spellEnd"/>
      <w:r>
        <w:t>(s)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w:t>
      </w:r>
      <w:proofErr w:type="spellStart"/>
      <w:r w:rsidR="00864C89">
        <w:rPr>
          <w:b/>
          <w:iCs/>
        </w:rPr>
        <w:t>PSCell</w:t>
      </w:r>
      <w:proofErr w:type="spellEnd"/>
      <w:r w:rsidR="00864C89">
        <w:rPr>
          <w:b/>
          <w:iCs/>
        </w:rPr>
        <w:t>(s</w:t>
      </w:r>
      <w:r w:rsidR="00864C89">
        <w:rPr>
          <w:b/>
          <w:iCs/>
        </w:rPr>
        <w:t>)</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T</w:t>
      </w:r>
      <w:r w:rsidR="001B6F9B">
        <w:rPr>
          <w:b/>
          <w:iCs/>
        </w:rPr>
        <w:t xml:space="preserve">he MN is not allowed to alter the RRCReconfiguration provided by the candidate </w:t>
      </w:r>
      <w:proofErr w:type="spellStart"/>
      <w:r w:rsidR="001B6F9B">
        <w:rPr>
          <w:b/>
          <w:iCs/>
        </w:rPr>
        <w:t>PSCell</w:t>
      </w:r>
      <w:proofErr w:type="spellEnd"/>
      <w:r w:rsidR="001B6F9B">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CD4E6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7777777" w:rsidR="00CD4E6D" w:rsidRDefault="00CD4E6D"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6439E4DB" w14:textId="77777777" w:rsidR="00CD4E6D" w:rsidRDefault="00CD4E6D"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C0D91E8" w14:textId="77777777" w:rsidR="00CD4E6D" w:rsidRDefault="00CD4E6D" w:rsidP="007107B1">
            <w:pPr>
              <w:spacing w:line="256" w:lineRule="auto"/>
              <w:rPr>
                <w:rFonts w:ascii="Arial" w:eastAsia="Helvetica" w:hAnsi="Arial" w:cs="Arial"/>
                <w:lang w:val="en-US"/>
              </w:rPr>
            </w:pPr>
          </w:p>
        </w:tc>
      </w:tr>
      <w:tr w:rsidR="00CD4E6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77777777" w:rsidR="00CD4E6D" w:rsidRDefault="00CD4E6D"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65ABCAAC" w14:textId="77777777" w:rsidR="00CD4E6D" w:rsidRDefault="00CD4E6D"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CD4E6D" w:rsidRDefault="00CD4E6D" w:rsidP="007107B1">
            <w:pPr>
              <w:spacing w:line="256" w:lineRule="auto"/>
              <w:rPr>
                <w:rFonts w:ascii="Arial" w:eastAsia="Helvetica" w:hAnsi="Arial" w:cs="Arial"/>
                <w:lang w:val="en-US"/>
              </w:rPr>
            </w:pPr>
          </w:p>
        </w:tc>
      </w:tr>
    </w:tbl>
    <w:p w14:paraId="738C1056" w14:textId="77777777" w:rsidR="00864C89" w:rsidRDefault="00864C89" w:rsidP="00864C89"/>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proofErr w:type="spellStart"/>
      <w:r>
        <w:t>PSCell</w:t>
      </w:r>
      <w:proofErr w:type="spellEnd"/>
      <w:r>
        <w:t xml:space="preserve">(s). </w:t>
      </w:r>
      <w:r w:rsidR="00CE5CC7">
        <w:t>T</w:t>
      </w:r>
      <w:r w:rsidR="00CE5CC7" w:rsidRPr="00CE5CC7">
        <w:t xml:space="preserve">he conditional configuration message is provided to the </w:t>
      </w:r>
      <w:r w:rsidR="00CE5CC7" w:rsidRPr="00CE5CC7">
        <w:t>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lastRenderedPageBreak/>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 xml:space="preserve">[15] </w:t>
      </w:r>
      <w:proofErr w:type="gramStart"/>
      <w:r w:rsidR="00A21919">
        <w:t>propose</w:t>
      </w:r>
      <w:r w:rsidR="00E311C0">
        <w:t>s</w:t>
      </w:r>
      <w:proofErr w:type="gramEnd"/>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w:t>
      </w:r>
      <w:r w:rsidR="00BE4616">
        <w:rPr>
          <w:b/>
        </w:rPr>
        <w:t>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w:t>
      </w:r>
      <w:proofErr w:type="spellStart"/>
      <w:r w:rsidRPr="00BE4616">
        <w:rPr>
          <w:b/>
        </w:rPr>
        <w:t>PSCell</w:t>
      </w:r>
      <w:proofErr w:type="spellEnd"/>
      <w:r w:rsidRPr="00BE4616">
        <w:rPr>
          <w:b/>
        </w:rPr>
        <w:t xml:space="preserve">(s). </w:t>
      </w:r>
    </w:p>
    <w:p w14:paraId="4B762080"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4920F59E" w:rsidR="00BE4616" w:rsidRDefault="00BE4616" w:rsidP="00CE5CC7">
      <w:pPr>
        <w:jc w:val="both"/>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w:t>
      </w:r>
      <w:proofErr w:type="spellStart"/>
      <w:r w:rsidRPr="00BE4616">
        <w:rPr>
          <w:b/>
        </w:rPr>
        <w:t>PSCell</w:t>
      </w:r>
      <w:proofErr w:type="spellEnd"/>
      <w:r w:rsidRPr="00BE4616">
        <w:rPr>
          <w:b/>
        </w:rPr>
        <w:t xml:space="preserve">(s). </w:t>
      </w:r>
      <w:bookmarkStart w:id="0" w:name="_GoBack"/>
      <w:bookmarkEnd w:id="0"/>
      <w:r w:rsidR="005D5184" w:rsidRPr="00BE4616">
        <w:rPr>
          <w:b/>
        </w:rPr>
        <w:t>The</w:t>
      </w:r>
      <w:r w:rsidRPr="00BE4616">
        <w:rPr>
          <w:b/>
        </w:rPr>
        <w:t xml:space="preserve"> </w:t>
      </w:r>
      <w:proofErr w:type="gramStart"/>
      <w:r w:rsidRPr="00BE4616">
        <w:rPr>
          <w:b/>
        </w:rPr>
        <w:t>source SN generates the conditional reconfigurat</w:t>
      </w:r>
      <w:r w:rsidR="00B82E09">
        <w:rPr>
          <w:b/>
        </w:rPr>
        <w:t>ion message and provide</w:t>
      </w:r>
      <w:proofErr w:type="gramEnd"/>
      <w:r w:rsidR="00B82E09">
        <w:rPr>
          <w:b/>
        </w:rPr>
        <w:t xml:space="preserve"> it to</w:t>
      </w:r>
      <w:r w:rsidRPr="00BE4616">
        <w:rPr>
          <w:b/>
        </w:rPr>
        <w:t xml:space="preserve"> the MN (possibly in a transparent container) for transmission to the UE</w:t>
      </w:r>
      <w: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CE5CC7"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77777777" w:rsidR="00CE5CC7" w:rsidRDefault="00CE5CC7"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4DF4D374" w14:textId="77777777" w:rsidR="00CE5CC7" w:rsidRDefault="00CE5CC7"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460E36E" w14:textId="77777777" w:rsidR="00CE5CC7" w:rsidRDefault="00CE5CC7" w:rsidP="007107B1">
            <w:pPr>
              <w:spacing w:line="256" w:lineRule="auto"/>
              <w:rPr>
                <w:rFonts w:ascii="Arial" w:eastAsia="Helvetica" w:hAnsi="Arial" w:cs="Arial"/>
                <w:lang w:val="en-US"/>
              </w:rPr>
            </w:pPr>
          </w:p>
        </w:tc>
      </w:tr>
      <w:tr w:rsidR="00CE5CC7"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7777777" w:rsidR="00CE5CC7" w:rsidRDefault="00CE5CC7"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4A10A3B8" w14:textId="77777777" w:rsidR="00CE5CC7" w:rsidRDefault="00CE5CC7"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B65A6D4" w14:textId="77777777" w:rsidR="00CE5CC7" w:rsidRDefault="00CE5CC7" w:rsidP="007107B1">
            <w:pPr>
              <w:spacing w:line="256" w:lineRule="auto"/>
              <w:rPr>
                <w:rFonts w:ascii="Arial" w:eastAsia="Helvetica" w:hAnsi="Arial" w:cs="Arial"/>
                <w:lang w:val="en-US"/>
              </w:rPr>
            </w:pPr>
          </w:p>
        </w:tc>
      </w:tr>
    </w:tbl>
    <w:p w14:paraId="5167744B" w14:textId="77777777" w:rsidR="00CE5CC7" w:rsidRDefault="00CE5CC7" w:rsidP="00A4157F">
      <w:pPr>
        <w:jc w:val="both"/>
      </w:pPr>
    </w:p>
    <w:p w14:paraId="65B10F5C" w14:textId="0ACF42AC" w:rsidR="001C7AF6" w:rsidRDefault="001C7AF6" w:rsidP="00A4157F">
      <w:pPr>
        <w:jc w:val="both"/>
      </w:pPr>
      <w:r>
        <w:t xml:space="preserve">SN initiated Inter-SN CPC requires inter-node communication for execution </w:t>
      </w:r>
      <w:r>
        <w:t>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CE5CC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77777777" w:rsidR="00CE5CC7" w:rsidRDefault="00CE5CC7"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23B95232" w14:textId="77777777" w:rsidR="00CE5CC7" w:rsidRDefault="00CE5CC7"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7930349" w14:textId="77777777" w:rsidR="00CE5CC7" w:rsidRDefault="00CE5CC7" w:rsidP="007107B1">
            <w:pPr>
              <w:spacing w:line="256" w:lineRule="auto"/>
              <w:rPr>
                <w:rFonts w:ascii="Arial" w:eastAsia="Helvetica" w:hAnsi="Arial" w:cs="Arial"/>
                <w:lang w:val="en-US"/>
              </w:rPr>
            </w:pPr>
          </w:p>
        </w:tc>
      </w:tr>
      <w:tr w:rsidR="00CE5CC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77777777" w:rsidR="00CE5CC7" w:rsidRDefault="00CE5CC7"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9383A90" w14:textId="77777777" w:rsidR="00CE5CC7" w:rsidRDefault="00CE5CC7"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D2B6B19" w14:textId="77777777" w:rsidR="00CE5CC7" w:rsidRDefault="00CE5CC7" w:rsidP="007107B1">
            <w:pPr>
              <w:spacing w:line="256" w:lineRule="auto"/>
              <w:rPr>
                <w:rFonts w:ascii="Arial" w:eastAsia="Helvetica" w:hAnsi="Arial" w:cs="Arial"/>
                <w:lang w:val="en-US"/>
              </w:rPr>
            </w:pPr>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w:t>
      </w:r>
      <w:r>
        <w:t>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796F06"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77777777" w:rsidR="00796F06" w:rsidRDefault="00796F06"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089CE9F1" w14:textId="77777777" w:rsidR="00796F06" w:rsidRDefault="00796F06"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6C76565" w14:textId="77777777" w:rsidR="00796F06" w:rsidRDefault="00796F06" w:rsidP="00E923D7">
            <w:pPr>
              <w:spacing w:line="256" w:lineRule="auto"/>
              <w:rPr>
                <w:rFonts w:ascii="Arial" w:eastAsia="Helvetica" w:hAnsi="Arial" w:cs="Arial"/>
                <w:lang w:val="en-US"/>
              </w:rPr>
            </w:pPr>
          </w:p>
        </w:tc>
      </w:tr>
      <w:tr w:rsidR="00796F06"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77777777" w:rsidR="00796F06" w:rsidRDefault="00796F06"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BDF74BA" w14:textId="77777777" w:rsidR="00796F06" w:rsidRDefault="00796F06"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68DB780" w14:textId="77777777" w:rsidR="00796F06" w:rsidRDefault="00796F06" w:rsidP="00E923D7">
            <w:pPr>
              <w:spacing w:line="256" w:lineRule="auto"/>
              <w:rPr>
                <w:rFonts w:ascii="Arial" w:eastAsia="Helvetica" w:hAnsi="Arial" w:cs="Arial"/>
                <w:lang w:val="en-US"/>
              </w:rPr>
            </w:pPr>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7107B1"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798D4E6B"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3D064C58" w14:textId="77777777" w:rsidR="007107B1" w:rsidRDefault="007107B1" w:rsidP="007107B1">
            <w:pPr>
              <w:spacing w:line="256" w:lineRule="auto"/>
              <w:rPr>
                <w:rFonts w:ascii="Arial" w:eastAsia="Helvetica" w:hAnsi="Arial" w:cs="Arial"/>
                <w:lang w:val="en-US"/>
              </w:rPr>
            </w:pPr>
          </w:p>
        </w:tc>
      </w:tr>
      <w:tr w:rsidR="007107B1"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7FD062B"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0E2902A" w14:textId="77777777" w:rsidR="007107B1" w:rsidRDefault="007107B1" w:rsidP="007107B1">
            <w:pPr>
              <w:spacing w:line="256" w:lineRule="auto"/>
              <w:rPr>
                <w:rFonts w:ascii="Arial" w:eastAsia="Helvetica" w:hAnsi="Arial" w:cs="Arial"/>
                <w:lang w:val="en-US"/>
              </w:rPr>
            </w:pPr>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1" w:name="_Ref32321633"/>
      <w:proofErr w:type="gramStart"/>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w:t>
      </w:r>
      <w:proofErr w:type="gramEnd"/>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2" w:name="_Ref32321636"/>
      <w:bookmarkEnd w:id="1"/>
    </w:p>
    <w:p w14:paraId="6C5FAA37" w14:textId="4BF6BD59"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sidRPr="007107B1">
        <w:rPr>
          <w:rFonts w:ascii="Times New Roman" w:hAnsi="Times New Roman" w:cs="Times New Roman"/>
          <w:b/>
          <w:bCs/>
          <w:i w:val="0"/>
          <w:color w:val="000000" w:themeColor="text1"/>
          <w:sz w:val="20"/>
          <w:szCs w:val="20"/>
        </w:rPr>
        <w:t>PSCell</w:t>
      </w:r>
      <w:proofErr w:type="spellEnd"/>
      <w:r w:rsidRPr="007107B1">
        <w:rPr>
          <w:rFonts w:ascii="Times New Roman" w:hAnsi="Times New Roman" w:cs="Times New Roman"/>
          <w:b/>
          <w:bCs/>
          <w:i w:val="0"/>
          <w:color w:val="000000" w:themeColor="text1"/>
          <w:sz w:val="20"/>
          <w:szCs w:val="20"/>
        </w:rPr>
        <w:t xml:space="preserve"> candidate</w:t>
      </w:r>
      <w:r w:rsidRPr="007107B1">
        <w:rPr>
          <w:rFonts w:ascii="Times New Roman" w:eastAsia="Malgun Gothic" w:hAnsi="Times New Roman" w:cs="Times New Roman"/>
          <w:b/>
          <w:i w:val="0"/>
          <w:color w:val="auto"/>
          <w:sz w:val="20"/>
          <w:szCs w:val="20"/>
          <w:lang w:val="en-GB"/>
        </w:rPr>
        <w:t>.</w:t>
      </w:r>
      <w:bookmarkEnd w:id="2"/>
    </w:p>
    <w:p w14:paraId="381862DE"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7107B1"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677B19E6"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89D8AA8" w14:textId="77777777" w:rsidR="007107B1" w:rsidRDefault="007107B1" w:rsidP="007107B1">
            <w:pPr>
              <w:spacing w:line="256" w:lineRule="auto"/>
              <w:rPr>
                <w:rFonts w:ascii="Arial" w:eastAsia="Helvetica" w:hAnsi="Arial" w:cs="Arial"/>
                <w:lang w:val="en-US"/>
              </w:rPr>
            </w:pPr>
          </w:p>
        </w:tc>
      </w:tr>
      <w:tr w:rsidR="007107B1"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6C5C5B7"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7107B1" w:rsidRDefault="007107B1" w:rsidP="007107B1">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xml:space="preserve">, when the condition is met, the </w:t>
      </w:r>
      <w:r w:rsidR="003160B4">
        <w:t xml:space="preserve">UE </w:t>
      </w:r>
      <w:r w:rsidR="003160B4">
        <w:t>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w:t>
      </w:r>
      <w:r>
        <w:t>, the MN may involve with the CPA/CPC configuration. Therefore</w:t>
      </w:r>
      <w:r w:rsidR="003160B4">
        <w:t xml:space="preserve">, [5] </w:t>
      </w:r>
      <w:r w:rsidR="003160B4">
        <w:t xml:space="preserve">proposes to further discuss the use of ULInformationTransferMRDC for the transmission of RRCReconfigurationComplete message upon the CPAC execution.  </w:t>
      </w:r>
    </w:p>
    <w:p w14:paraId="1FE48392" w14:textId="7B2CD817" w:rsidR="00D70E4B" w:rsidRDefault="00D70E4B" w:rsidP="00032EF3">
      <w:pPr>
        <w:jc w:val="both"/>
      </w:pPr>
      <w:r>
        <w:t xml:space="preserve">Upon execution of CPAC, since the UE may apply the configuration generated by the MN and the configuration generated by the SN simultaneously, the UE needs to provide the RRC complete message to both the MN and the </w:t>
      </w:r>
      <w:r>
        <w:lastRenderedPageBreak/>
        <w:t>(target)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7FFA766E"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upon execution of CPAC, the UE shall reply the RRCReconfigurationComplete/RRCConnectionReconfigurationComplete message to the MN including an embedded RRC complete message to the SN, and then the MN informs the SN.</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7107B1"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3CD02283"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7C8D090" w14:textId="77777777" w:rsidR="007107B1" w:rsidRDefault="007107B1" w:rsidP="007107B1">
            <w:pPr>
              <w:spacing w:line="256" w:lineRule="auto"/>
              <w:rPr>
                <w:rFonts w:ascii="Arial" w:eastAsia="Helvetica" w:hAnsi="Arial" w:cs="Arial"/>
                <w:lang w:val="en-US"/>
              </w:rPr>
            </w:pPr>
          </w:p>
        </w:tc>
      </w:tr>
      <w:tr w:rsidR="007107B1"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77777777" w:rsidR="007107B1" w:rsidRDefault="007107B1" w:rsidP="007107B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6F20F991" w14:textId="77777777" w:rsidR="007107B1" w:rsidRDefault="007107B1" w:rsidP="007107B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5F132084" w14:textId="77777777" w:rsidR="007107B1" w:rsidRDefault="007107B1" w:rsidP="007107B1">
            <w:pPr>
              <w:spacing w:line="256" w:lineRule="auto"/>
              <w:rPr>
                <w:rFonts w:ascii="Arial" w:eastAsia="Helvetica" w:hAnsi="Arial" w:cs="Arial"/>
                <w:lang w:val="en-US"/>
              </w:rPr>
            </w:pPr>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w:t>
      </w:r>
      <w:proofErr w:type="gramStart"/>
      <w:r w:rsidR="00820CCF">
        <w:t>B1(</w:t>
      </w:r>
      <w:proofErr w:type="gramEnd"/>
      <w:r w:rsidR="00820CCF">
        <w:t xml:space="preserve">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A84054"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77777777" w:rsidR="00A84054" w:rsidRDefault="00A84054"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A84054" w:rsidRDefault="00A84054"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77777777" w:rsidR="00A84054" w:rsidRDefault="00A84054" w:rsidP="00E923D7">
            <w:pPr>
              <w:spacing w:line="256" w:lineRule="auto"/>
              <w:rPr>
                <w:rFonts w:ascii="Arial" w:eastAsia="Helvetica" w:hAnsi="Arial" w:cs="Arial"/>
                <w:lang w:val="en-US"/>
              </w:rPr>
            </w:pPr>
          </w:p>
        </w:tc>
      </w:tr>
      <w:tr w:rsidR="00A84054"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77777777" w:rsidR="00A84054" w:rsidRDefault="00A84054"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12A57C00" w14:textId="77777777" w:rsidR="00A84054" w:rsidRDefault="00A84054"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A84054" w:rsidRDefault="00A84054" w:rsidP="00E923D7">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A84054"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77777777" w:rsidR="00A84054" w:rsidRDefault="00A84054"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1BCD5DE1" w14:textId="77777777" w:rsidR="00A84054" w:rsidRDefault="00A84054"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30974274" w14:textId="77777777" w:rsidR="00A84054" w:rsidRDefault="00A84054" w:rsidP="00E923D7">
            <w:pPr>
              <w:spacing w:line="256" w:lineRule="auto"/>
              <w:rPr>
                <w:rFonts w:ascii="Arial" w:eastAsia="Helvetica" w:hAnsi="Arial" w:cs="Arial"/>
                <w:lang w:val="en-US"/>
              </w:rPr>
            </w:pPr>
          </w:p>
        </w:tc>
      </w:tr>
      <w:tr w:rsidR="00A84054"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7777777" w:rsidR="00A84054" w:rsidRDefault="00A84054"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9E4BF32" w14:textId="77777777" w:rsidR="00A84054" w:rsidRDefault="00A84054"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A84054" w:rsidRDefault="00A84054" w:rsidP="00E923D7">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SCGFailureInformation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w:t>
      </w:r>
      <w:r>
        <w:lastRenderedPageBreak/>
        <w:t xml:space="preserve">of Rel-16 CPC scenario. Therefore, following Rel-16 procedure, SCGFailureInformation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B034A2"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77777777" w:rsidR="00B034A2" w:rsidRDefault="00B034A2"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07617B78" w14:textId="77777777" w:rsidR="00B034A2" w:rsidRDefault="00B034A2"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1CA615E" w14:textId="77777777" w:rsidR="00B034A2" w:rsidRDefault="00B034A2" w:rsidP="00E923D7">
            <w:pPr>
              <w:spacing w:line="256" w:lineRule="auto"/>
              <w:rPr>
                <w:rFonts w:ascii="Arial" w:eastAsia="Helvetica" w:hAnsi="Arial" w:cs="Arial"/>
                <w:lang w:val="en-US"/>
              </w:rPr>
            </w:pPr>
          </w:p>
        </w:tc>
      </w:tr>
      <w:tr w:rsidR="00B034A2"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77777777" w:rsidR="00B034A2" w:rsidRDefault="00B034A2" w:rsidP="00E923D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2A92EAE0" w14:textId="77777777" w:rsidR="00B034A2" w:rsidRDefault="00B034A2" w:rsidP="00E923D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1495DA1" w14:textId="77777777" w:rsidR="00B034A2" w:rsidRDefault="00B034A2" w:rsidP="00E923D7">
            <w:pPr>
              <w:spacing w:line="256" w:lineRule="auto"/>
              <w:rPr>
                <w:rFonts w:ascii="Arial" w:eastAsia="Helvetica" w:hAnsi="Arial" w:cs="Arial"/>
                <w:lang w:val="en-US"/>
              </w:rPr>
            </w:pPr>
          </w:p>
        </w:tc>
      </w:tr>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14:paraId="788C53C2" w14:textId="20077EF3"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3A763B1A" w14:textId="5A9DE46D" w:rsidR="0030298E" w:rsidRDefault="0030298E" w:rsidP="0030298E">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4C6376C" w14:textId="7651139E" w:rsidR="0030298E" w:rsidRDefault="0030298E" w:rsidP="0030298E">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2349286A" w14:textId="1F6A956D" w:rsidR="0030298E" w:rsidRDefault="0030298E" w:rsidP="0030298E">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48A03FDA" w14:textId="56F34832" w:rsidR="0030298E" w:rsidRDefault="0030298E" w:rsidP="0030298E">
      <w:r>
        <w:t>[7] R2-2007010</w:t>
      </w:r>
      <w:r>
        <w:tab/>
        <w:t xml:space="preserve">Scope and basic procedure for Conditional </w:t>
      </w:r>
      <w:proofErr w:type="spellStart"/>
      <w:r>
        <w:t>PSCell</w:t>
      </w:r>
      <w:proofErr w:type="spellEnd"/>
      <w:r>
        <w:t xml:space="preserve"> Addition/</w:t>
      </w:r>
      <w:proofErr w:type="gramStart"/>
      <w:r>
        <w:t>Change ??(CPAC)?</w:t>
      </w:r>
      <w:proofErr w:type="gramEnd"/>
      <w:r>
        <w:tab/>
        <w:t>CATT</w:t>
      </w:r>
      <w:r>
        <w:tab/>
        <w:t>discussion</w:t>
      </w:r>
      <w:r>
        <w:tab/>
        <w:t>Rel-17</w:t>
      </w:r>
      <w:r>
        <w:tab/>
        <w:t>LTE_NR_DC_enh2-Core</w:t>
      </w:r>
    </w:p>
    <w:p w14:paraId="46BE63C3" w14:textId="4E257896"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11061A51" w14:textId="0E8FE4D7"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14:paraId="28ABFC87" w14:textId="77F41D1A" w:rsidR="0030298E" w:rsidRDefault="0030298E" w:rsidP="0030298E">
      <w:r>
        <w:lastRenderedPageBreak/>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1765B02E" w14:textId="4FB62F04"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14:paraId="33249C91" w14:textId="1B369C2C"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3185A" w14:textId="77777777" w:rsidR="00653DEE" w:rsidRDefault="00653DEE">
      <w:r>
        <w:separator/>
      </w:r>
    </w:p>
  </w:endnote>
  <w:endnote w:type="continuationSeparator" w:id="0">
    <w:p w14:paraId="288E26CB" w14:textId="77777777" w:rsidR="00653DEE" w:rsidRDefault="00653DEE">
      <w:r>
        <w:continuationSeparator/>
      </w:r>
    </w:p>
  </w:endnote>
  <w:endnote w:type="continuationNotice" w:id="1">
    <w:p w14:paraId="098F757F" w14:textId="77777777" w:rsidR="00653DEE" w:rsidRDefault="00653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A0A53" w14:textId="77777777" w:rsidR="00653DEE" w:rsidRDefault="00653DEE">
      <w:r>
        <w:separator/>
      </w:r>
    </w:p>
  </w:footnote>
  <w:footnote w:type="continuationSeparator" w:id="0">
    <w:p w14:paraId="7B7BDB45" w14:textId="77777777" w:rsidR="00653DEE" w:rsidRDefault="00653DEE">
      <w:r>
        <w:continuationSeparator/>
      </w:r>
    </w:p>
  </w:footnote>
  <w:footnote w:type="continuationNotice" w:id="1">
    <w:p w14:paraId="302AFC1D" w14:textId="77777777" w:rsidR="00653DEE" w:rsidRDefault="00653DE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2"/>
  </w:num>
  <w:num w:numId="7">
    <w:abstractNumId w:val="13"/>
  </w:num>
  <w:num w:numId="8">
    <w:abstractNumId w:val="14"/>
  </w:num>
  <w:num w:numId="9">
    <w:abstractNumId w:val="4"/>
  </w:num>
  <w:num w:numId="10">
    <w:abstractNumId w:val="9"/>
  </w:num>
  <w:num w:numId="11">
    <w:abstractNumId w:val="5"/>
  </w:num>
  <w:num w:numId="12">
    <w:abstractNumId w:val="7"/>
  </w:num>
  <w:num w:numId="13">
    <w:abstractNumId w:val="21"/>
  </w:num>
  <w:num w:numId="14">
    <w:abstractNumId w:val="19"/>
  </w:num>
  <w:num w:numId="15">
    <w:abstractNumId w:val="17"/>
  </w:num>
  <w:num w:numId="16">
    <w:abstractNumId w:val="11"/>
  </w:num>
  <w:num w:numId="17">
    <w:abstractNumId w:val="15"/>
  </w:num>
  <w:num w:numId="18">
    <w:abstractNumId w:val="16"/>
  </w:num>
  <w:num w:numId="19">
    <w:abstractNumId w:val="3"/>
  </w:num>
  <w:num w:numId="20">
    <w:abstractNumId w:val="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B59D8"/>
    <w:rsid w:val="000B78B6"/>
    <w:rsid w:val="000B7BCF"/>
    <w:rsid w:val="000C522B"/>
    <w:rsid w:val="000C612C"/>
    <w:rsid w:val="000C6A35"/>
    <w:rsid w:val="000D45EB"/>
    <w:rsid w:val="000D4EF8"/>
    <w:rsid w:val="000D58AB"/>
    <w:rsid w:val="000F7B6B"/>
    <w:rsid w:val="00112F1A"/>
    <w:rsid w:val="00136667"/>
    <w:rsid w:val="00145075"/>
    <w:rsid w:val="001572AB"/>
    <w:rsid w:val="00162F13"/>
    <w:rsid w:val="00166E26"/>
    <w:rsid w:val="001741A0"/>
    <w:rsid w:val="00175FA0"/>
    <w:rsid w:val="00180AA0"/>
    <w:rsid w:val="00194CD0"/>
    <w:rsid w:val="001B49C9"/>
    <w:rsid w:val="001B6F9B"/>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44A05"/>
    <w:rsid w:val="00250404"/>
    <w:rsid w:val="00256C01"/>
    <w:rsid w:val="00256C78"/>
    <w:rsid w:val="002610D8"/>
    <w:rsid w:val="002747EC"/>
    <w:rsid w:val="002769FE"/>
    <w:rsid w:val="002855BF"/>
    <w:rsid w:val="00286868"/>
    <w:rsid w:val="00287E57"/>
    <w:rsid w:val="002A21E0"/>
    <w:rsid w:val="002B5552"/>
    <w:rsid w:val="002F0D22"/>
    <w:rsid w:val="00302049"/>
    <w:rsid w:val="0030298E"/>
    <w:rsid w:val="00311B17"/>
    <w:rsid w:val="00315E38"/>
    <w:rsid w:val="003160B4"/>
    <w:rsid w:val="003172DC"/>
    <w:rsid w:val="00320588"/>
    <w:rsid w:val="00325AE3"/>
    <w:rsid w:val="00326069"/>
    <w:rsid w:val="003334F1"/>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65587"/>
    <w:rsid w:val="00473064"/>
    <w:rsid w:val="00477455"/>
    <w:rsid w:val="00484090"/>
    <w:rsid w:val="004A1F7B"/>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4E32"/>
    <w:rsid w:val="00620D34"/>
    <w:rsid w:val="006247F7"/>
    <w:rsid w:val="00634C0F"/>
    <w:rsid w:val="00645EBB"/>
    <w:rsid w:val="00646D99"/>
    <w:rsid w:val="006501BB"/>
    <w:rsid w:val="00653DEE"/>
    <w:rsid w:val="00656910"/>
    <w:rsid w:val="006574C0"/>
    <w:rsid w:val="006C1F75"/>
    <w:rsid w:val="006C66D8"/>
    <w:rsid w:val="006D1ABC"/>
    <w:rsid w:val="006D1E24"/>
    <w:rsid w:val="006D35DE"/>
    <w:rsid w:val="006E1417"/>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32F2D"/>
    <w:rsid w:val="00840DE0"/>
    <w:rsid w:val="00853A1B"/>
    <w:rsid w:val="0086354A"/>
    <w:rsid w:val="00863D01"/>
    <w:rsid w:val="00864C89"/>
    <w:rsid w:val="0086685A"/>
    <w:rsid w:val="008768CA"/>
    <w:rsid w:val="00877EF9"/>
    <w:rsid w:val="00880559"/>
    <w:rsid w:val="008B5306"/>
    <w:rsid w:val="008C2E2A"/>
    <w:rsid w:val="008C3057"/>
    <w:rsid w:val="008D2E4D"/>
    <w:rsid w:val="008E0928"/>
    <w:rsid w:val="008F396F"/>
    <w:rsid w:val="008F3DCD"/>
    <w:rsid w:val="0090271F"/>
    <w:rsid w:val="00902DB9"/>
    <w:rsid w:val="0090466A"/>
    <w:rsid w:val="0090630A"/>
    <w:rsid w:val="00907528"/>
    <w:rsid w:val="00923655"/>
    <w:rsid w:val="009252F5"/>
    <w:rsid w:val="00936071"/>
    <w:rsid w:val="009376CD"/>
    <w:rsid w:val="00940212"/>
    <w:rsid w:val="00942EC2"/>
    <w:rsid w:val="00954E3B"/>
    <w:rsid w:val="00961B32"/>
    <w:rsid w:val="00962509"/>
    <w:rsid w:val="00970DB3"/>
    <w:rsid w:val="00974BB0"/>
    <w:rsid w:val="00975BCD"/>
    <w:rsid w:val="00984196"/>
    <w:rsid w:val="009928A9"/>
    <w:rsid w:val="009928BB"/>
    <w:rsid w:val="009A09D0"/>
    <w:rsid w:val="009A0AF3"/>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919"/>
    <w:rsid w:val="00A22738"/>
    <w:rsid w:val="00A23219"/>
    <w:rsid w:val="00A40870"/>
    <w:rsid w:val="00A40A90"/>
    <w:rsid w:val="00A4157F"/>
    <w:rsid w:val="00A53724"/>
    <w:rsid w:val="00A54B2B"/>
    <w:rsid w:val="00A82346"/>
    <w:rsid w:val="00A84054"/>
    <w:rsid w:val="00A94FC7"/>
    <w:rsid w:val="00A9671C"/>
    <w:rsid w:val="00AA1553"/>
    <w:rsid w:val="00AA5F89"/>
    <w:rsid w:val="00AA7D59"/>
    <w:rsid w:val="00AD459C"/>
    <w:rsid w:val="00AE7861"/>
    <w:rsid w:val="00B034A2"/>
    <w:rsid w:val="00B05071"/>
    <w:rsid w:val="00B05380"/>
    <w:rsid w:val="00B05962"/>
    <w:rsid w:val="00B15449"/>
    <w:rsid w:val="00B16C2F"/>
    <w:rsid w:val="00B27303"/>
    <w:rsid w:val="00B47FD1"/>
    <w:rsid w:val="00B516BB"/>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12B51"/>
    <w:rsid w:val="00C143EE"/>
    <w:rsid w:val="00C24650"/>
    <w:rsid w:val="00C25465"/>
    <w:rsid w:val="00C30D09"/>
    <w:rsid w:val="00C33079"/>
    <w:rsid w:val="00C4296C"/>
    <w:rsid w:val="00C5097A"/>
    <w:rsid w:val="00C53BF6"/>
    <w:rsid w:val="00C61DED"/>
    <w:rsid w:val="00C62C21"/>
    <w:rsid w:val="00C6553E"/>
    <w:rsid w:val="00C83A13"/>
    <w:rsid w:val="00C9068C"/>
    <w:rsid w:val="00C90B3A"/>
    <w:rsid w:val="00C92967"/>
    <w:rsid w:val="00CA325C"/>
    <w:rsid w:val="00CA3D0C"/>
    <w:rsid w:val="00CA654B"/>
    <w:rsid w:val="00CB72B8"/>
    <w:rsid w:val="00CD180E"/>
    <w:rsid w:val="00CD1B33"/>
    <w:rsid w:val="00CD4C7B"/>
    <w:rsid w:val="00CD4E6D"/>
    <w:rsid w:val="00CD58FE"/>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B76"/>
    <w:rsid w:val="00E46C08"/>
    <w:rsid w:val="00E471CF"/>
    <w:rsid w:val="00E62835"/>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7743"/>
    <w:rsid w:val="00F54A3D"/>
    <w:rsid w:val="00F54CB0"/>
    <w:rsid w:val="00F579CD"/>
    <w:rsid w:val="00F653B8"/>
    <w:rsid w:val="00F71B89"/>
    <w:rsid w:val="00F7353C"/>
    <w:rsid w:val="00F76F8F"/>
    <w:rsid w:val="00F86B2F"/>
    <w:rsid w:val="00F941DF"/>
    <w:rsid w:val="00FA1266"/>
    <w:rsid w:val="00FA18E9"/>
    <w:rsid w:val="00FA2C26"/>
    <w:rsid w:val="00FB0BBA"/>
    <w:rsid w:val="00FB36FA"/>
    <w:rsid w:val="00FB61F5"/>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25061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2020-09-21T08:59:00Z</dcterms:created>
  <dcterms:modified xsi:type="dcterms:W3CDTF">2020-09-21T09:14:00Z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