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proofErr w:type="gramStart"/>
      <w:r w:rsidR="00E74350">
        <w:t>e][</w:t>
      </w:r>
      <w:proofErr w:type="gramEnd"/>
      <w:r w:rsidR="0066315E">
        <w:t>915</w:t>
      </w:r>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 xml:space="preserve">tolerate such large paging latency as NB-IoT and </w:t>
            </w:r>
            <w:proofErr w:type="spellStart"/>
            <w:r w:rsidR="00F06A72" w:rsidRPr="006E7299">
              <w:rPr>
                <w:rFonts w:eastAsiaTheme="minorEastAsia"/>
                <w:lang w:eastAsia="zh-CN"/>
              </w:rPr>
              <w:t>eMTC</w:t>
            </w:r>
            <w:proofErr w:type="spellEnd"/>
            <w:r w:rsidR="00F06A72" w:rsidRPr="006E7299">
              <w:rPr>
                <w:rFonts w:eastAsiaTheme="minorEastAsia"/>
                <w:lang w:eastAsia="zh-CN"/>
              </w:rPr>
              <w:t>.</w:t>
            </w:r>
          </w:p>
        </w:tc>
      </w:tr>
      <w:tr w:rsidR="00B71059" w14:paraId="2316524B" w14:textId="77777777" w:rsidTr="00D909F3">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af0"/>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D909F3">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af0"/>
              <w:spacing w:before="120"/>
              <w:ind w:left="0"/>
              <w:jc w:val="both"/>
            </w:pPr>
            <w:r>
              <w:t xml:space="preserve">If there is no such requirement, then 10.24s could be sufficient. </w:t>
            </w:r>
          </w:p>
        </w:tc>
      </w:tr>
      <w:tr w:rsidR="003861EF" w14:paraId="6A2807F0" w14:textId="77777777" w:rsidTr="00D909F3">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D909F3">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D909F3">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proofErr w:type="spellStart"/>
            <w:r w:rsidR="00605049">
              <w:t>eMTC</w:t>
            </w:r>
            <w:proofErr w:type="spellEnd"/>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D909F3">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 xml:space="preserve">Considering the power </w:t>
            </w:r>
            <w:r w:rsidRPr="00193AE9">
              <w:rPr>
                <w:rFonts w:eastAsiaTheme="minorEastAsia"/>
                <w:lang w:eastAsia="zh-CN"/>
              </w:rPr>
              <w:lastRenderedPageBreak/>
              <w:t>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lastRenderedPageBreak/>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lastRenderedPageBreak/>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af2"/>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맑은 고딕"/>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맑은 고딕"/>
                <w:lang w:eastAsia="ko-KR"/>
              </w:rPr>
              <w:t xml:space="preserv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lastRenderedPageBreak/>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8"/>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lastRenderedPageBreak/>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af0"/>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af0"/>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 xml:space="preserve">Extended DRX in Idle mode is already supported in EPC and for </w:t>
            </w:r>
            <w:proofErr w:type="spellStart"/>
            <w:r w:rsidRPr="000D7581">
              <w:t>eMTC</w:t>
            </w:r>
            <w:proofErr w:type="spellEnd"/>
            <w:r w:rsidRPr="000D7581">
              <w:t xml:space="preserve">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lastRenderedPageBreak/>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af0"/>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af0"/>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 xml:space="preserve">Proposal B2 can be </w:t>
            </w:r>
            <w:proofErr w:type="spellStart"/>
            <w:r>
              <w:t>rephased</w:t>
            </w:r>
            <w:proofErr w:type="spellEnd"/>
            <w:r>
              <w:t xml:space="preserve">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lastRenderedPageBreak/>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lastRenderedPageBreak/>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w:t>
            </w:r>
            <w:proofErr w:type="spellStart"/>
            <w:r>
              <w:t>RRC_Connected</w:t>
            </w:r>
            <w:proofErr w:type="spellEnd"/>
            <w:r>
              <w:t xml:space="preserve"> UEs, we prefer not to spend much time study it, if companies have strong willing to support RRM relaxation in </w:t>
            </w:r>
            <w:proofErr w:type="spellStart"/>
            <w:r>
              <w:lastRenderedPageBreak/>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맑은 고딕"/>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lastRenderedPageBreak/>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맑은 고딕"/>
                <w:lang w:eastAsia="ko-KR"/>
              </w:rPr>
            </w:pPr>
            <w:r>
              <w:rPr>
                <w:rFonts w:eastAsia="맑은 고딕" w:hint="eastAsia"/>
                <w:lang w:eastAsia="ko-KR"/>
              </w:rPr>
              <w:t>2</w:t>
            </w:r>
          </w:p>
        </w:tc>
        <w:tc>
          <w:tcPr>
            <w:tcW w:w="5454" w:type="dxa"/>
          </w:tcPr>
          <w:p w14:paraId="19604B5C" w14:textId="44A691F4" w:rsidR="006E1FC3" w:rsidRPr="009D6F39" w:rsidRDefault="002018FD" w:rsidP="007777C5">
            <w:pPr>
              <w:spacing w:before="120"/>
              <w:jc w:val="both"/>
              <w:rPr>
                <w:rFonts w:eastAsia="맑은 고딕"/>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77777777" w:rsidR="008F4381" w:rsidRDefault="008F4381" w:rsidP="008F4381">
            <w:pPr>
              <w:spacing w:before="120"/>
              <w:jc w:val="both"/>
              <w:rPr>
                <w:i/>
              </w:rPr>
            </w:pPr>
            <w:r w:rsidRPr="009C5509">
              <w:rPr>
                <w:i/>
              </w:rPr>
              <w:t xml:space="preserve">In Expected UE </w:t>
            </w:r>
            <w:proofErr w:type="spellStart"/>
            <w:r w:rsidRPr="009C5509">
              <w:rPr>
                <w:i/>
              </w:rPr>
              <w:t>behaviour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lastRenderedPageBreak/>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0"/>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0"/>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0"/>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0"/>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0"/>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w:t>
      </w:r>
      <w:proofErr w:type="gramStart"/>
      <w:r w:rsidR="00D909F3">
        <w:t>Hence</w:t>
      </w:r>
      <w:proofErr w:type="gramEnd"/>
      <w:r w:rsidR="00D909F3">
        <w:t xml:space="preserve"> we have two options:</w:t>
      </w:r>
    </w:p>
    <w:p w14:paraId="07CDD56B" w14:textId="393BFD2A" w:rsidR="00811509" w:rsidRDefault="00D909F3" w:rsidP="00D909F3">
      <w:pPr>
        <w:pStyle w:val="af0"/>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gramStart"/>
            <w:r>
              <w:t>UEs,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맑은 고딕"/>
                <w:lang w:eastAsia="ko-KR"/>
              </w:rPr>
            </w:pPr>
            <w:r>
              <w:rPr>
                <w:rFonts w:eastAsia="맑은 고딕" w:hint="eastAsia"/>
                <w:lang w:eastAsia="ko-KR"/>
              </w:rPr>
              <w:t>1</w:t>
            </w:r>
          </w:p>
        </w:tc>
        <w:tc>
          <w:tcPr>
            <w:tcW w:w="6354" w:type="dxa"/>
          </w:tcPr>
          <w:p w14:paraId="31819009" w14:textId="7E724375" w:rsidR="006E1FC3" w:rsidRPr="004833E4" w:rsidRDefault="004833E4" w:rsidP="00BF7C63">
            <w:pPr>
              <w:spacing w:before="120"/>
              <w:jc w:val="both"/>
              <w:rPr>
                <w:rFonts w:eastAsia="맑은 고딕"/>
                <w:lang w:eastAsia="ko-KR"/>
              </w:rPr>
            </w:pPr>
            <w:r>
              <w:rPr>
                <w:rFonts w:eastAsia="맑은 고딕"/>
                <w:lang w:eastAsia="ko-KR"/>
              </w:rPr>
              <w:t xml:space="preserve">Agree with OPPO and </w:t>
            </w:r>
            <w:r w:rsidRPr="00FF6CF2">
              <w:t>Huawei</w:t>
            </w:r>
            <w:r>
              <w:t>.</w:t>
            </w: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lastRenderedPageBreak/>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0"/>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0"/>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0"/>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af0"/>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0"/>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0"/>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맑은 고딕"/>
                <w:lang w:eastAsia="ko-KR"/>
              </w:rPr>
            </w:pPr>
            <w:r>
              <w:rPr>
                <w:rFonts w:eastAsia="맑은 고딕" w:hint="eastAsia"/>
                <w:lang w:eastAsia="ko-KR"/>
              </w:rPr>
              <w:t>3</w:t>
            </w:r>
          </w:p>
        </w:tc>
        <w:tc>
          <w:tcPr>
            <w:tcW w:w="6354" w:type="dxa"/>
          </w:tcPr>
          <w:p w14:paraId="752E93D3" w14:textId="77777777" w:rsidR="006E1FC3" w:rsidRDefault="006E1FC3" w:rsidP="00F703FB">
            <w:pPr>
              <w:spacing w:before="120"/>
              <w:jc w:val="both"/>
            </w:pP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lastRenderedPageBreak/>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 xml:space="preserve">If network can obtain “expected UE </w:t>
            </w:r>
            <w:proofErr w:type="spellStart"/>
            <w:r>
              <w:rPr>
                <w:rFonts w:eastAsiaTheme="minorEastAsia"/>
                <w:lang w:eastAsia="zh-CN"/>
              </w:rPr>
              <w:t>behaviour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맑은 고딕"/>
                <w:lang w:eastAsia="ko-KR"/>
              </w:rPr>
            </w:pPr>
            <w:r>
              <w:rPr>
                <w:rFonts w:eastAsia="맑은 고딕" w:hint="eastAsia"/>
                <w:lang w:eastAsia="ko-KR"/>
              </w:rPr>
              <w:t>1</w:t>
            </w:r>
            <w:r w:rsidR="00A81E07">
              <w:rPr>
                <w:rFonts w:eastAsia="맑은 고딕"/>
                <w:lang w:eastAsia="ko-KR"/>
              </w:rPr>
              <w:t>/2</w:t>
            </w:r>
            <w:bookmarkStart w:id="8" w:name="_GoBack"/>
            <w:bookmarkEnd w:id="8"/>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1"/>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3"/>
      <w:proofErr w:type="spellEnd"/>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9"/>
      <w:proofErr w:type="spellEnd"/>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2"/>
      <w:proofErr w:type="spellEnd"/>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E2D9" w14:textId="77777777" w:rsidR="00383C2D" w:rsidRDefault="00383C2D">
      <w:r>
        <w:separator/>
      </w:r>
    </w:p>
  </w:endnote>
  <w:endnote w:type="continuationSeparator" w:id="0">
    <w:p w14:paraId="230DBC1D" w14:textId="77777777" w:rsidR="00383C2D" w:rsidRDefault="00383C2D">
      <w:r>
        <w:continuationSeparator/>
      </w:r>
    </w:p>
  </w:endnote>
  <w:endnote w:type="continuationNotice" w:id="1">
    <w:p w14:paraId="678C8663" w14:textId="77777777" w:rsidR="00383C2D" w:rsidRDefault="00383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E491" w14:textId="77777777" w:rsidR="00383C2D" w:rsidRDefault="00383C2D">
      <w:r>
        <w:separator/>
      </w:r>
    </w:p>
  </w:footnote>
  <w:footnote w:type="continuationSeparator" w:id="0">
    <w:p w14:paraId="129F744F" w14:textId="77777777" w:rsidR="00383C2D" w:rsidRDefault="00383C2D">
      <w:r>
        <w:continuationSeparator/>
      </w:r>
    </w:p>
  </w:footnote>
  <w:footnote w:type="continuationNotice" w:id="1">
    <w:p w14:paraId="7AE28AEE" w14:textId="77777777" w:rsidR="00383C2D" w:rsidRDefault="00383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styleId="afc">
    <w:name w:val="Unresolved Mention"/>
    <w:basedOn w:val="a2"/>
    <w:uiPriority w:val="99"/>
    <w:unhideWhenUsed/>
    <w:rsid w:val="00855367"/>
    <w:rPr>
      <w:color w:val="605E5C"/>
      <w:shd w:val="clear" w:color="auto" w:fill="E1DFDD"/>
    </w:rPr>
  </w:style>
  <w:style w:type="character" w:styleId="afd">
    <w:name w:val="Mention"/>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7CA98F2-DFFA-43C4-9ED7-B74F0FED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5542</Words>
  <Characters>31592</Characters>
  <Application>Microsoft Office Word</Application>
  <DocSecurity>0</DocSecurity>
  <Lines>263</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37060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kimjh</cp:lastModifiedBy>
  <cp:revision>13</cp:revision>
  <cp:lastPrinted>2007-08-28T14:45:00Z</cp:lastPrinted>
  <dcterms:created xsi:type="dcterms:W3CDTF">2020-10-05T01:28:00Z</dcterms:created>
  <dcterms:modified xsi:type="dcterms:W3CDTF">2020-10-06T00:14:00Z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ies>
</file>