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C9528A">
        <w:tc>
          <w:tcPr>
            <w:tcW w:w="1438" w:type="dxa"/>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C9528A" w:rsidRDefault="0087040F"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SCell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SCell dormancy for FR2 savings in Rel-16. So it can be postponed to further release for more time to check.</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sidR="00FC1051">
              <w:rPr>
                <w:rFonts w:ascii="Times New Roman" w:eastAsiaTheme="minorEastAsia" w:hAnsi="Times New Roman" w:hint="eastAsia"/>
                <w:sz w:val="18"/>
                <w:szCs w:val="18"/>
                <w:lang w:val="en-GB" w:eastAsia="zh-CN"/>
              </w:rPr>
              <w:t>,</w:t>
            </w:r>
            <w:r w:rsidR="00FC1051">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agree with companies on specification impact</w:t>
            </w:r>
            <w:r>
              <w:rPr>
                <w:rFonts w:ascii="Times New Roman" w:eastAsiaTheme="minorEastAsia" w:hAnsi="Times New Roman"/>
                <w:sz w:val="18"/>
                <w:szCs w:val="18"/>
                <w:lang w:val="en-GB" w:eastAsia="zh-CN"/>
              </w:rPr>
              <w:t xml:space="preserve"> for the joint DCP + 2</w:t>
            </w:r>
            <w:r w:rsidRPr="002D063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w:t>
            </w:r>
            <w:r w:rsidRPr="002D0636">
              <w:rPr>
                <w:rFonts w:ascii="Times New Roman" w:eastAsiaTheme="minorEastAsia" w:hAnsi="Times New Roman"/>
                <w:sz w:val="18"/>
                <w:szCs w:val="18"/>
                <w:lang w:val="en-GB" w:eastAsia="zh-CN"/>
              </w:rPr>
              <w:t xml:space="preserv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In addition, there is a very real commercial reason. We like DCP based solution, there is no doubt about that, but </w:t>
            </w:r>
            <w:r w:rsidR="00FC1051">
              <w:rPr>
                <w:rFonts w:ascii="Times New Roman" w:eastAsiaTheme="minorEastAsia" w:hAnsi="Times New Roman"/>
                <w:sz w:val="18"/>
                <w:szCs w:val="18"/>
                <w:lang w:val="en-GB" w:eastAsia="zh-CN"/>
              </w:rPr>
              <w:t xml:space="preserve">DCP </w:t>
            </w:r>
            <w:r>
              <w:rPr>
                <w:rFonts w:ascii="Times New Roman" w:eastAsiaTheme="minorEastAsia" w:hAnsi="Times New Roman"/>
                <w:sz w:val="18"/>
                <w:szCs w:val="18"/>
                <w:lang w:val="en-GB" w:eastAsia="zh-CN"/>
              </w:rPr>
              <w:t xml:space="preserve">being such a revolutionary solution, </w:t>
            </w:r>
            <w:r w:rsidRPr="002D0636">
              <w:rPr>
                <w:rFonts w:ascii="Times New Roman" w:eastAsiaTheme="minorEastAsia" w:hAnsi="Times New Roman"/>
                <w:sz w:val="18"/>
                <w:szCs w:val="18"/>
                <w:lang w:val="en-GB" w:eastAsia="zh-CN"/>
              </w:rPr>
              <w:t xml:space="preserve">realistically we won’t be surprised if it takes quite some time to have the </w:t>
            </w:r>
            <w:r>
              <w:rPr>
                <w:rFonts w:ascii="Times New Roman" w:eastAsiaTheme="minorEastAsia" w:hAnsi="Times New Roman"/>
                <w:sz w:val="18"/>
                <w:szCs w:val="18"/>
                <w:lang w:val="en-GB" w:eastAsia="zh-CN"/>
              </w:rPr>
              <w:t>it work effic</w:t>
            </w:r>
            <w:r w:rsidR="00FC1051">
              <w:rPr>
                <w:rFonts w:ascii="Times New Roman" w:eastAsiaTheme="minorEastAsia" w:hAnsi="Times New Roman"/>
                <w:sz w:val="18"/>
                <w:szCs w:val="18"/>
                <w:lang w:val="en-GB" w:eastAsia="zh-CN"/>
              </w:rPr>
              <w:t>iently and deployed large scale even after the product is available (which will also take longer time than 2</w:t>
            </w:r>
            <w:r w:rsidR="00FC1051" w:rsidRPr="00FC1051">
              <w:rPr>
                <w:rFonts w:ascii="Times New Roman" w:eastAsiaTheme="minorEastAsia" w:hAnsi="Times New Roman"/>
                <w:sz w:val="18"/>
                <w:szCs w:val="18"/>
                <w:vertAlign w:val="superscript"/>
                <w:lang w:val="en-GB" w:eastAsia="zh-CN"/>
              </w:rPr>
              <w:t>nd</w:t>
            </w:r>
            <w:r w:rsidR="00FC1051">
              <w:rPr>
                <w:rFonts w:ascii="Times New Roman" w:eastAsiaTheme="minorEastAsia" w:hAnsi="Times New Roman"/>
                <w:sz w:val="18"/>
                <w:szCs w:val="18"/>
                <w:lang w:val="en-GB" w:eastAsia="zh-CN"/>
              </w:rPr>
              <w:t xml:space="preserve"> DCP, development + IODT). </w:t>
            </w:r>
            <w:r w:rsidRPr="002D0636">
              <w:rPr>
                <w:rFonts w:ascii="Times New Roman" w:eastAsiaTheme="minorEastAsia" w:hAnsi="Times New Roman"/>
                <w:sz w:val="18"/>
                <w:szCs w:val="18"/>
                <w:lang w:val="en-GB" w:eastAsia="zh-CN"/>
              </w:rPr>
              <w:t xml:space="preserve"> UE power saving features are always difficult to deploy, even after the product is available. It takes a long time to optimize </w:t>
            </w:r>
            <w:r w:rsidR="00FC1051">
              <w:rPr>
                <w:rFonts w:ascii="Times New Roman" w:eastAsiaTheme="minorEastAsia" w:hAnsi="Times New Roman"/>
                <w:sz w:val="18"/>
                <w:szCs w:val="18"/>
                <w:lang w:val="en-GB" w:eastAsia="zh-CN"/>
              </w:rPr>
              <w:t xml:space="preserve">even for some seemly easy parameters </w:t>
            </w:r>
            <w:r w:rsidRPr="002D0636">
              <w:rPr>
                <w:rFonts w:ascii="Times New Roman" w:eastAsiaTheme="minorEastAsia" w:hAnsi="Times New Roman"/>
                <w:sz w:val="18"/>
                <w:szCs w:val="18"/>
                <w:lang w:val="en-GB" w:eastAsia="zh-CN"/>
              </w:rPr>
              <w:t>before they are really deployed in large scale commercially (a key reason is how network KPIs are constructed</w:t>
            </w:r>
            <w:r w:rsidR="00FC1051">
              <w:rPr>
                <w:rFonts w:ascii="Times New Roman" w:eastAsiaTheme="minorEastAsia" w:hAnsi="Times New Roman"/>
                <w:sz w:val="18"/>
                <w:szCs w:val="18"/>
                <w:lang w:val="en-GB" w:eastAsia="zh-CN"/>
              </w:rPr>
              <w:t>, and the real traffic being so much different from what we assumed in simulation (and keep changing)</w:t>
            </w:r>
            <w:r w:rsidRPr="002D0636">
              <w:rPr>
                <w:rFonts w:ascii="Times New Roman" w:eastAsiaTheme="minorEastAsia" w:hAnsi="Times New Roman"/>
                <w:sz w:val="18"/>
                <w:szCs w:val="18"/>
                <w:lang w:val="en-GB" w:eastAsia="zh-CN"/>
              </w:rPr>
              <w:t>)</w:t>
            </w:r>
            <w:r w:rsidR="00FC1051">
              <w:rPr>
                <w:rFonts w:ascii="Times New Roman" w:eastAsiaTheme="minorEastAsia" w:hAnsi="Times New Roman"/>
                <w:sz w:val="18"/>
                <w:szCs w:val="18"/>
                <w:lang w:val="en-GB" w:eastAsia="zh-CN"/>
              </w:rPr>
              <w:t xml:space="preserve">. We spent a lot of time (N years) on DRX optimization </w:t>
            </w:r>
            <w:r w:rsidRPr="002D0636">
              <w:rPr>
                <w:rFonts w:ascii="Times New Roman" w:eastAsiaTheme="minorEastAsia" w:hAnsi="Times New Roman"/>
                <w:sz w:val="18"/>
                <w:szCs w:val="18"/>
                <w:lang w:val="en-GB" w:eastAsia="zh-CN"/>
              </w:rPr>
              <w:t>and gained much experience on how things work so we are relatively confident we can make the 2nd DRX feature work in a relatively short-time. But the DCP, as wonderful as it is, will take a much longer time to see real commercial deployment, especially in FR2</w:t>
            </w:r>
            <w:r w:rsidR="00FC1051">
              <w:rPr>
                <w:rFonts w:ascii="Times New Roman" w:eastAsiaTheme="minorEastAsia" w:hAnsi="Times New Roman"/>
                <w:sz w:val="18"/>
                <w:szCs w:val="18"/>
                <w:lang w:val="en-GB" w:eastAsia="zh-CN"/>
              </w:rPr>
              <w:t xml:space="preserve"> (we strive to be one of the earliest to use it </w:t>
            </w:r>
            <w:r w:rsidR="00FC1051" w:rsidRPr="00FC1051">
              <w:rPr>
                <w:rFonts w:ascii="Times New Roman" w:eastAsiaTheme="minorEastAsia" w:hAnsi="Times New Roman"/>
                <w:sz w:val="18"/>
                <w:szCs w:val="18"/>
                <w:lang w:val="en-GB" w:eastAsia="zh-CN"/>
              </w:rPr>
              <w:sym w:font="Wingdings" w:char="F04A"/>
            </w:r>
            <w:r w:rsidR="00FC1051">
              <w:rPr>
                <w:rFonts w:ascii="Times New Roman" w:eastAsiaTheme="minorEastAsia" w:hAnsi="Times New Roman"/>
                <w:sz w:val="18"/>
                <w:szCs w:val="18"/>
                <w:lang w:val="en-GB" w:eastAsia="zh-CN"/>
              </w:rPr>
              <w:t>)</w:t>
            </w:r>
            <w:r w:rsidRPr="002D0636">
              <w:rPr>
                <w:rFonts w:ascii="Times New Roman" w:eastAsiaTheme="minorEastAsia" w:hAnsi="Times New Roman"/>
                <w:sz w:val="18"/>
                <w:szCs w:val="18"/>
                <w:lang w:val="en-GB" w:eastAsia="zh-CN"/>
              </w:rPr>
              <w:t xml:space="preserve">. </w:t>
            </w:r>
            <w:r>
              <w:rPr>
                <w:rFonts w:ascii="Times New Roman" w:eastAsiaTheme="minorEastAsia" w:hAnsi="Times New Roman"/>
                <w:sz w:val="18"/>
                <w:szCs w:val="18"/>
                <w:lang w:val="en-GB" w:eastAsia="zh-CN"/>
              </w:rPr>
              <w:t>In the meantime</w:t>
            </w:r>
            <w:r w:rsidR="00FC1051">
              <w:rPr>
                <w:rFonts w:ascii="Times New Roman" w:eastAsiaTheme="minorEastAsia" w:hAnsi="Times New Roman"/>
                <w:sz w:val="18"/>
                <w:szCs w:val="18"/>
                <w:lang w:val="en-GB" w:eastAsia="zh-CN"/>
              </w:rPr>
              <w:t xml:space="preserve"> (likely in unit of year)</w:t>
            </w:r>
            <w:r>
              <w:rPr>
                <w:rFonts w:ascii="Times New Roman" w:eastAsiaTheme="minorEastAsia" w:hAnsi="Times New Roman"/>
                <w:sz w:val="18"/>
                <w:szCs w:val="18"/>
                <w:lang w:val="en-GB" w:eastAsia="zh-CN"/>
              </w:rPr>
              <w:t>, a simpler and more traditional solution will be very useful. And then, after we get the DCP solution working</w:t>
            </w:r>
            <w:r w:rsidR="00FC1051">
              <w:rPr>
                <w:rFonts w:ascii="Times New Roman" w:eastAsiaTheme="minorEastAsia" w:hAnsi="Times New Roman"/>
                <w:sz w:val="18"/>
                <w:szCs w:val="18"/>
                <w:lang w:val="en-GB" w:eastAsia="zh-CN"/>
              </w:rPr>
              <w:t xml:space="preserve"> and proven better</w:t>
            </w:r>
            <w:r>
              <w:rPr>
                <w:rFonts w:ascii="Times New Roman" w:eastAsiaTheme="minorEastAsia" w:hAnsi="Times New Roman"/>
                <w:sz w:val="18"/>
                <w:szCs w:val="18"/>
                <w:lang w:val="en-GB" w:eastAsia="zh-CN"/>
              </w:rPr>
              <w:t xml:space="preserve">, we can think about </w:t>
            </w:r>
            <w:r w:rsidRPr="002D0636">
              <w:rPr>
                <w:rFonts w:ascii="Times New Roman" w:eastAsiaTheme="minorEastAsia" w:hAnsi="Times New Roman"/>
                <w:sz w:val="18"/>
                <w:szCs w:val="18"/>
                <w:lang w:val="en-GB" w:eastAsia="zh-CN"/>
              </w:rPr>
              <w:t xml:space="preserve">DCP + 2nd DRX, if it is available.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So we consider this 2nd DRX feature a very viable solution for power saving diversity.</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637F4D"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br/>
              <w:t>Given RAN1 feedback, we agree that there is no need to support the joint configuration of DCP and secondary DRX group in Rel-16.</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SCell dormancy in REL-16, </w:t>
            </w:r>
            <w:r>
              <w:rPr>
                <w:rFonts w:ascii="Times New Roman" w:eastAsia="Times New Roman" w:hAnsi="Times New Roman"/>
                <w:sz w:val="18"/>
                <w:szCs w:val="18"/>
                <w:lang w:val="en-GB" w:eastAsia="zh-CN"/>
              </w:rPr>
              <w:lastRenderedPageBreak/>
              <w:t>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There will be RAN1 impact if SCell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the benefit for the secondary DRX group on top of the SCell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oint configuration of SCell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When a cell in a secondary DRX group is ON, the dormancy indication from PCell pointing to that cell can work fine. When it is OFF, but the dormancy indication pointing to it may cause confusion and UE does not know how to interpret. the reason is that the configuration of Cell groups for SCell dormancy indication is the same no matter how the secondary DRX group is configured. So that may happen when Cell group for SCell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ince SCell dormancy is also controlled by DCP (DCI format 2_6), and RAN1 agreed that “there is RAN1 impact of secondary DRX related to the UE’s behavior of detecting DCI format 2_6 and the respective procedures”, then it seems obvious that there is also RAN1 impact on SCell dormancy from 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Hence, following RAN1’s analysis, we do not support joint configuration of SCell dormancy during Active Time and secondary DRX in REL-16.</w:t>
            </w:r>
          </w:p>
        </w:tc>
      </w:tr>
      <w:tr w:rsidR="00A76449">
        <w:tc>
          <w:tcPr>
            <w:tcW w:w="1438" w:type="dxa"/>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SCell dormancy and secondary DRX, this should not be considered in Rel-16. </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to keep this simple as agreed in RAN2. We would agree with no support of joint SCell dormancy during Active time and secondary DRX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Pr>
                <w:rFonts w:ascii="Times New Roman" w:eastAsiaTheme="minorEastAsia" w:hAnsi="Times New Roman"/>
                <w:sz w:val="18"/>
                <w:szCs w:val="18"/>
                <w:lang w:val="en-GB" w:eastAsia="zh-CN"/>
              </w:rPr>
              <w:t xml:space="preserve">, i.e., </w:t>
            </w:r>
            <w:r w:rsidR="00FC1051">
              <w:rPr>
                <w:rFonts w:ascii="Times New Roman" w:eastAsiaTheme="minorEastAsia" w:hAnsi="Times New Roman" w:hint="eastAsia"/>
                <w:sz w:val="18"/>
                <w:szCs w:val="18"/>
                <w:lang w:val="en-GB" w:eastAsia="zh-CN"/>
              </w:rPr>
              <w:t>no</w:t>
            </w:r>
            <w:r w:rsidR="00FC1051">
              <w:rPr>
                <w:rFonts w:ascii="Times New Roman" w:eastAsiaTheme="minorEastAsia" w:hAnsi="Times New Roman"/>
                <w:sz w:val="18"/>
                <w:szCs w:val="18"/>
                <w:lang w:val="en-GB" w:eastAsia="zh-CN"/>
              </w:rPr>
              <w:t xml:space="preserve"> need to </w:t>
            </w:r>
            <w:r>
              <w:rPr>
                <w:rFonts w:ascii="Times New Roman" w:eastAsiaTheme="minorEastAsia" w:hAnsi="Times New Roman"/>
                <w:sz w:val="18"/>
                <w:szCs w:val="18"/>
                <w:lang w:val="en-GB" w:eastAsia="zh-CN"/>
              </w:rPr>
              <w:t>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 to Question 1. Difficulty^2 can wait.</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234E5D"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see strong need to support the two features together, so no need to support the joint configuration in Rel-16.</w:t>
            </w:r>
          </w:p>
        </w:tc>
      </w:tr>
    </w:tbl>
    <w:p w:rsidR="00846897" w:rsidRDefault="00846897">
      <w:pPr>
        <w:rPr>
          <w:b/>
          <w:bCs/>
          <w:u w:val="single"/>
          <w:lang w:val="en-GB" w:eastAsia="zh-CN"/>
        </w:rPr>
      </w:pPr>
    </w:p>
    <w:p w:rsidR="00846897" w:rsidRDefault="002244BD">
      <w:pPr>
        <w:pStyle w:val="Heading2"/>
      </w:pPr>
      <w:r>
        <w:lastRenderedPageBreak/>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7655" w:type="dxa"/>
            <w:shd w:val="clear" w:color="auto" w:fill="auto"/>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EB1B45">
        <w:tc>
          <w:tcPr>
            <w:tcW w:w="1438" w:type="dxa"/>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2D0636">
        <w:tc>
          <w:tcPr>
            <w:tcW w:w="1438" w:type="dxa"/>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2D0636">
        <w:tc>
          <w:tcPr>
            <w:tcW w:w="1438" w:type="dxa"/>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7C49A2">
        <w:tc>
          <w:tcPr>
            <w:tcW w:w="1438" w:type="dxa"/>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7655" w:type="dxa"/>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r w:rsidR="00117882">
        <w:tc>
          <w:tcPr>
            <w:tcW w:w="1438" w:type="dxa"/>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0C6262">
        <w:tc>
          <w:tcPr>
            <w:tcW w:w="1438" w:type="dxa"/>
            <w:vAlign w:val="center"/>
          </w:tcPr>
          <w:p w:rsidR="000C6262" w:rsidRPr="003526ED" w:rsidRDefault="000C6262"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0C6262" w:rsidRDefault="00240E28" w:rsidP="000C62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0C6262" w:rsidRPr="003526ED" w:rsidRDefault="00A577ED"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w:t>
            </w:r>
            <w:r w:rsidR="000C6262">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UEs that support per-FR measurement gap capability and the legacy and secondary DRX group are configured in different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This is how we plan to deploy. </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Pr="002D0636" w:rsidRDefault="00846897">
      <w:pPr>
        <w:rPr>
          <w:lang w:val="en-GB"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r>
                <w:rPr>
                  <w:i/>
                  <w:iCs/>
                  <w:lang w:val="en-GB" w:eastAsia="zh-CN"/>
                </w:rPr>
                <w:t>drx-</w:t>
              </w:r>
              <w:r>
                <w:rPr>
                  <w:i/>
                  <w:iCs/>
                  <w:lang w:val="en-GB" w:eastAsia="zh-CN"/>
                </w:rPr>
                <w:lastRenderedPageBreak/>
                <w:t>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A42B27">
        <w:tc>
          <w:tcPr>
            <w:tcW w:w="1438" w:type="dxa"/>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A42B27" w:rsidRDefault="00A42B27"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r w:rsidRPr="00A42B27">
              <w:rPr>
                <w:rFonts w:ascii="Times New Roman" w:eastAsia="Times New Roman" w:hAnsi="Times New Roman"/>
                <w:sz w:val="18"/>
                <w:szCs w:val="18"/>
                <w:lang w:val="en-GB" w:eastAsia="zh-CN"/>
              </w:rPr>
              <w:t>drx-InactivityTimer and drx-onDurationTimer for the secondary DRX group</w:t>
            </w:r>
            <w:r>
              <w:rPr>
                <w:rFonts w:ascii="Times New Roman" w:eastAsia="Times New Roman" w:hAnsi="Times New Roman"/>
                <w:sz w:val="18"/>
                <w:szCs w:val="18"/>
                <w:lang w:val="en-GB" w:eastAsia="zh-CN"/>
              </w:rPr>
              <w:t>, it shouldn’t be specified as a requirement to network.</w:t>
            </w:r>
          </w:p>
        </w:tc>
      </w:tr>
      <w:tr w:rsidR="003F53FB">
        <w:tc>
          <w:tcPr>
            <w:tcW w:w="1438" w:type="dxa"/>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Default="003F53FB"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that the power consumption would be higher in FR2 and find it reasonable for power saving to have shorter drx-InactivityTimer and drx-onDurationTimer in FR2.</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This is how we expect to deploy. If it makes things simpler, we are all for it.</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Shorter timers in FR2 is the motivation to introduce secondary DRX group feature.</w:t>
            </w:r>
          </w:p>
        </w:tc>
      </w:tr>
    </w:tbl>
    <w:p w:rsidR="00846897" w:rsidRPr="002D0636" w:rsidRDefault="00846897">
      <w:pPr>
        <w:rPr>
          <w:lang w:val="en-GB"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handling of drx state (short drx and long drx) should be done independently (i.e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81827" w:rsidRPr="00681827">
        <w:tc>
          <w:tcPr>
            <w:tcW w:w="1438" w:type="dxa"/>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681827" w:rsidRPr="007134EF" w:rsidRDefault="00681827"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r w:rsidRPr="00681827">
              <w:rPr>
                <w:rFonts w:ascii="Times New Roman" w:eastAsia="Times New Roman" w:hAnsi="Times New Roman"/>
                <w:sz w:val="18"/>
                <w:szCs w:val="18"/>
                <w:lang w:val="en-GB" w:eastAsia="zh-CN"/>
              </w:rPr>
              <w:t>drx-ShortCycleTimer per DRX group</w:t>
            </w:r>
            <w:r>
              <w:rPr>
                <w:rFonts w:ascii="Times New Roman" w:eastAsia="Times New Roman" w:hAnsi="Times New Roman"/>
                <w:sz w:val="18"/>
                <w:szCs w:val="18"/>
                <w:lang w:val="en-GB" w:eastAsia="zh-CN"/>
              </w:rPr>
              <w:t xml:space="preserve"> enables secondary DRX group to enter sleep sooner.</w:t>
            </w:r>
          </w:p>
        </w:tc>
      </w:tr>
      <w:tr w:rsidR="003F53FB" w:rsidRPr="00681827">
        <w:tc>
          <w:tcPr>
            <w:tcW w:w="1438" w:type="dxa"/>
            <w:vAlign w:val="center"/>
          </w:tcPr>
          <w:p w:rsidR="003F53FB" w:rsidRPr="003F53FB"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Pr="003F53FB" w:rsidRDefault="00BA7173"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3F53FB" w:rsidRDefault="00BA7173"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w:t>
            </w:r>
            <w:r w:rsidR="003F53FB">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F54F74"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that </w:t>
            </w:r>
            <w:r>
              <w:rPr>
                <w:rFonts w:ascii="Times New Roman" w:eastAsia="Times New Roman" w:hAnsi="Times New Roman"/>
                <w:i/>
                <w:iCs/>
                <w:sz w:val="18"/>
                <w:szCs w:val="18"/>
                <w:lang w:val="en-GB" w:eastAsia="zh-CN"/>
              </w:rPr>
              <w:t xml:space="preserve">drx-ShortCycleTimer </w:t>
            </w:r>
            <w:r>
              <w:rPr>
                <w:rFonts w:ascii="Times New Roman" w:eastAsia="Times New Roman" w:hAnsi="Times New Roman"/>
                <w:sz w:val="18"/>
                <w:szCs w:val="18"/>
                <w:lang w:val="en-GB" w:eastAsia="zh-CN"/>
              </w:rPr>
              <w:t>should be handled per DRX group for power saving.</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46656D">
        <w:tc>
          <w:tcPr>
            <w:tcW w:w="1438" w:type="dxa"/>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46656D" w:rsidRDefault="00603B2B"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Optimization of </w:t>
            </w:r>
            <w:r w:rsidR="0046656D">
              <w:rPr>
                <w:rFonts w:ascii="Times New Roman" w:eastAsia="Times New Roman" w:hAnsi="Times New Roman"/>
                <w:sz w:val="18"/>
                <w:szCs w:val="18"/>
                <w:lang w:val="en-GB" w:eastAsia="zh-CN"/>
              </w:rPr>
              <w:t xml:space="preserve">more dynamic control of DRX cycle can be </w:t>
            </w:r>
            <w:r>
              <w:rPr>
                <w:rFonts w:ascii="Times New Roman" w:eastAsia="Times New Roman" w:hAnsi="Times New Roman"/>
                <w:sz w:val="18"/>
                <w:szCs w:val="18"/>
                <w:lang w:val="en-GB" w:eastAsia="zh-CN"/>
              </w:rPr>
              <w:t>deferred</w:t>
            </w:r>
            <w:r w:rsidR="0046656D">
              <w:rPr>
                <w:rFonts w:ascii="Times New Roman" w:eastAsia="Times New Roman" w:hAnsi="Times New Roman"/>
                <w:sz w:val="18"/>
                <w:szCs w:val="18"/>
                <w:lang w:val="en-GB" w:eastAsia="zh-CN"/>
              </w:rPr>
              <w:t>, given the limited time left in Rel-16.</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D77E05"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D77E05" w:rsidRDefault="00DF7B55"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w:t>
            </w:r>
            <w:r w:rsidR="004E5C7C">
              <w:rPr>
                <w:rFonts w:ascii="Times New Roman" w:eastAsiaTheme="minorEastAsia" w:hAnsi="Times New Roman"/>
                <w:sz w:val="18"/>
                <w:szCs w:val="18"/>
                <w:lang w:val="en-GB" w:eastAsia="zh-CN"/>
              </w:rPr>
              <w:t xml:space="preserve">clear benefit with separate handling of DRX command. </w:t>
            </w:r>
            <w:r w:rsidR="00D77E05">
              <w:rPr>
                <w:rFonts w:ascii="Times New Roman" w:eastAsiaTheme="minorEastAsia" w:hAnsi="Times New Roman" w:hint="eastAsia"/>
                <w:sz w:val="18"/>
                <w:szCs w:val="18"/>
                <w:lang w:val="en-GB" w:eastAsia="zh-CN"/>
              </w:rPr>
              <w:t>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to keep this simple and not to have an option of forcing one group i.e. FR2 DRX group into Long DRX. Handling of drx-ShortCycleTimer per DRX group is in our view sufficient.</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r>
              <w:rPr>
                <w:rFonts w:ascii="Times New Roman" w:eastAsiaTheme="minorEastAsia" w:hAnsi="Times New Roman"/>
                <w:sz w:val="18"/>
                <w:szCs w:val="18"/>
                <w:lang w:val="en-GB" w:eastAsia="zh-CN"/>
              </w:rPr>
              <w:t>,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w:t>
            </w:r>
            <w:r w:rsidRPr="002D0636">
              <w:rPr>
                <w:rFonts w:ascii="Times New Roman" w:eastAsiaTheme="minorEastAsia" w:hAnsi="Times New Roman"/>
                <w:sz w:val="18"/>
                <w:szCs w:val="18"/>
                <w:lang w:val="en-GB" w:eastAsia="zh-CN"/>
              </w:rPr>
              <w:t>e don’t find it as useful in our NW. Short DRX is more useful based on our experience.</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Samsung.</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r w:rsidR="00182A2E">
        <w:tc>
          <w:tcPr>
            <w:tcW w:w="1438" w:type="dxa"/>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AllowedServingCells is mostly needed for URLLC services, in which meeting QoS requirements is of more importance. </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BA7173"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D77E05" w:rsidRDefault="00B07DE9"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to keep this simple for TEI16 and we think that the best option is A for this reason.</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simple and intuitive solution that allow easy optimization.</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C, agree with Ericsson that the </w:t>
            </w:r>
            <w:r>
              <w:rPr>
                <w:rFonts w:ascii="Times New Roman" w:eastAsia="Times New Roman" w:hAnsi="Times New Roman"/>
                <w:i/>
                <w:iCs/>
                <w:sz w:val="18"/>
                <w:szCs w:val="18"/>
                <w:lang w:val="en-GB" w:eastAsia="zh-CN"/>
              </w:rPr>
              <w:t xml:space="preserve">allowedServingCells </w:t>
            </w:r>
            <w:r>
              <w:rPr>
                <w:rFonts w:ascii="Times New Roman" w:eastAsia="Times New Roman" w:hAnsi="Times New Roman"/>
                <w:sz w:val="18"/>
                <w:szCs w:val="18"/>
                <w:lang w:val="en-GB" w:eastAsia="zh-CN"/>
              </w:rPr>
              <w:t>configuration and secondary DRX group are targeted for different scenario</w:t>
            </w:r>
            <w:r w:rsidR="002A3BE6">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w:t>
            </w:r>
          </w:p>
          <w:p w:rsidR="007C49A2"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is a trade-off between </w:t>
            </w:r>
            <w:r w:rsidRPr="001364CA">
              <w:rPr>
                <w:rFonts w:ascii="Times New Roman" w:eastAsia="Times New Roman" w:hAnsi="Times New Roman"/>
                <w:sz w:val="18"/>
                <w:szCs w:val="18"/>
                <w:lang w:val="en-GB" w:eastAsia="zh-CN"/>
              </w:rPr>
              <w:t xml:space="preserve">option </w:t>
            </w:r>
            <w:r>
              <w:rPr>
                <w:rFonts w:ascii="Times New Roman" w:eastAsia="Times New Roman" w:hAnsi="Times New Roman"/>
                <w:sz w:val="18"/>
                <w:szCs w:val="18"/>
                <w:lang w:val="en-GB" w:eastAsia="zh-CN"/>
              </w:rPr>
              <w:t xml:space="preserve">A and B regarding scheduling flexibility vs. </w:t>
            </w:r>
            <w:r w:rsidRPr="001364CA">
              <w:rPr>
                <w:rFonts w:ascii="Times New Roman" w:eastAsia="Times New Roman" w:hAnsi="Times New Roman"/>
                <w:sz w:val="18"/>
                <w:szCs w:val="18"/>
                <w:lang w:val="en-GB" w:eastAsia="zh-CN"/>
              </w:rPr>
              <w:t xml:space="preserve">power saving. </w:t>
            </w:r>
            <w:r>
              <w:rPr>
                <w:rFonts w:ascii="Times New Roman" w:eastAsia="Times New Roman" w:hAnsi="Times New Roman"/>
                <w:sz w:val="18"/>
                <w:szCs w:val="18"/>
                <w:lang w:val="en-GB" w:eastAsia="zh-CN"/>
              </w:rPr>
              <w:t xml:space="preserve">However </w:t>
            </w:r>
            <w:r w:rsidRPr="001364CA">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 xml:space="preserve">power saving </w:t>
            </w:r>
            <w:r w:rsidRPr="001364CA">
              <w:rPr>
                <w:rFonts w:ascii="Times New Roman" w:eastAsia="Times New Roman" w:hAnsi="Times New Roman"/>
                <w:sz w:val="18"/>
                <w:szCs w:val="18"/>
                <w:lang w:val="en-GB" w:eastAsia="zh-CN"/>
              </w:rPr>
              <w:t xml:space="preserve">gain </w:t>
            </w:r>
            <w:r>
              <w:rPr>
                <w:rFonts w:ascii="Times New Roman" w:eastAsia="Times New Roman" w:hAnsi="Times New Roman"/>
                <w:sz w:val="18"/>
                <w:szCs w:val="18"/>
                <w:lang w:val="en-GB" w:eastAsia="zh-CN"/>
              </w:rPr>
              <w:t xml:space="preserve">from Option B </w:t>
            </w:r>
            <w:r w:rsidRPr="001364CA">
              <w:rPr>
                <w:rFonts w:ascii="Times New Roman" w:eastAsia="Times New Roman" w:hAnsi="Times New Roman"/>
                <w:sz w:val="18"/>
                <w:szCs w:val="18"/>
                <w:lang w:val="en-GB" w:eastAsia="zh-CN"/>
              </w:rPr>
              <w:t xml:space="preserve">might not be that much since UE only needs to monitor PDCCH in both DRX groups when SR is pending. After UE receives one UL grant, UE only needs to monitor PDCCH in the DRX group sending UL grant. So there </w:t>
            </w:r>
            <w:r>
              <w:rPr>
                <w:rFonts w:ascii="Times New Roman" w:eastAsia="Times New Roman" w:hAnsi="Times New Roman"/>
                <w:sz w:val="18"/>
                <w:szCs w:val="18"/>
                <w:lang w:val="en-GB" w:eastAsia="zh-CN"/>
              </w:rPr>
              <w:t>are</w:t>
            </w:r>
            <w:r w:rsidRPr="001364CA">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at most a few</w:t>
            </w:r>
            <w:r w:rsidRPr="001364CA">
              <w:rPr>
                <w:rFonts w:ascii="Times New Roman" w:eastAsia="Times New Roman" w:hAnsi="Times New Roman"/>
                <w:sz w:val="18"/>
                <w:szCs w:val="18"/>
                <w:lang w:val="en-GB" w:eastAsia="zh-CN"/>
              </w:rPr>
              <w:t xml:space="preserve"> milliseconds of additional PDCCH monitoring </w:t>
            </w:r>
            <w:r>
              <w:rPr>
                <w:rFonts w:ascii="Times New Roman" w:eastAsia="Times New Roman" w:hAnsi="Times New Roman"/>
                <w:sz w:val="18"/>
                <w:szCs w:val="18"/>
                <w:lang w:val="en-GB" w:eastAsia="zh-CN"/>
              </w:rPr>
              <w:t xml:space="preserve">for Option </w:t>
            </w:r>
            <w:r w:rsidR="00E92529">
              <w:rPr>
                <w:rFonts w:ascii="Times New Roman" w:eastAsia="Times New Roman" w:hAnsi="Times New Roman"/>
                <w:sz w:val="18"/>
                <w:szCs w:val="18"/>
                <w:lang w:val="en-GB" w:eastAsia="zh-CN"/>
              </w:rPr>
              <w:t>A</w:t>
            </w:r>
            <w:r w:rsidRPr="001364CA">
              <w:rPr>
                <w:rFonts w:ascii="Times New Roman" w:eastAsia="Times New Roman" w:hAnsi="Times New Roman"/>
                <w:sz w:val="18"/>
                <w:szCs w:val="18"/>
                <w:lang w:val="en-GB" w:eastAsia="zh-CN"/>
              </w:rPr>
              <w:t xml:space="preserve">. </w:t>
            </w:r>
          </w:p>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 summary, Option A is preferred due to the simplicity and gNB scheduling flexibility.</w:t>
            </w:r>
          </w:p>
        </w:tc>
      </w:tr>
    </w:tbl>
    <w:p w:rsidR="00846897" w:rsidRPr="002D0636" w:rsidRDefault="00846897">
      <w:pPr>
        <w:rPr>
          <w:lang w:val="en-GB"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907D4B">
        <w:tc>
          <w:tcPr>
            <w:tcW w:w="1438" w:type="dxa"/>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07D4B" w:rsidRDefault="009B150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907D4B">
              <w:rPr>
                <w:rFonts w:ascii="Times New Roman" w:eastAsia="Times New Roman" w:hAnsi="Times New Roman"/>
                <w:sz w:val="18"/>
                <w:szCs w:val="18"/>
                <w:lang w:val="en-GB" w:eastAsia="zh-CN"/>
              </w:rPr>
              <w:t xml:space="preserve">he </w:t>
            </w:r>
            <w:r w:rsidR="00AE0E2B">
              <w:rPr>
                <w:rFonts w:ascii="Times New Roman" w:eastAsia="Times New Roman" w:hAnsi="Times New Roman"/>
                <w:sz w:val="18"/>
                <w:szCs w:val="18"/>
                <w:lang w:val="en-GB" w:eastAsia="zh-CN"/>
              </w:rPr>
              <w:t>potential</w:t>
            </w:r>
            <w:r w:rsidR="00907D4B">
              <w:rPr>
                <w:rFonts w:ascii="Times New Roman" w:eastAsia="Times New Roman" w:hAnsi="Times New Roman"/>
                <w:sz w:val="18"/>
                <w:szCs w:val="18"/>
                <w:lang w:val="en-GB" w:eastAsia="zh-CN"/>
              </w:rPr>
              <w:t xml:space="preserve"> power saving of </w:t>
            </w:r>
            <w:r>
              <w:rPr>
                <w:rFonts w:ascii="Times New Roman" w:eastAsia="Times New Roman" w:hAnsi="Times New Roman"/>
                <w:sz w:val="18"/>
                <w:szCs w:val="18"/>
                <w:lang w:val="en-GB" w:eastAsia="zh-CN"/>
              </w:rPr>
              <w:t>Option B</w:t>
            </w:r>
            <w:r w:rsidR="00907D4B">
              <w:rPr>
                <w:rFonts w:ascii="Times New Roman" w:eastAsia="Times New Roman" w:hAnsi="Times New Roman"/>
                <w:sz w:val="18"/>
                <w:szCs w:val="18"/>
                <w:lang w:val="en-GB" w:eastAsia="zh-CN"/>
              </w:rPr>
              <w:t xml:space="preserve"> seems marginal</w:t>
            </w:r>
            <w:r w:rsidR="00AE0E2B">
              <w:rPr>
                <w:rFonts w:ascii="Times New Roman" w:eastAsia="Times New Roman" w:hAnsi="Times New Roman"/>
                <w:sz w:val="18"/>
                <w:szCs w:val="18"/>
                <w:lang w:val="en-GB" w:eastAsia="zh-CN"/>
              </w:rPr>
              <w:t>.</w:t>
            </w:r>
          </w:p>
        </w:tc>
      </w:tr>
      <w:tr w:rsidR="009F4335">
        <w:tc>
          <w:tcPr>
            <w:tcW w:w="1438" w:type="dxa"/>
            <w:vAlign w:val="center"/>
          </w:tcPr>
          <w:p w:rsidR="009F4335" w:rsidRPr="00D77E05"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F4335" w:rsidRPr="00BA7173"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9F4335" w:rsidRDefault="009F4335" w:rsidP="009F43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option A in order to keep it simple (as we supported option A in the previous question) and  to avoid, in case UE has a large burst of data to send after msg2 is received, a delay until UE can use a cell in one of the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answers to previous questions.</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simple solution.</w:t>
            </w: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lastRenderedPageBreak/>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lastRenderedPageBreak/>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always configure an FR2 SCell with PUCCH</w:t>
            </w:r>
            <w:r>
              <w:rPr>
                <w:rFonts w:ascii="Times New Roman" w:eastAsia="Times New Roman" w:hAnsi="Times New Roman"/>
                <w:sz w:val="18"/>
                <w:szCs w:val="18"/>
                <w:lang w:val="en-GB" w:eastAsia="zh-CN"/>
              </w:rPr>
              <w:t>.</w:t>
            </w:r>
          </w:p>
        </w:tc>
      </w:tr>
      <w:tr w:rsidR="00B11A83">
        <w:tc>
          <w:tcPr>
            <w:tcW w:w="1438" w:type="dxa"/>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972"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7B3771">
        <w:tc>
          <w:tcPr>
            <w:tcW w:w="1438" w:type="dxa"/>
            <w:vAlign w:val="center"/>
          </w:tcPr>
          <w:p w:rsidR="007B3771" w:rsidRDefault="007B3771" w:rsidP="007B37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sidR="00C35F46">
              <w:rPr>
                <w:rFonts w:ascii="Times New Roman" w:eastAsiaTheme="minorEastAsia" w:hAnsi="Times New Roman"/>
                <w:sz w:val="18"/>
                <w:szCs w:val="18"/>
                <w:lang w:val="en-GB" w:eastAsia="zh-CN"/>
              </w:rPr>
              <w:t>uawei</w:t>
            </w:r>
          </w:p>
        </w:tc>
        <w:tc>
          <w:tcPr>
            <w:tcW w:w="972" w:type="dxa"/>
            <w:shd w:val="clear" w:color="auto" w:fill="auto"/>
            <w:vAlign w:val="center"/>
          </w:tcPr>
          <w:p w:rsidR="007B3771" w:rsidRPr="007A40C6"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7B3771" w:rsidRPr="0001602B"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drx-inactivityTimer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with Ericsson and Qualcomm comments.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FC1051"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DCP is configured, according to TS 38.214, CSI reporting outside Active Time is possible (i.e. during </w:t>
            </w:r>
            <w:r w:rsidRPr="00F427F9">
              <w:rPr>
                <w:rFonts w:ascii="Times New Roman" w:eastAsia="Times New Roman" w:hAnsi="Times New Roman"/>
                <w:i/>
                <w:iCs/>
                <w:sz w:val="18"/>
                <w:szCs w:val="18"/>
                <w:lang w:val="en-GB" w:eastAsia="zh-CN"/>
              </w:rPr>
              <w:t>onDurationTimer</w:t>
            </w:r>
            <w:r>
              <w:rPr>
                <w:rFonts w:ascii="Times New Roman" w:eastAsia="Times New Roman" w:hAnsi="Times New Roman"/>
                <w:sz w:val="18"/>
                <w:szCs w:val="18"/>
                <w:lang w:val="en-GB" w:eastAsia="zh-CN"/>
              </w:rPr>
              <w:t xml:space="preserve"> if DCP is not detected). In answer to Q1, we prefer that DCP and secondary DRX group are not configured jointly. With </w:t>
            </w:r>
            <w:r w:rsidR="00F427F9">
              <w:rPr>
                <w:rFonts w:ascii="Times New Roman" w:eastAsia="Times New Roman" w:hAnsi="Times New Roman"/>
                <w:sz w:val="18"/>
                <w:szCs w:val="18"/>
                <w:lang w:val="en-GB" w:eastAsia="zh-CN"/>
              </w:rPr>
              <w:t>this assumption</w:t>
            </w:r>
            <w:bookmarkStart w:id="148" w:name="_GoBack"/>
            <w:bookmarkEnd w:id="148"/>
            <w:r>
              <w:rPr>
                <w:rFonts w:ascii="Times New Roman" w:eastAsia="Times New Roman" w:hAnsi="Times New Roman"/>
                <w:sz w:val="18"/>
                <w:szCs w:val="18"/>
                <w:lang w:val="en-GB" w:eastAsia="zh-CN"/>
              </w:rPr>
              <w:t>, we prefer Option A, which follows legacy principle.</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4F1">
        <w:tc>
          <w:tcPr>
            <w:tcW w:w="1438" w:type="dxa"/>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972" w:type="dxa"/>
            <w:shd w:val="clear" w:color="auto" w:fill="auto"/>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6124F1" w:rsidRDefault="006124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106D4">
        <w:tc>
          <w:tcPr>
            <w:tcW w:w="1438" w:type="dxa"/>
            <w:vAlign w:val="center"/>
          </w:tcPr>
          <w:p w:rsidR="00B106D4" w:rsidRPr="00D77E05"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B106D4" w:rsidRPr="00BA7173"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B106D4" w:rsidRDefault="00B106D4" w:rsidP="00B106D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A2" w:rsidTr="00FC1051">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lastRenderedPageBreak/>
        <w:t>Summary</w:t>
      </w:r>
      <w:bookmarkEnd w:id="30"/>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A17878">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A17878">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A17878">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A17878">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A17878">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A17878">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A17878">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A17878">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A17878">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A17878">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A17878">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pStyle w:val="Heading1"/>
      </w:pPr>
      <w:r>
        <w:t>Overview of proposals in Secondary DRX contributions RAN2#109bis-e</w:t>
      </w:r>
    </w:p>
    <w:p w:rsidR="00846897" w:rsidRDefault="00A17878">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A17878">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lastRenderedPageBreak/>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A17878">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A17878">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A17878">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A17878">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846897" w:rsidRDefault="00A17878">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A17878">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878" w:rsidRDefault="00A17878">
      <w:r>
        <w:separator/>
      </w:r>
    </w:p>
  </w:endnote>
  <w:endnote w:type="continuationSeparator" w:id="0">
    <w:p w:rsidR="00A17878" w:rsidRDefault="00A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636" w:rsidRDefault="002D0636">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0636" w:rsidRPr="00302602" w:rsidRDefault="002D0636"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EE182C">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878" w:rsidRDefault="00A17878">
      <w:r>
        <w:separator/>
      </w:r>
    </w:p>
  </w:footnote>
  <w:footnote w:type="continuationSeparator" w:id="0">
    <w:p w:rsidR="00A17878" w:rsidRDefault="00A1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0C6262"/>
    <w:rsid w:val="00117882"/>
    <w:rsid w:val="00182A2E"/>
    <w:rsid w:val="002244BD"/>
    <w:rsid w:val="00234E5D"/>
    <w:rsid w:val="00240E28"/>
    <w:rsid w:val="002A3BE6"/>
    <w:rsid w:val="002D0636"/>
    <w:rsid w:val="002F5447"/>
    <w:rsid w:val="002F5F2C"/>
    <w:rsid w:val="00302602"/>
    <w:rsid w:val="00307A3A"/>
    <w:rsid w:val="00315830"/>
    <w:rsid w:val="003A5A34"/>
    <w:rsid w:val="003C554D"/>
    <w:rsid w:val="003F53FB"/>
    <w:rsid w:val="003F6112"/>
    <w:rsid w:val="00404F76"/>
    <w:rsid w:val="00454AF1"/>
    <w:rsid w:val="00464B03"/>
    <w:rsid w:val="0046656D"/>
    <w:rsid w:val="00497C09"/>
    <w:rsid w:val="004C1357"/>
    <w:rsid w:val="004E5C7C"/>
    <w:rsid w:val="0050653E"/>
    <w:rsid w:val="00551AB2"/>
    <w:rsid w:val="00595C42"/>
    <w:rsid w:val="005A78A7"/>
    <w:rsid w:val="005B3619"/>
    <w:rsid w:val="005F0566"/>
    <w:rsid w:val="005F1AD2"/>
    <w:rsid w:val="00603B2B"/>
    <w:rsid w:val="00604F8E"/>
    <w:rsid w:val="006124F1"/>
    <w:rsid w:val="00637F4D"/>
    <w:rsid w:val="0064190B"/>
    <w:rsid w:val="00642414"/>
    <w:rsid w:val="00656C56"/>
    <w:rsid w:val="00681827"/>
    <w:rsid w:val="00684431"/>
    <w:rsid w:val="00684D1F"/>
    <w:rsid w:val="007032F9"/>
    <w:rsid w:val="00753E40"/>
    <w:rsid w:val="007B3771"/>
    <w:rsid w:val="007C49A2"/>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A17878"/>
    <w:rsid w:val="00A40F48"/>
    <w:rsid w:val="00A42B27"/>
    <w:rsid w:val="00A577ED"/>
    <w:rsid w:val="00A74C90"/>
    <w:rsid w:val="00A75B8B"/>
    <w:rsid w:val="00A76449"/>
    <w:rsid w:val="00AB4975"/>
    <w:rsid w:val="00AE0E2B"/>
    <w:rsid w:val="00B07DE9"/>
    <w:rsid w:val="00B106D4"/>
    <w:rsid w:val="00B11A83"/>
    <w:rsid w:val="00B13B84"/>
    <w:rsid w:val="00B65265"/>
    <w:rsid w:val="00B95C1B"/>
    <w:rsid w:val="00BA7173"/>
    <w:rsid w:val="00BE1CCE"/>
    <w:rsid w:val="00C14070"/>
    <w:rsid w:val="00C35768"/>
    <w:rsid w:val="00C35F46"/>
    <w:rsid w:val="00C65089"/>
    <w:rsid w:val="00C91F30"/>
    <w:rsid w:val="00C93B43"/>
    <w:rsid w:val="00C9528A"/>
    <w:rsid w:val="00CC4F95"/>
    <w:rsid w:val="00D02FDF"/>
    <w:rsid w:val="00D41750"/>
    <w:rsid w:val="00D70FFA"/>
    <w:rsid w:val="00D77E05"/>
    <w:rsid w:val="00DE3F4E"/>
    <w:rsid w:val="00DF1FAE"/>
    <w:rsid w:val="00DF7B55"/>
    <w:rsid w:val="00E164F5"/>
    <w:rsid w:val="00E61E08"/>
    <w:rsid w:val="00E73039"/>
    <w:rsid w:val="00E92529"/>
    <w:rsid w:val="00EB1B45"/>
    <w:rsid w:val="00EC7BBB"/>
    <w:rsid w:val="00EE182C"/>
    <w:rsid w:val="00EF6BBE"/>
    <w:rsid w:val="00F427F9"/>
    <w:rsid w:val="00F80A1F"/>
    <w:rsid w:val="00F97226"/>
    <w:rsid w:val="00FC1051"/>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0AB5871D"/>
  <w15:docId w15:val="{72200334-E814-41FD-811C-3856DFA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7B8C-2FB7-4F29-9B94-23204AD2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9251</Words>
  <Characters>52736</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Zhang, Yujian</cp:lastModifiedBy>
  <cp:revision>16</cp:revision>
  <cp:lastPrinted>2009-10-21T14:47:00Z</cp:lastPrinted>
  <dcterms:created xsi:type="dcterms:W3CDTF">2020-05-17T05:34:00Z</dcterms:created>
  <dcterms:modified xsi:type="dcterms:W3CDTF">2020-05-17T13:51:00Z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ies>
</file>