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1A1C" w14:textId="5A4D7DC5" w:rsidR="00035AC7" w:rsidRDefault="00EA1768">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 w:val="32"/>
          <w:szCs w:val="32"/>
          <w:lang w:val="en-US" w:eastAsia="zh-CN"/>
        </w:rPr>
      </w:pPr>
      <w:r>
        <w:rPr>
          <w:rFonts w:ascii="Arial" w:eastAsia="Times New Roman" w:hAnsi="Arial" w:cs="Times New Roman"/>
          <w:b/>
          <w:szCs w:val="20"/>
          <w:lang w:val="en-US" w:eastAsia="zh-CN"/>
        </w:rPr>
        <w:t>3GPP TSG-RAN WG2 Meeting #125</w:t>
      </w:r>
      <w:r w:rsidR="004A698E">
        <w:rPr>
          <w:rFonts w:ascii="Arial" w:eastAsia="Times New Roman" w:hAnsi="Arial" w:cs="Times New Roman"/>
          <w:b/>
          <w:szCs w:val="20"/>
          <w:lang w:val="en-US" w:eastAsia="zh-CN"/>
        </w:rPr>
        <w:t>bis</w:t>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 w:val="32"/>
          <w:szCs w:val="32"/>
          <w:lang w:val="en-US" w:eastAsia="zh-CN"/>
        </w:rPr>
        <w:t>R2-240xxxx</w:t>
      </w:r>
    </w:p>
    <w:p w14:paraId="080459E6" w14:textId="49EBE227" w:rsidR="00035AC7" w:rsidRDefault="004A698E">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Cs w:val="20"/>
          <w:lang w:val="en-GB" w:eastAsia="zh-CN"/>
        </w:rPr>
      </w:pPr>
      <w:r>
        <w:rPr>
          <w:rFonts w:ascii="Arial" w:eastAsia="Times New Roman" w:hAnsi="Arial" w:cs="Times New Roman"/>
          <w:b/>
          <w:szCs w:val="20"/>
          <w:lang w:val="en-GB" w:eastAsia="zh-CN"/>
        </w:rPr>
        <w:t>Changsha</w:t>
      </w:r>
      <w:r w:rsidR="00EA1768">
        <w:rPr>
          <w:rFonts w:ascii="Arial" w:eastAsia="Times New Roman" w:hAnsi="Arial" w:cs="Times New Roman"/>
          <w:b/>
          <w:szCs w:val="20"/>
          <w:lang w:val="en-GB" w:eastAsia="zh-CN"/>
        </w:rPr>
        <w:t xml:space="preserve">, </w:t>
      </w:r>
      <w:r>
        <w:rPr>
          <w:rFonts w:ascii="Arial" w:eastAsia="Times New Roman" w:hAnsi="Arial" w:cs="Times New Roman"/>
          <w:b/>
          <w:szCs w:val="20"/>
          <w:lang w:val="en-GB" w:eastAsia="zh-CN"/>
        </w:rPr>
        <w:t>China</w:t>
      </w:r>
      <w:r w:rsidR="00EA1768">
        <w:rPr>
          <w:rFonts w:ascii="Arial" w:eastAsia="Times New Roman" w:hAnsi="Arial" w:cs="Times New Roman"/>
          <w:b/>
          <w:szCs w:val="20"/>
          <w:lang w:val="en-GB" w:eastAsia="zh-CN"/>
        </w:rPr>
        <w:t xml:space="preserve">, </w:t>
      </w:r>
      <w:r>
        <w:rPr>
          <w:rFonts w:ascii="Arial" w:eastAsia="Times New Roman" w:hAnsi="Arial" w:cs="Times New Roman"/>
          <w:b/>
          <w:szCs w:val="20"/>
          <w:lang w:val="en-GB" w:eastAsia="zh-CN"/>
        </w:rPr>
        <w:t>15</w:t>
      </w:r>
      <w:r w:rsidRPr="004A698E">
        <w:rPr>
          <w:rFonts w:ascii="Arial" w:eastAsia="Times New Roman" w:hAnsi="Arial" w:cs="Times New Roman"/>
          <w:b/>
          <w:szCs w:val="20"/>
          <w:vertAlign w:val="superscript"/>
          <w:lang w:val="en-GB" w:eastAsia="zh-CN"/>
        </w:rPr>
        <w:t>th</w:t>
      </w:r>
      <w:r w:rsidR="00EA1768">
        <w:rPr>
          <w:rFonts w:ascii="Arial" w:eastAsia="Times New Roman" w:hAnsi="Arial" w:cs="Times New Roman"/>
          <w:b/>
          <w:szCs w:val="20"/>
          <w:lang w:val="en-GB" w:eastAsia="zh-CN"/>
        </w:rPr>
        <w:t xml:space="preserve"> – </w:t>
      </w:r>
      <w:r>
        <w:rPr>
          <w:rFonts w:ascii="Arial" w:eastAsia="Times New Roman" w:hAnsi="Arial" w:cs="Times New Roman"/>
          <w:b/>
          <w:szCs w:val="20"/>
          <w:lang w:val="en-GB" w:eastAsia="zh-CN"/>
        </w:rPr>
        <w:t>19</w:t>
      </w:r>
      <w:r w:rsidRPr="004A698E">
        <w:rPr>
          <w:rFonts w:ascii="Arial" w:eastAsia="Times New Roman" w:hAnsi="Arial" w:cs="Times New Roman"/>
          <w:b/>
          <w:szCs w:val="20"/>
          <w:vertAlign w:val="superscript"/>
          <w:lang w:val="en-GB" w:eastAsia="zh-CN"/>
        </w:rPr>
        <w:t>th</w:t>
      </w:r>
      <w:r w:rsidR="00EA1768">
        <w:rPr>
          <w:rFonts w:ascii="Arial" w:eastAsia="Times New Roman" w:hAnsi="Arial" w:cs="Times New Roman"/>
          <w:b/>
          <w:szCs w:val="20"/>
          <w:lang w:val="en-GB" w:eastAsia="zh-CN"/>
        </w:rPr>
        <w:t xml:space="preserve"> </w:t>
      </w:r>
      <w:r>
        <w:rPr>
          <w:rFonts w:ascii="Arial" w:eastAsia="Times New Roman" w:hAnsi="Arial" w:cs="Times New Roman"/>
          <w:b/>
          <w:szCs w:val="20"/>
          <w:lang w:val="en-GB" w:eastAsia="zh-CN"/>
        </w:rPr>
        <w:t>April</w:t>
      </w:r>
      <w:r w:rsidR="00EA1768">
        <w:rPr>
          <w:rFonts w:ascii="Arial" w:eastAsia="Times New Roman" w:hAnsi="Arial" w:cs="Times New Roman"/>
          <w:b/>
          <w:szCs w:val="20"/>
          <w:lang w:val="en-GB" w:eastAsia="zh-CN"/>
        </w:rPr>
        <w:t xml:space="preserve"> 2024</w:t>
      </w:r>
    </w:p>
    <w:p w14:paraId="29F98919" w14:textId="77777777" w:rsidR="00035AC7" w:rsidRDefault="00035AC7">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Cs w:val="20"/>
          <w:lang w:val="en-GB" w:eastAsia="zh-CN"/>
        </w:rPr>
      </w:pPr>
    </w:p>
    <w:p w14:paraId="650D54ED" w14:textId="192B0213"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US" w:eastAsia="zh-CN"/>
        </w:rPr>
      </w:pPr>
      <w:r>
        <w:rPr>
          <w:rFonts w:ascii="Arial" w:eastAsia="Times New Roman" w:hAnsi="Arial" w:cs="Times New Roman"/>
          <w:b/>
          <w:sz w:val="22"/>
          <w:szCs w:val="22"/>
          <w:lang w:val="en-US" w:eastAsia="zh-CN"/>
        </w:rPr>
        <w:t>Agenda Item:</w:t>
      </w:r>
      <w:r>
        <w:rPr>
          <w:rFonts w:ascii="Arial" w:eastAsia="Times New Roman" w:hAnsi="Arial" w:cs="Times New Roman"/>
          <w:b/>
          <w:sz w:val="22"/>
          <w:szCs w:val="22"/>
          <w:lang w:val="en-US" w:eastAsia="zh-CN"/>
        </w:rPr>
        <w:tab/>
      </w:r>
      <w:proofErr w:type="spellStart"/>
      <w:r>
        <w:rPr>
          <w:rFonts w:ascii="Arial" w:eastAsia="Times New Roman" w:hAnsi="Arial" w:cs="Times New Roman"/>
          <w:b/>
          <w:sz w:val="22"/>
          <w:szCs w:val="22"/>
          <w:lang w:val="en-US" w:eastAsia="zh-CN"/>
        </w:rPr>
        <w:t>x.x.x</w:t>
      </w:r>
      <w:proofErr w:type="spellEnd"/>
    </w:p>
    <w:p w14:paraId="4B8007ED"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Source:</w:t>
      </w:r>
      <w:r>
        <w:rPr>
          <w:rFonts w:ascii="Arial" w:eastAsia="Times New Roman" w:hAnsi="Arial" w:cs="Times New Roman"/>
          <w:b/>
          <w:sz w:val="22"/>
          <w:szCs w:val="22"/>
          <w:lang w:val="en-GB" w:eastAsia="zh-CN"/>
        </w:rPr>
        <w:tab/>
        <w:t>Ericsson</w:t>
      </w:r>
    </w:p>
    <w:p w14:paraId="09BCE44B" w14:textId="7658CF43"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Title:</w:t>
      </w:r>
      <w:r>
        <w:rPr>
          <w:rFonts w:ascii="Arial" w:eastAsia="Times New Roman" w:hAnsi="Arial" w:cs="Times New Roman"/>
          <w:b/>
          <w:sz w:val="22"/>
          <w:szCs w:val="22"/>
          <w:lang w:val="en-GB" w:eastAsia="zh-CN"/>
        </w:rPr>
        <w:tab/>
        <w:t xml:space="preserve">Discussion on RILs conclusion </w:t>
      </w:r>
      <w:r w:rsidR="00B81D94">
        <w:rPr>
          <w:rFonts w:ascii="Arial" w:eastAsia="Times New Roman" w:hAnsi="Arial" w:cs="Times New Roman"/>
          <w:b/>
          <w:sz w:val="22"/>
          <w:szCs w:val="22"/>
          <w:lang w:val="en-GB" w:eastAsia="zh-CN"/>
        </w:rPr>
        <w:t>mobile IAB</w:t>
      </w:r>
    </w:p>
    <w:p w14:paraId="2E8ED8E1" w14:textId="77777777" w:rsidR="00035AC7" w:rsidRDefault="00EA1768">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Document for:</w:t>
      </w:r>
      <w:r>
        <w:rPr>
          <w:rFonts w:ascii="Arial" w:eastAsia="Times New Roman" w:hAnsi="Arial" w:cs="Times New Roman"/>
          <w:b/>
          <w:sz w:val="22"/>
          <w:szCs w:val="22"/>
          <w:lang w:val="en-GB" w:eastAsia="zh-CN"/>
        </w:rPr>
        <w:tab/>
        <w:t>Discussion, Decision</w:t>
      </w:r>
    </w:p>
    <w:p w14:paraId="3922FC17" w14:textId="77777777" w:rsidR="00035AC7" w:rsidRDefault="00035AC7">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0E2DDBB8" w14:textId="77777777" w:rsidR="00035AC7" w:rsidRDefault="00EA1768">
      <w:pPr>
        <w:keepNext/>
        <w:keepLines/>
        <w:pBdr>
          <w:top w:val="single" w:sz="12" w:space="3" w:color="auto"/>
        </w:pBdr>
        <w:overflowPunct w:val="0"/>
        <w:autoSpaceDE w:val="0"/>
        <w:autoSpaceDN w:val="0"/>
        <w:adjustRightInd w:val="0"/>
        <w:spacing w:before="240" w:after="180"/>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1052E1C3" w14:textId="159E51D4" w:rsidR="00035AC7" w:rsidRDefault="00EA1768">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 xml:space="preserve">In this contribution, a list of RILs for the </w:t>
      </w:r>
      <w:r w:rsidR="00B81D94">
        <w:rPr>
          <w:rFonts w:ascii="Arial" w:eastAsia="Times New Roman" w:hAnsi="Arial" w:cs="Times New Roman"/>
          <w:sz w:val="20"/>
          <w:szCs w:val="20"/>
          <w:lang w:val="en-GB" w:eastAsia="zh-CN"/>
        </w:rPr>
        <w:t>mobile IAB</w:t>
      </w:r>
      <w:r>
        <w:rPr>
          <w:rFonts w:ascii="Arial" w:eastAsia="Times New Roman" w:hAnsi="Arial" w:cs="Times New Roman"/>
          <w:sz w:val="20"/>
          <w:szCs w:val="20"/>
          <w:lang w:val="en-GB" w:eastAsia="zh-CN"/>
        </w:rPr>
        <w:t xml:space="preserve"> work item with relating conclusion and comment is provided.</w:t>
      </w:r>
    </w:p>
    <w:p w14:paraId="56ABA6FE" w14:textId="77777777" w:rsidR="00035AC7" w:rsidRDefault="00EA1768">
      <w:pPr>
        <w:pStyle w:val="Heading1"/>
      </w:pPr>
      <w:bookmarkStart w:id="0" w:name="_Ref178064866"/>
      <w:r>
        <w:t>2</w:t>
      </w:r>
      <w:r>
        <w:tab/>
        <w:t>Discussion</w:t>
      </w:r>
      <w:bookmarkEnd w:id="0"/>
    </w:p>
    <w:tbl>
      <w:tblPr>
        <w:tblStyle w:val="TableGrid"/>
        <w:tblW w:w="15877" w:type="dxa"/>
        <w:tblInd w:w="-998" w:type="dxa"/>
        <w:tblLayout w:type="fixed"/>
        <w:tblLook w:val="04A0" w:firstRow="1" w:lastRow="0" w:firstColumn="1" w:lastColumn="0" w:noHBand="0" w:noVBand="1"/>
      </w:tblPr>
      <w:tblGrid>
        <w:gridCol w:w="762"/>
        <w:gridCol w:w="1365"/>
        <w:gridCol w:w="851"/>
        <w:gridCol w:w="992"/>
        <w:gridCol w:w="1134"/>
        <w:gridCol w:w="1843"/>
        <w:gridCol w:w="1701"/>
        <w:gridCol w:w="1417"/>
        <w:gridCol w:w="2268"/>
        <w:gridCol w:w="3544"/>
      </w:tblGrid>
      <w:tr w:rsidR="00B81D94" w:rsidRPr="00B81D94" w14:paraId="3495D05F" w14:textId="77777777" w:rsidTr="00B81D94">
        <w:trPr>
          <w:trHeight w:val="340"/>
        </w:trPr>
        <w:tc>
          <w:tcPr>
            <w:tcW w:w="762" w:type="dxa"/>
            <w:hideMark/>
          </w:tcPr>
          <w:p w14:paraId="19543D25" w14:textId="77777777" w:rsidR="00B81D94" w:rsidRPr="00B81D94" w:rsidRDefault="00B81D94" w:rsidP="00B81D94">
            <w:pPr>
              <w:jc w:val="center"/>
              <w:rPr>
                <w:rFonts w:ascii="Calibri" w:hAnsi="Calibri" w:cs="Calibri"/>
                <w:b/>
                <w:bCs/>
                <w:sz w:val="18"/>
                <w:szCs w:val="18"/>
                <w:lang w:val="en-FI" w:eastAsia="ja-JP"/>
              </w:rPr>
            </w:pPr>
            <w:r w:rsidRPr="00B81D94">
              <w:rPr>
                <w:rFonts w:ascii="Calibri" w:hAnsi="Calibri" w:cs="Calibri"/>
                <w:b/>
                <w:bCs/>
                <w:sz w:val="18"/>
                <w:szCs w:val="18"/>
                <w:lang w:eastAsia="ja-JP"/>
              </w:rPr>
              <w:t>ID</w:t>
            </w:r>
          </w:p>
        </w:tc>
        <w:tc>
          <w:tcPr>
            <w:tcW w:w="1365" w:type="dxa"/>
            <w:hideMark/>
          </w:tcPr>
          <w:p w14:paraId="4FBA782D" w14:textId="77777777" w:rsidR="00B81D94" w:rsidRPr="00B81D94" w:rsidRDefault="00B81D94" w:rsidP="00B81D94">
            <w:pPr>
              <w:jc w:val="center"/>
              <w:rPr>
                <w:rFonts w:ascii="Calibri" w:hAnsi="Calibri" w:cs="Calibri"/>
                <w:b/>
                <w:bCs/>
                <w:sz w:val="18"/>
                <w:szCs w:val="18"/>
                <w:lang w:eastAsia="ja-JP"/>
              </w:rPr>
            </w:pPr>
            <w:r w:rsidRPr="00B81D94">
              <w:rPr>
                <w:rFonts w:ascii="Calibri" w:hAnsi="Calibri" w:cs="Calibri"/>
                <w:b/>
                <w:bCs/>
                <w:sz w:val="18"/>
                <w:szCs w:val="18"/>
                <w:lang w:eastAsia="ja-JP"/>
              </w:rPr>
              <w:t>Delegate</w:t>
            </w:r>
          </w:p>
        </w:tc>
        <w:tc>
          <w:tcPr>
            <w:tcW w:w="851" w:type="dxa"/>
            <w:hideMark/>
          </w:tcPr>
          <w:p w14:paraId="3FA14659" w14:textId="77777777" w:rsidR="00B81D94" w:rsidRPr="00B81D94" w:rsidRDefault="00B81D94" w:rsidP="00B81D94">
            <w:pPr>
              <w:jc w:val="center"/>
              <w:rPr>
                <w:rFonts w:ascii="Calibri" w:hAnsi="Calibri" w:cs="Calibri"/>
                <w:b/>
                <w:bCs/>
                <w:sz w:val="18"/>
                <w:szCs w:val="18"/>
                <w:lang w:eastAsia="ja-JP"/>
              </w:rPr>
            </w:pPr>
            <w:r w:rsidRPr="00B81D94">
              <w:rPr>
                <w:rFonts w:ascii="Calibri" w:hAnsi="Calibri" w:cs="Calibri"/>
                <w:b/>
                <w:bCs/>
                <w:sz w:val="18"/>
                <w:szCs w:val="18"/>
                <w:lang w:eastAsia="ja-JP"/>
              </w:rPr>
              <w:t>Work Item</w:t>
            </w:r>
          </w:p>
        </w:tc>
        <w:tc>
          <w:tcPr>
            <w:tcW w:w="992" w:type="dxa"/>
            <w:hideMark/>
          </w:tcPr>
          <w:p w14:paraId="291494E2" w14:textId="77777777" w:rsidR="00B81D94" w:rsidRPr="00B81D94" w:rsidRDefault="00B81D94" w:rsidP="00B81D94">
            <w:pPr>
              <w:jc w:val="center"/>
              <w:rPr>
                <w:rFonts w:ascii="Calibri" w:hAnsi="Calibri" w:cs="Calibri"/>
                <w:b/>
                <w:bCs/>
                <w:sz w:val="18"/>
                <w:szCs w:val="18"/>
                <w:lang w:eastAsia="ja-JP"/>
              </w:rPr>
            </w:pPr>
            <w:r w:rsidRPr="00B81D94">
              <w:rPr>
                <w:rFonts w:ascii="Calibri" w:hAnsi="Calibri" w:cs="Calibri"/>
                <w:b/>
                <w:bCs/>
                <w:sz w:val="18"/>
                <w:szCs w:val="18"/>
                <w:lang w:eastAsia="ja-JP"/>
              </w:rPr>
              <w:t>Class</w:t>
            </w:r>
          </w:p>
        </w:tc>
        <w:tc>
          <w:tcPr>
            <w:tcW w:w="1134" w:type="dxa"/>
            <w:shd w:val="clear" w:color="auto" w:fill="E2EFD9" w:themeFill="accent6" w:themeFillTint="33"/>
            <w:hideMark/>
          </w:tcPr>
          <w:p w14:paraId="1473D952" w14:textId="77777777" w:rsidR="00B81D94" w:rsidRPr="00B81D94" w:rsidRDefault="00B81D94" w:rsidP="00B81D94">
            <w:pPr>
              <w:jc w:val="center"/>
              <w:rPr>
                <w:rFonts w:ascii="Calibri" w:hAnsi="Calibri" w:cs="Calibri"/>
                <w:b/>
                <w:bCs/>
                <w:sz w:val="18"/>
                <w:szCs w:val="18"/>
                <w:lang w:eastAsia="ja-JP"/>
              </w:rPr>
            </w:pPr>
            <w:r w:rsidRPr="00B81D94">
              <w:rPr>
                <w:rFonts w:ascii="Calibri" w:hAnsi="Calibri" w:cs="Calibri"/>
                <w:b/>
                <w:bCs/>
                <w:sz w:val="18"/>
                <w:szCs w:val="18"/>
                <w:lang w:eastAsia="ja-JP"/>
              </w:rPr>
              <w:t>Propose Conclusion</w:t>
            </w:r>
          </w:p>
        </w:tc>
        <w:tc>
          <w:tcPr>
            <w:tcW w:w="1843" w:type="dxa"/>
            <w:hideMark/>
          </w:tcPr>
          <w:p w14:paraId="3B64D2DD" w14:textId="77777777" w:rsidR="00B81D94" w:rsidRPr="00B81D94" w:rsidRDefault="00B81D94" w:rsidP="00B81D94">
            <w:pPr>
              <w:jc w:val="center"/>
              <w:rPr>
                <w:rFonts w:ascii="Calibri" w:hAnsi="Calibri" w:cs="Calibri"/>
                <w:b/>
                <w:bCs/>
                <w:sz w:val="18"/>
                <w:szCs w:val="18"/>
                <w:lang w:eastAsia="ja-JP"/>
              </w:rPr>
            </w:pPr>
            <w:r w:rsidRPr="00B81D94">
              <w:rPr>
                <w:rFonts w:ascii="Calibri" w:hAnsi="Calibri" w:cs="Calibri"/>
                <w:b/>
                <w:bCs/>
                <w:sz w:val="18"/>
                <w:szCs w:val="18"/>
                <w:lang w:eastAsia="ja-JP"/>
              </w:rPr>
              <w:t>Comment to Proposed Conclusion</w:t>
            </w:r>
          </w:p>
        </w:tc>
        <w:tc>
          <w:tcPr>
            <w:tcW w:w="1701" w:type="dxa"/>
            <w:hideMark/>
          </w:tcPr>
          <w:p w14:paraId="25FA4B58" w14:textId="77777777" w:rsidR="00B81D94" w:rsidRPr="00B81D94" w:rsidRDefault="00B81D94" w:rsidP="00B81D94">
            <w:pPr>
              <w:jc w:val="center"/>
              <w:rPr>
                <w:rFonts w:ascii="Calibri" w:hAnsi="Calibri" w:cs="Calibri"/>
                <w:b/>
                <w:bCs/>
                <w:sz w:val="18"/>
                <w:szCs w:val="18"/>
                <w:lang w:eastAsia="ja-JP"/>
              </w:rPr>
            </w:pPr>
            <w:r w:rsidRPr="00B81D94">
              <w:rPr>
                <w:rFonts w:ascii="Calibri" w:hAnsi="Calibri" w:cs="Calibri"/>
                <w:b/>
                <w:bCs/>
                <w:sz w:val="18"/>
                <w:szCs w:val="18"/>
                <w:lang w:eastAsia="ja-JP"/>
              </w:rPr>
              <w:t>RIL source leader (who should provide the tdoc)</w:t>
            </w:r>
          </w:p>
        </w:tc>
        <w:tc>
          <w:tcPr>
            <w:tcW w:w="1417" w:type="dxa"/>
            <w:hideMark/>
          </w:tcPr>
          <w:p w14:paraId="5BD8F88D" w14:textId="77777777" w:rsidR="00B81D94" w:rsidRPr="00B81D94" w:rsidRDefault="00B81D94" w:rsidP="00B81D94">
            <w:pPr>
              <w:jc w:val="center"/>
              <w:rPr>
                <w:rFonts w:ascii="Calibri" w:hAnsi="Calibri" w:cs="Calibri"/>
                <w:b/>
                <w:bCs/>
                <w:sz w:val="18"/>
                <w:szCs w:val="18"/>
                <w:lang w:eastAsia="ja-JP"/>
              </w:rPr>
            </w:pPr>
            <w:r w:rsidRPr="00B81D94">
              <w:rPr>
                <w:rFonts w:ascii="Calibri" w:hAnsi="Calibri" w:cs="Calibri"/>
                <w:b/>
                <w:bCs/>
                <w:sz w:val="18"/>
                <w:szCs w:val="18"/>
                <w:lang w:eastAsia="ja-JP"/>
              </w:rPr>
              <w:t>Description</w:t>
            </w:r>
          </w:p>
        </w:tc>
        <w:tc>
          <w:tcPr>
            <w:tcW w:w="2268" w:type="dxa"/>
            <w:hideMark/>
          </w:tcPr>
          <w:p w14:paraId="2DC40F2B" w14:textId="77777777" w:rsidR="00B81D94" w:rsidRPr="00B81D94" w:rsidRDefault="00B81D94" w:rsidP="00B81D94">
            <w:pPr>
              <w:jc w:val="center"/>
              <w:rPr>
                <w:rFonts w:ascii="Calibri" w:hAnsi="Calibri" w:cs="Calibri"/>
                <w:b/>
                <w:bCs/>
                <w:sz w:val="18"/>
                <w:szCs w:val="18"/>
                <w:lang w:eastAsia="ja-JP"/>
              </w:rPr>
            </w:pPr>
            <w:r w:rsidRPr="00B81D94">
              <w:rPr>
                <w:rFonts w:ascii="Calibri" w:hAnsi="Calibri" w:cs="Calibri"/>
                <w:b/>
                <w:bCs/>
                <w:sz w:val="18"/>
                <w:szCs w:val="18"/>
                <w:lang w:eastAsia="ja-JP"/>
              </w:rPr>
              <w:t>Proposed Change</w:t>
            </w:r>
          </w:p>
        </w:tc>
        <w:tc>
          <w:tcPr>
            <w:tcW w:w="3544" w:type="dxa"/>
            <w:hideMark/>
          </w:tcPr>
          <w:p w14:paraId="0D25A620" w14:textId="77777777" w:rsidR="00B81D94" w:rsidRPr="001D15F2" w:rsidRDefault="00B81D94" w:rsidP="00B81D94">
            <w:pPr>
              <w:overflowPunct w:val="0"/>
              <w:autoSpaceDE w:val="0"/>
              <w:autoSpaceDN w:val="0"/>
              <w:adjustRightInd w:val="0"/>
              <w:spacing w:after="120"/>
              <w:jc w:val="center"/>
              <w:textAlignment w:val="baseline"/>
              <w:rPr>
                <w:rFonts w:ascii="Arial" w:eastAsia="Times New Roman" w:hAnsi="Arial" w:cs="Times New Roman"/>
                <w:b/>
                <w:bCs/>
                <w:sz w:val="18"/>
                <w:szCs w:val="18"/>
                <w:lang w:eastAsia="zh-CN"/>
              </w:rPr>
            </w:pPr>
            <w:r w:rsidRPr="001D15F2">
              <w:rPr>
                <w:rFonts w:ascii="Arial" w:eastAsia="Times New Roman" w:hAnsi="Arial" w:cs="Times New Roman"/>
                <w:b/>
                <w:bCs/>
                <w:sz w:val="18"/>
                <w:szCs w:val="18"/>
                <w:lang w:eastAsia="zh-CN"/>
              </w:rPr>
              <w:t>Comments</w:t>
            </w:r>
          </w:p>
          <w:p w14:paraId="5586A535" w14:textId="7862C54E" w:rsidR="00B81D94" w:rsidRPr="00B81D94" w:rsidRDefault="00B81D94" w:rsidP="00B81D94">
            <w:pPr>
              <w:jc w:val="center"/>
              <w:rPr>
                <w:rFonts w:ascii="Calibri" w:hAnsi="Calibri" w:cs="Calibri"/>
                <w:b/>
                <w:bCs/>
                <w:sz w:val="18"/>
                <w:szCs w:val="18"/>
                <w:lang w:eastAsia="ja-JP"/>
              </w:rPr>
            </w:pPr>
            <w:r w:rsidRPr="001D15F2">
              <w:rPr>
                <w:rFonts w:ascii="Arial" w:eastAsia="Times New Roman" w:hAnsi="Arial" w:cs="Times New Roman"/>
                <w:b/>
                <w:bCs/>
                <w:sz w:val="18"/>
                <w:szCs w:val="18"/>
                <w:lang w:val="fi-FI" w:eastAsia="zh-CN"/>
              </w:rPr>
              <w:t>(</w:t>
            </w:r>
            <w:proofErr w:type="spellStart"/>
            <w:r w:rsidRPr="001D15F2">
              <w:rPr>
                <w:rFonts w:ascii="Arial" w:eastAsia="Times New Roman" w:hAnsi="Arial" w:cs="Times New Roman"/>
                <w:b/>
                <w:bCs/>
                <w:sz w:val="18"/>
                <w:szCs w:val="18"/>
                <w:lang w:val="fi-FI" w:eastAsia="zh-CN"/>
              </w:rPr>
              <w:t>Example</w:t>
            </w:r>
            <w:proofErr w:type="spellEnd"/>
            <w:r w:rsidRPr="001D15F2">
              <w:rPr>
                <w:rFonts w:ascii="Arial" w:eastAsia="Times New Roman" w:hAnsi="Arial" w:cs="Times New Roman"/>
                <w:b/>
                <w:bCs/>
                <w:sz w:val="18"/>
                <w:szCs w:val="18"/>
                <w:lang w:val="fi-FI" w:eastAsia="zh-CN"/>
              </w:rPr>
              <w:t xml:space="preserve"> </w:t>
            </w:r>
            <w:r w:rsidRPr="001D15F2">
              <w:rPr>
                <w:rFonts w:ascii="Arial" w:eastAsia="Times New Roman" w:hAnsi="Arial" w:cs="Times New Roman"/>
                <w:b/>
                <w:bCs/>
                <w:sz w:val="18"/>
                <w:szCs w:val="18"/>
                <w:lang w:val="fi-FI" w:eastAsia="zh-CN"/>
              </w:rPr>
              <w:sym w:font="Wingdings" w:char="F0E0"/>
            </w:r>
            <w:r w:rsidRPr="001D15F2">
              <w:rPr>
                <w:rFonts w:ascii="Arial" w:eastAsia="Times New Roman" w:hAnsi="Arial" w:cs="Times New Roman"/>
                <w:b/>
                <w:bCs/>
                <w:sz w:val="18"/>
                <w:szCs w:val="18"/>
                <w:lang w:val="fi-FI" w:eastAsia="zh-CN"/>
              </w:rPr>
              <w:t xml:space="preserve"> [Ericsson-Tony] </w:t>
            </w:r>
            <w:proofErr w:type="spellStart"/>
            <w:r w:rsidRPr="001D15F2">
              <w:rPr>
                <w:rFonts w:ascii="Arial" w:eastAsia="Times New Roman" w:hAnsi="Arial" w:cs="Times New Roman"/>
                <w:b/>
                <w:bCs/>
                <w:sz w:val="18"/>
                <w:szCs w:val="18"/>
                <w:lang w:val="fi-FI" w:eastAsia="zh-CN"/>
              </w:rPr>
              <w:t>bla</w:t>
            </w:r>
            <w:proofErr w:type="spellEnd"/>
            <w:r w:rsidRPr="001D15F2">
              <w:rPr>
                <w:rFonts w:ascii="Arial" w:eastAsia="Times New Roman" w:hAnsi="Arial" w:cs="Times New Roman"/>
                <w:b/>
                <w:bCs/>
                <w:sz w:val="18"/>
                <w:szCs w:val="18"/>
                <w:lang w:val="fi-FI" w:eastAsia="zh-CN"/>
              </w:rPr>
              <w:t xml:space="preserve"> </w:t>
            </w:r>
            <w:proofErr w:type="spellStart"/>
            <w:r w:rsidRPr="001D15F2">
              <w:rPr>
                <w:rFonts w:ascii="Arial" w:eastAsia="Times New Roman" w:hAnsi="Arial" w:cs="Times New Roman"/>
                <w:b/>
                <w:bCs/>
                <w:sz w:val="18"/>
                <w:szCs w:val="18"/>
                <w:lang w:val="fi-FI" w:eastAsia="zh-CN"/>
              </w:rPr>
              <w:t>bla</w:t>
            </w:r>
            <w:proofErr w:type="spellEnd"/>
            <w:r w:rsidRPr="001D15F2">
              <w:rPr>
                <w:rFonts w:ascii="Arial" w:eastAsia="Times New Roman" w:hAnsi="Arial" w:cs="Times New Roman"/>
                <w:b/>
                <w:bCs/>
                <w:sz w:val="18"/>
                <w:szCs w:val="18"/>
                <w:lang w:val="fi-FI" w:eastAsia="zh-CN"/>
              </w:rPr>
              <w:t>)</w:t>
            </w:r>
          </w:p>
        </w:tc>
      </w:tr>
      <w:tr w:rsidR="00B81D94" w:rsidRPr="00B81D94" w14:paraId="7842CD6C" w14:textId="77777777" w:rsidTr="00B81D94">
        <w:trPr>
          <w:trHeight w:val="3400"/>
        </w:trPr>
        <w:tc>
          <w:tcPr>
            <w:tcW w:w="762" w:type="dxa"/>
            <w:hideMark/>
          </w:tcPr>
          <w:p w14:paraId="72678F92" w14:textId="77777777" w:rsidR="00B81D94" w:rsidRPr="00B81D94" w:rsidRDefault="00B81D94">
            <w:pPr>
              <w:rPr>
                <w:rFonts w:ascii="Calibri" w:hAnsi="Calibri" w:cs="Calibri"/>
                <w:sz w:val="18"/>
                <w:szCs w:val="18"/>
                <w:lang w:eastAsia="ja-JP"/>
              </w:rPr>
            </w:pPr>
            <w:r w:rsidRPr="00B81D94">
              <w:rPr>
                <w:rFonts w:ascii="Calibri" w:hAnsi="Calibri" w:cs="Calibri"/>
                <w:sz w:val="18"/>
                <w:szCs w:val="18"/>
                <w:lang w:eastAsia="ja-JP"/>
              </w:rPr>
              <w:lastRenderedPageBreak/>
              <w:t>H112</w:t>
            </w:r>
          </w:p>
        </w:tc>
        <w:tc>
          <w:tcPr>
            <w:tcW w:w="1365" w:type="dxa"/>
            <w:hideMark/>
          </w:tcPr>
          <w:p w14:paraId="09FBC3B0" w14:textId="77777777" w:rsidR="00B81D94" w:rsidRPr="00B81D94" w:rsidRDefault="00B81D94">
            <w:pPr>
              <w:rPr>
                <w:rFonts w:ascii="Calibri" w:hAnsi="Calibri" w:cs="Calibri"/>
                <w:sz w:val="18"/>
                <w:szCs w:val="18"/>
                <w:lang w:eastAsia="ja-JP"/>
              </w:rPr>
            </w:pPr>
            <w:r w:rsidRPr="00B81D94">
              <w:rPr>
                <w:rFonts w:ascii="Calibri" w:hAnsi="Calibri" w:cs="Calibri"/>
                <w:sz w:val="18"/>
                <w:szCs w:val="18"/>
                <w:lang w:eastAsia="ja-JP"/>
              </w:rPr>
              <w:t>Huawei (Yulong)</w:t>
            </w:r>
          </w:p>
        </w:tc>
        <w:tc>
          <w:tcPr>
            <w:tcW w:w="851" w:type="dxa"/>
            <w:hideMark/>
          </w:tcPr>
          <w:p w14:paraId="1A8EDCEE" w14:textId="77777777" w:rsidR="00B81D94" w:rsidRPr="00B81D94" w:rsidRDefault="00B81D94" w:rsidP="00B81D94">
            <w:pPr>
              <w:rPr>
                <w:rFonts w:ascii="Calibri" w:hAnsi="Calibri" w:cs="Calibri"/>
                <w:sz w:val="18"/>
                <w:szCs w:val="18"/>
                <w:lang w:eastAsia="ja-JP"/>
              </w:rPr>
            </w:pPr>
            <w:r w:rsidRPr="00B81D94">
              <w:rPr>
                <w:rFonts w:ascii="Calibri" w:hAnsi="Calibri" w:cs="Calibri"/>
                <w:sz w:val="18"/>
                <w:szCs w:val="18"/>
                <w:lang w:eastAsia="ja-JP"/>
              </w:rPr>
              <w:t>IAB</w:t>
            </w:r>
          </w:p>
        </w:tc>
        <w:tc>
          <w:tcPr>
            <w:tcW w:w="992" w:type="dxa"/>
            <w:hideMark/>
          </w:tcPr>
          <w:p w14:paraId="75BE4D75" w14:textId="77777777" w:rsidR="00B81D94" w:rsidRPr="00B81D94" w:rsidRDefault="00B81D94" w:rsidP="00B81D94">
            <w:pPr>
              <w:rPr>
                <w:rFonts w:ascii="Calibri" w:hAnsi="Calibri" w:cs="Calibri"/>
                <w:sz w:val="18"/>
                <w:szCs w:val="18"/>
                <w:lang w:eastAsia="ja-JP"/>
              </w:rPr>
            </w:pPr>
            <w:r w:rsidRPr="00B81D94">
              <w:rPr>
                <w:rFonts w:ascii="Calibri" w:hAnsi="Calibri" w:cs="Calibri"/>
                <w:sz w:val="18"/>
                <w:szCs w:val="18"/>
                <w:lang w:eastAsia="ja-JP"/>
              </w:rPr>
              <w:t>1</w:t>
            </w:r>
          </w:p>
        </w:tc>
        <w:tc>
          <w:tcPr>
            <w:tcW w:w="1134" w:type="dxa"/>
            <w:shd w:val="clear" w:color="auto" w:fill="E2EFD9" w:themeFill="accent6" w:themeFillTint="33"/>
            <w:hideMark/>
          </w:tcPr>
          <w:p w14:paraId="187DC6B1" w14:textId="77777777" w:rsidR="00B81D94" w:rsidRPr="00B81D94" w:rsidRDefault="00B81D94" w:rsidP="00B81D94">
            <w:pPr>
              <w:rPr>
                <w:rFonts w:ascii="Calibri" w:hAnsi="Calibri" w:cs="Calibri"/>
                <w:sz w:val="18"/>
                <w:szCs w:val="18"/>
                <w:lang w:eastAsia="ja-JP"/>
              </w:rPr>
            </w:pPr>
            <w:r w:rsidRPr="00B81D94">
              <w:rPr>
                <w:rFonts w:ascii="Calibri" w:hAnsi="Calibri" w:cs="Calibri"/>
                <w:sz w:val="18"/>
                <w:szCs w:val="18"/>
                <w:lang w:eastAsia="ja-JP"/>
              </w:rPr>
              <w:t>PropReject</w:t>
            </w:r>
          </w:p>
        </w:tc>
        <w:tc>
          <w:tcPr>
            <w:tcW w:w="1843" w:type="dxa"/>
            <w:hideMark/>
          </w:tcPr>
          <w:p w14:paraId="2C3C2FDF" w14:textId="77777777" w:rsidR="00B81D94" w:rsidRPr="00B81D94" w:rsidRDefault="00B81D94" w:rsidP="00B81D94">
            <w:pPr>
              <w:rPr>
                <w:rFonts w:ascii="Calibri" w:hAnsi="Calibri" w:cs="Calibri"/>
                <w:sz w:val="18"/>
                <w:szCs w:val="18"/>
                <w:lang w:eastAsia="ja-JP"/>
              </w:rPr>
            </w:pPr>
            <w:r w:rsidRPr="00B81D94">
              <w:rPr>
                <w:rFonts w:ascii="Calibri" w:hAnsi="Calibri" w:cs="Calibri"/>
                <w:sz w:val="18"/>
                <w:szCs w:val="18"/>
                <w:lang w:eastAsia="ja-JP"/>
              </w:rPr>
              <w:t>[Ericsson-Tony] I am a bit skeptical to provide this field as mandatory. This is because in case new N_TA values are introduce then we have an issue with this field as mandatory. I prefer to keep this optional and network anyway would need to include this because otherwise the whole RACH-less IE would be useless. However, this is something that need to be discussed within AI 7.0.3 for the generalization of RACH-less.</w:t>
            </w:r>
          </w:p>
        </w:tc>
        <w:tc>
          <w:tcPr>
            <w:tcW w:w="1701" w:type="dxa"/>
            <w:hideMark/>
          </w:tcPr>
          <w:p w14:paraId="1C054100" w14:textId="77777777" w:rsidR="00B81D94" w:rsidRPr="00B81D94" w:rsidRDefault="00B81D94" w:rsidP="00B81D94">
            <w:pPr>
              <w:rPr>
                <w:rFonts w:ascii="Calibri" w:hAnsi="Calibri" w:cs="Calibri"/>
                <w:sz w:val="18"/>
                <w:szCs w:val="18"/>
                <w:lang w:eastAsia="ja-JP"/>
              </w:rPr>
            </w:pPr>
            <w:r w:rsidRPr="00B81D94">
              <w:rPr>
                <w:rFonts w:ascii="Calibri" w:hAnsi="Calibri" w:cs="Calibri"/>
                <w:sz w:val="18"/>
                <w:szCs w:val="18"/>
                <w:lang w:eastAsia="ja-JP"/>
              </w:rPr>
              <w:t> </w:t>
            </w:r>
          </w:p>
        </w:tc>
        <w:tc>
          <w:tcPr>
            <w:tcW w:w="1417" w:type="dxa"/>
            <w:hideMark/>
          </w:tcPr>
          <w:p w14:paraId="33A45063" w14:textId="77777777" w:rsidR="00B81D94" w:rsidRPr="00B81D94" w:rsidRDefault="00B81D94">
            <w:pPr>
              <w:rPr>
                <w:rFonts w:ascii="Calibri" w:hAnsi="Calibri" w:cs="Calibri"/>
                <w:sz w:val="18"/>
                <w:szCs w:val="18"/>
                <w:lang w:eastAsia="ja-JP"/>
              </w:rPr>
            </w:pPr>
            <w:r w:rsidRPr="00B81D94">
              <w:rPr>
                <w:rFonts w:ascii="Calibri" w:hAnsi="Calibri" w:cs="Calibri"/>
                <w:sz w:val="18"/>
                <w:szCs w:val="18"/>
                <w:lang w:eastAsia="ja-JP"/>
              </w:rPr>
              <w:t>The RACH-lessHO IE is need N. Then, there is no point to not provide the targetNTA-r18 if RACH-lessHO is configured.</w:t>
            </w:r>
          </w:p>
        </w:tc>
        <w:tc>
          <w:tcPr>
            <w:tcW w:w="2268" w:type="dxa"/>
            <w:hideMark/>
          </w:tcPr>
          <w:p w14:paraId="41ACB504" w14:textId="77777777" w:rsidR="00B81D94" w:rsidRPr="00B81D94" w:rsidRDefault="00B81D94">
            <w:pPr>
              <w:rPr>
                <w:rFonts w:ascii="Calibri" w:hAnsi="Calibri" w:cs="Calibri"/>
                <w:sz w:val="18"/>
                <w:szCs w:val="18"/>
                <w:lang w:eastAsia="ja-JP"/>
              </w:rPr>
            </w:pPr>
            <w:r w:rsidRPr="00B81D94">
              <w:rPr>
                <w:rFonts w:ascii="Calibri" w:hAnsi="Calibri" w:cs="Calibri"/>
                <w:sz w:val="18"/>
                <w:szCs w:val="18"/>
                <w:lang w:eastAsia="ja-JP"/>
              </w:rPr>
              <w:t>Change targetNTA-r18 as mandatory field</w:t>
            </w:r>
          </w:p>
        </w:tc>
        <w:tc>
          <w:tcPr>
            <w:tcW w:w="3544" w:type="dxa"/>
            <w:hideMark/>
          </w:tcPr>
          <w:p w14:paraId="19A92622" w14:textId="77777777" w:rsidR="00B81D94" w:rsidRPr="00B81D94" w:rsidRDefault="00B81D94">
            <w:pPr>
              <w:rPr>
                <w:rFonts w:ascii="Calibri" w:hAnsi="Calibri" w:cs="Calibri"/>
                <w:sz w:val="18"/>
                <w:szCs w:val="18"/>
                <w:lang w:eastAsia="ja-JP"/>
              </w:rPr>
            </w:pPr>
          </w:p>
        </w:tc>
      </w:tr>
      <w:tr w:rsidR="00B81D94" w:rsidRPr="00B81D94" w14:paraId="3E399B27" w14:textId="77777777" w:rsidTr="00B81D94">
        <w:trPr>
          <w:trHeight w:val="2380"/>
        </w:trPr>
        <w:tc>
          <w:tcPr>
            <w:tcW w:w="762" w:type="dxa"/>
            <w:hideMark/>
          </w:tcPr>
          <w:p w14:paraId="35CFA2BE" w14:textId="77777777" w:rsidR="00B81D94" w:rsidRPr="00B81D94" w:rsidRDefault="00B81D94">
            <w:pPr>
              <w:rPr>
                <w:rFonts w:ascii="Calibri" w:hAnsi="Calibri" w:cs="Calibri"/>
                <w:sz w:val="18"/>
                <w:szCs w:val="18"/>
                <w:lang w:eastAsia="ja-JP"/>
              </w:rPr>
            </w:pPr>
            <w:r w:rsidRPr="00B81D94">
              <w:rPr>
                <w:rFonts w:ascii="Calibri" w:hAnsi="Calibri" w:cs="Calibri"/>
                <w:sz w:val="18"/>
                <w:szCs w:val="18"/>
                <w:lang w:eastAsia="ja-JP"/>
              </w:rPr>
              <w:t>H113</w:t>
            </w:r>
          </w:p>
        </w:tc>
        <w:tc>
          <w:tcPr>
            <w:tcW w:w="1365" w:type="dxa"/>
            <w:hideMark/>
          </w:tcPr>
          <w:p w14:paraId="79A32C43" w14:textId="77777777" w:rsidR="00B81D94" w:rsidRPr="00B81D94" w:rsidRDefault="00B81D94">
            <w:pPr>
              <w:rPr>
                <w:rFonts w:ascii="Calibri" w:hAnsi="Calibri" w:cs="Calibri"/>
                <w:sz w:val="18"/>
                <w:szCs w:val="18"/>
                <w:lang w:eastAsia="ja-JP"/>
              </w:rPr>
            </w:pPr>
            <w:r w:rsidRPr="00B81D94">
              <w:rPr>
                <w:rFonts w:ascii="Calibri" w:hAnsi="Calibri" w:cs="Calibri"/>
                <w:sz w:val="18"/>
                <w:szCs w:val="18"/>
                <w:lang w:eastAsia="ja-JP"/>
              </w:rPr>
              <w:t>Huawei (Yulong)</w:t>
            </w:r>
          </w:p>
        </w:tc>
        <w:tc>
          <w:tcPr>
            <w:tcW w:w="851" w:type="dxa"/>
            <w:hideMark/>
          </w:tcPr>
          <w:p w14:paraId="03E5ECFF" w14:textId="77777777" w:rsidR="00B81D94" w:rsidRPr="00B81D94" w:rsidRDefault="00B81D94" w:rsidP="00B81D94">
            <w:pPr>
              <w:rPr>
                <w:rFonts w:ascii="Calibri" w:hAnsi="Calibri" w:cs="Calibri"/>
                <w:sz w:val="18"/>
                <w:szCs w:val="18"/>
                <w:lang w:eastAsia="ja-JP"/>
              </w:rPr>
            </w:pPr>
            <w:r w:rsidRPr="00B81D94">
              <w:rPr>
                <w:rFonts w:ascii="Calibri" w:hAnsi="Calibri" w:cs="Calibri"/>
                <w:sz w:val="18"/>
                <w:szCs w:val="18"/>
                <w:lang w:eastAsia="ja-JP"/>
              </w:rPr>
              <w:t>IAB</w:t>
            </w:r>
          </w:p>
        </w:tc>
        <w:tc>
          <w:tcPr>
            <w:tcW w:w="992" w:type="dxa"/>
            <w:hideMark/>
          </w:tcPr>
          <w:p w14:paraId="26C1A06B" w14:textId="77777777" w:rsidR="00B81D94" w:rsidRPr="00B81D94" w:rsidRDefault="00B81D94" w:rsidP="00B81D94">
            <w:pPr>
              <w:rPr>
                <w:rFonts w:ascii="Calibri" w:hAnsi="Calibri" w:cs="Calibri"/>
                <w:sz w:val="18"/>
                <w:szCs w:val="18"/>
                <w:lang w:eastAsia="ja-JP"/>
              </w:rPr>
            </w:pPr>
            <w:r w:rsidRPr="00B81D94">
              <w:rPr>
                <w:rFonts w:ascii="Calibri" w:hAnsi="Calibri" w:cs="Calibri"/>
                <w:sz w:val="18"/>
                <w:szCs w:val="18"/>
                <w:lang w:eastAsia="ja-JP"/>
              </w:rPr>
              <w:t>1</w:t>
            </w:r>
          </w:p>
        </w:tc>
        <w:tc>
          <w:tcPr>
            <w:tcW w:w="1134" w:type="dxa"/>
            <w:shd w:val="clear" w:color="auto" w:fill="E2EFD9" w:themeFill="accent6" w:themeFillTint="33"/>
            <w:hideMark/>
          </w:tcPr>
          <w:p w14:paraId="2CFB52D5" w14:textId="77777777" w:rsidR="00B81D94" w:rsidRPr="00B81D94" w:rsidRDefault="00B81D94" w:rsidP="00B81D94">
            <w:pPr>
              <w:rPr>
                <w:rFonts w:ascii="Calibri" w:hAnsi="Calibri" w:cs="Calibri"/>
                <w:sz w:val="18"/>
                <w:szCs w:val="18"/>
                <w:lang w:eastAsia="ja-JP"/>
              </w:rPr>
            </w:pPr>
            <w:r w:rsidRPr="00B81D94">
              <w:rPr>
                <w:rFonts w:ascii="Calibri" w:hAnsi="Calibri" w:cs="Calibri"/>
                <w:sz w:val="18"/>
                <w:szCs w:val="18"/>
                <w:lang w:eastAsia="ja-JP"/>
              </w:rPr>
              <w:t>PropAgree</w:t>
            </w:r>
          </w:p>
        </w:tc>
        <w:tc>
          <w:tcPr>
            <w:tcW w:w="1843" w:type="dxa"/>
            <w:hideMark/>
          </w:tcPr>
          <w:p w14:paraId="40A58747" w14:textId="77777777" w:rsidR="00B81D94" w:rsidRPr="00B81D94" w:rsidRDefault="00B81D94" w:rsidP="00B81D94">
            <w:pPr>
              <w:rPr>
                <w:rFonts w:ascii="Calibri" w:hAnsi="Calibri" w:cs="Calibri"/>
                <w:sz w:val="18"/>
                <w:szCs w:val="18"/>
                <w:lang w:eastAsia="ja-JP"/>
              </w:rPr>
            </w:pPr>
            <w:r w:rsidRPr="00B81D94">
              <w:rPr>
                <w:rFonts w:ascii="Calibri" w:hAnsi="Calibri" w:cs="Calibri"/>
                <w:sz w:val="18"/>
                <w:szCs w:val="18"/>
                <w:lang w:eastAsia="ja-JP"/>
              </w:rPr>
              <w:t> </w:t>
            </w:r>
          </w:p>
        </w:tc>
        <w:tc>
          <w:tcPr>
            <w:tcW w:w="1701" w:type="dxa"/>
            <w:hideMark/>
          </w:tcPr>
          <w:p w14:paraId="294376BA" w14:textId="77777777" w:rsidR="00B81D94" w:rsidRPr="00B81D94" w:rsidRDefault="00B81D94" w:rsidP="00B81D94">
            <w:pPr>
              <w:rPr>
                <w:rFonts w:ascii="Calibri" w:hAnsi="Calibri" w:cs="Calibri"/>
                <w:sz w:val="18"/>
                <w:szCs w:val="18"/>
                <w:lang w:eastAsia="ja-JP"/>
              </w:rPr>
            </w:pPr>
            <w:r w:rsidRPr="00B81D94">
              <w:rPr>
                <w:rFonts w:ascii="Calibri" w:hAnsi="Calibri" w:cs="Calibri"/>
                <w:sz w:val="18"/>
                <w:szCs w:val="18"/>
                <w:lang w:eastAsia="ja-JP"/>
              </w:rPr>
              <w:t> </w:t>
            </w:r>
          </w:p>
        </w:tc>
        <w:tc>
          <w:tcPr>
            <w:tcW w:w="1417" w:type="dxa"/>
            <w:hideMark/>
          </w:tcPr>
          <w:p w14:paraId="3EDB9233" w14:textId="77777777" w:rsidR="00B81D94" w:rsidRPr="00B81D94" w:rsidRDefault="00B81D94">
            <w:pPr>
              <w:rPr>
                <w:rFonts w:ascii="Calibri" w:hAnsi="Calibri" w:cs="Calibri"/>
                <w:sz w:val="18"/>
                <w:szCs w:val="18"/>
                <w:lang w:eastAsia="ja-JP"/>
              </w:rPr>
            </w:pPr>
            <w:r w:rsidRPr="00B81D94">
              <w:rPr>
                <w:rFonts w:ascii="Calibri" w:hAnsi="Calibri" w:cs="Calibri"/>
                <w:sz w:val="18"/>
                <w:szCs w:val="18"/>
                <w:lang w:eastAsia="ja-JP"/>
              </w:rPr>
              <w:t>The tci-StateID field in RACH-LessHO IE is not only for the beam indication, but also indicating the TCI state.</w:t>
            </w:r>
          </w:p>
        </w:tc>
        <w:tc>
          <w:tcPr>
            <w:tcW w:w="2268" w:type="dxa"/>
            <w:hideMark/>
          </w:tcPr>
          <w:p w14:paraId="0884964F" w14:textId="77777777" w:rsidR="00B81D94" w:rsidRPr="00B81D94" w:rsidRDefault="00B81D94">
            <w:pPr>
              <w:rPr>
                <w:rFonts w:ascii="Calibri" w:hAnsi="Calibri" w:cs="Calibri"/>
                <w:sz w:val="18"/>
                <w:szCs w:val="18"/>
                <w:lang w:eastAsia="ja-JP"/>
              </w:rPr>
            </w:pPr>
            <w:r w:rsidRPr="00B81D94">
              <w:rPr>
                <w:rFonts w:ascii="Calibri" w:hAnsi="Calibri" w:cs="Calibri"/>
                <w:sz w:val="18"/>
                <w:szCs w:val="18"/>
                <w:lang w:eastAsia="ja-JP"/>
              </w:rPr>
              <w:t>This field indicates a beam that the UE should use in the target cell to monitor PDCCH for initial uplink transmission, and indicates the TCI state information to be used in the target cell. This field is present in case this cell is a mobile IAB cell.</w:t>
            </w:r>
          </w:p>
        </w:tc>
        <w:tc>
          <w:tcPr>
            <w:tcW w:w="3544" w:type="dxa"/>
            <w:hideMark/>
          </w:tcPr>
          <w:p w14:paraId="6186F7C4" w14:textId="77777777" w:rsidR="00B81D94" w:rsidRPr="00B81D94" w:rsidRDefault="00B81D94">
            <w:pPr>
              <w:rPr>
                <w:rFonts w:ascii="Calibri" w:hAnsi="Calibri" w:cs="Calibri"/>
                <w:sz w:val="18"/>
                <w:szCs w:val="18"/>
                <w:lang w:eastAsia="ja-JP"/>
              </w:rPr>
            </w:pPr>
          </w:p>
        </w:tc>
      </w:tr>
      <w:tr w:rsidR="00B81D94" w:rsidRPr="00B81D94" w14:paraId="59520446" w14:textId="77777777" w:rsidTr="00B81D94">
        <w:trPr>
          <w:trHeight w:val="2380"/>
        </w:trPr>
        <w:tc>
          <w:tcPr>
            <w:tcW w:w="762" w:type="dxa"/>
            <w:hideMark/>
          </w:tcPr>
          <w:p w14:paraId="4301F013" w14:textId="77777777" w:rsidR="00B81D94" w:rsidRPr="00B81D94" w:rsidRDefault="00B81D94">
            <w:pPr>
              <w:rPr>
                <w:rFonts w:ascii="Calibri" w:hAnsi="Calibri" w:cs="Calibri"/>
                <w:sz w:val="18"/>
                <w:szCs w:val="18"/>
                <w:lang w:eastAsia="ja-JP"/>
              </w:rPr>
            </w:pPr>
            <w:r w:rsidRPr="00B81D94">
              <w:rPr>
                <w:rFonts w:ascii="Calibri" w:hAnsi="Calibri" w:cs="Calibri"/>
                <w:sz w:val="18"/>
                <w:szCs w:val="18"/>
                <w:lang w:eastAsia="ja-JP"/>
              </w:rPr>
              <w:lastRenderedPageBreak/>
              <w:t>S265</w:t>
            </w:r>
          </w:p>
        </w:tc>
        <w:tc>
          <w:tcPr>
            <w:tcW w:w="1365" w:type="dxa"/>
            <w:hideMark/>
          </w:tcPr>
          <w:p w14:paraId="3C63D8A0" w14:textId="77777777" w:rsidR="00B81D94" w:rsidRPr="00B81D94" w:rsidRDefault="00B81D94">
            <w:pPr>
              <w:rPr>
                <w:rFonts w:ascii="Calibri" w:hAnsi="Calibri" w:cs="Calibri"/>
                <w:sz w:val="18"/>
                <w:szCs w:val="18"/>
                <w:lang w:eastAsia="ja-JP"/>
              </w:rPr>
            </w:pPr>
            <w:r w:rsidRPr="00B81D94">
              <w:rPr>
                <w:rFonts w:ascii="Calibri" w:hAnsi="Calibri" w:cs="Calibri"/>
                <w:sz w:val="18"/>
                <w:szCs w:val="18"/>
                <w:lang w:eastAsia="ja-JP"/>
              </w:rPr>
              <w:t>Samsung (Jonas)</w:t>
            </w:r>
          </w:p>
        </w:tc>
        <w:tc>
          <w:tcPr>
            <w:tcW w:w="851" w:type="dxa"/>
            <w:hideMark/>
          </w:tcPr>
          <w:p w14:paraId="5D7A5627" w14:textId="77777777" w:rsidR="00B81D94" w:rsidRPr="00B81D94" w:rsidRDefault="00B81D94" w:rsidP="00B81D94">
            <w:pPr>
              <w:rPr>
                <w:rFonts w:ascii="Calibri" w:hAnsi="Calibri" w:cs="Calibri"/>
                <w:sz w:val="18"/>
                <w:szCs w:val="18"/>
                <w:lang w:eastAsia="ja-JP"/>
              </w:rPr>
            </w:pPr>
            <w:r w:rsidRPr="00B81D94">
              <w:rPr>
                <w:rFonts w:ascii="Calibri" w:hAnsi="Calibri" w:cs="Calibri"/>
                <w:sz w:val="18"/>
                <w:szCs w:val="18"/>
                <w:lang w:eastAsia="ja-JP"/>
              </w:rPr>
              <w:t>IAB</w:t>
            </w:r>
          </w:p>
        </w:tc>
        <w:tc>
          <w:tcPr>
            <w:tcW w:w="992" w:type="dxa"/>
            <w:hideMark/>
          </w:tcPr>
          <w:p w14:paraId="394802D1" w14:textId="77777777" w:rsidR="00B81D94" w:rsidRPr="00B81D94" w:rsidRDefault="00B81D94" w:rsidP="00B81D94">
            <w:pPr>
              <w:rPr>
                <w:rFonts w:ascii="Calibri" w:hAnsi="Calibri" w:cs="Calibri"/>
                <w:sz w:val="18"/>
                <w:szCs w:val="18"/>
                <w:lang w:eastAsia="ja-JP"/>
              </w:rPr>
            </w:pPr>
            <w:r w:rsidRPr="00B81D94">
              <w:rPr>
                <w:rFonts w:ascii="Calibri" w:hAnsi="Calibri" w:cs="Calibri"/>
                <w:sz w:val="18"/>
                <w:szCs w:val="18"/>
                <w:lang w:eastAsia="ja-JP"/>
              </w:rPr>
              <w:t>1</w:t>
            </w:r>
          </w:p>
        </w:tc>
        <w:tc>
          <w:tcPr>
            <w:tcW w:w="1134" w:type="dxa"/>
            <w:shd w:val="clear" w:color="auto" w:fill="E2EFD9" w:themeFill="accent6" w:themeFillTint="33"/>
            <w:hideMark/>
          </w:tcPr>
          <w:p w14:paraId="4D8F1E88" w14:textId="77777777" w:rsidR="00B81D94" w:rsidRPr="00B81D94" w:rsidRDefault="00B81D94" w:rsidP="00B81D94">
            <w:pPr>
              <w:rPr>
                <w:rFonts w:ascii="Calibri" w:hAnsi="Calibri" w:cs="Calibri"/>
                <w:sz w:val="18"/>
                <w:szCs w:val="18"/>
                <w:lang w:eastAsia="ja-JP"/>
              </w:rPr>
            </w:pPr>
            <w:r w:rsidRPr="00B81D94">
              <w:rPr>
                <w:rFonts w:ascii="Calibri" w:hAnsi="Calibri" w:cs="Calibri"/>
                <w:sz w:val="18"/>
                <w:szCs w:val="18"/>
                <w:lang w:eastAsia="ja-JP"/>
              </w:rPr>
              <w:t>PropReject</w:t>
            </w:r>
          </w:p>
        </w:tc>
        <w:tc>
          <w:tcPr>
            <w:tcW w:w="1843" w:type="dxa"/>
            <w:hideMark/>
          </w:tcPr>
          <w:p w14:paraId="069337F4" w14:textId="77777777" w:rsidR="00B81D94" w:rsidRPr="00B81D94" w:rsidRDefault="00B81D94" w:rsidP="00B81D94">
            <w:pPr>
              <w:rPr>
                <w:rFonts w:ascii="Calibri" w:hAnsi="Calibri" w:cs="Calibri"/>
                <w:sz w:val="18"/>
                <w:szCs w:val="18"/>
                <w:lang w:eastAsia="ja-JP"/>
              </w:rPr>
            </w:pPr>
            <w:r w:rsidRPr="00B81D94">
              <w:rPr>
                <w:rFonts w:ascii="Calibri" w:hAnsi="Calibri" w:cs="Calibri"/>
                <w:sz w:val="18"/>
                <w:szCs w:val="18"/>
                <w:lang w:eastAsia="ja-JP"/>
              </w:rPr>
              <w:t>[Ericsson-Tony] Since this field is within NPN-IdentityInfoList, it looks straighforward that the condition applies only to NPN. This is similar terminology we have for other fields in the same IE. Neverthless, I am okay to further clarify if also other companies believe that is useful.</w:t>
            </w:r>
          </w:p>
        </w:tc>
        <w:tc>
          <w:tcPr>
            <w:tcW w:w="1701" w:type="dxa"/>
            <w:hideMark/>
          </w:tcPr>
          <w:p w14:paraId="58D6385F" w14:textId="77777777" w:rsidR="00B81D94" w:rsidRPr="00B81D94" w:rsidRDefault="00B81D94" w:rsidP="00B81D94">
            <w:pPr>
              <w:rPr>
                <w:rFonts w:ascii="Calibri" w:hAnsi="Calibri" w:cs="Calibri"/>
                <w:sz w:val="18"/>
                <w:szCs w:val="18"/>
                <w:lang w:eastAsia="ja-JP"/>
              </w:rPr>
            </w:pPr>
            <w:r w:rsidRPr="00B81D94">
              <w:rPr>
                <w:rFonts w:ascii="Calibri" w:hAnsi="Calibri" w:cs="Calibri"/>
                <w:sz w:val="18"/>
                <w:szCs w:val="18"/>
                <w:lang w:eastAsia="ja-JP"/>
              </w:rPr>
              <w:t> </w:t>
            </w:r>
          </w:p>
        </w:tc>
        <w:tc>
          <w:tcPr>
            <w:tcW w:w="1417" w:type="dxa"/>
            <w:hideMark/>
          </w:tcPr>
          <w:p w14:paraId="2B460745" w14:textId="77777777" w:rsidR="00B81D94" w:rsidRPr="00B81D94" w:rsidRDefault="00B81D94">
            <w:pPr>
              <w:rPr>
                <w:rFonts w:ascii="Calibri" w:hAnsi="Calibri" w:cs="Calibri"/>
                <w:sz w:val="18"/>
                <w:szCs w:val="18"/>
                <w:lang w:eastAsia="ja-JP"/>
              </w:rPr>
            </w:pPr>
            <w:r w:rsidRPr="00B81D94">
              <w:rPr>
                <w:rFonts w:ascii="Calibri" w:hAnsi="Calibri" w:cs="Calibri"/>
                <w:sz w:val="18"/>
                <w:szCs w:val="18"/>
                <w:lang w:eastAsia="ja-JP"/>
              </w:rPr>
              <w:t>A specific NPN may support mobile IAB in a cell, so with the following description it may need to be present for any NPN in the cell that does not support mobile IAB.</w:t>
            </w:r>
          </w:p>
        </w:tc>
        <w:tc>
          <w:tcPr>
            <w:tcW w:w="2268" w:type="dxa"/>
            <w:hideMark/>
          </w:tcPr>
          <w:p w14:paraId="3891B4F0" w14:textId="77777777" w:rsidR="00B81D94" w:rsidRPr="00B81D94" w:rsidRDefault="00B81D94">
            <w:pPr>
              <w:rPr>
                <w:rFonts w:ascii="Calibri" w:hAnsi="Calibri" w:cs="Calibri"/>
                <w:sz w:val="18"/>
                <w:szCs w:val="18"/>
                <w:lang w:eastAsia="ja-JP"/>
              </w:rPr>
            </w:pPr>
            <w:r w:rsidRPr="00B81D94">
              <w:rPr>
                <w:rFonts w:ascii="Calibri" w:hAnsi="Calibri" w:cs="Calibri"/>
                <w:sz w:val="18"/>
                <w:szCs w:val="18"/>
                <w:lang w:eastAsia="ja-JP"/>
              </w:rPr>
              <w:t>The suggested change is to state that this field is always present if mobileIAB-Support is indicated for the NPN.</w:t>
            </w:r>
          </w:p>
        </w:tc>
        <w:tc>
          <w:tcPr>
            <w:tcW w:w="3544" w:type="dxa"/>
            <w:hideMark/>
          </w:tcPr>
          <w:p w14:paraId="48D730FB" w14:textId="77777777" w:rsidR="00B81D94" w:rsidRPr="00B81D94" w:rsidRDefault="00B81D94">
            <w:pPr>
              <w:rPr>
                <w:rFonts w:ascii="Calibri" w:hAnsi="Calibri" w:cs="Calibri"/>
                <w:sz w:val="18"/>
                <w:szCs w:val="18"/>
                <w:lang w:eastAsia="ja-JP"/>
              </w:rPr>
            </w:pPr>
          </w:p>
        </w:tc>
      </w:tr>
      <w:tr w:rsidR="00B81D94" w:rsidRPr="00B81D94" w14:paraId="023D86C6" w14:textId="77777777" w:rsidTr="00B81D94">
        <w:trPr>
          <w:trHeight w:val="1360"/>
        </w:trPr>
        <w:tc>
          <w:tcPr>
            <w:tcW w:w="762" w:type="dxa"/>
            <w:hideMark/>
          </w:tcPr>
          <w:p w14:paraId="3A7AD1CA" w14:textId="77777777" w:rsidR="00B81D94" w:rsidRPr="00B81D94" w:rsidRDefault="00B81D94">
            <w:pPr>
              <w:rPr>
                <w:rFonts w:ascii="Calibri" w:hAnsi="Calibri" w:cs="Calibri"/>
                <w:sz w:val="18"/>
                <w:szCs w:val="18"/>
                <w:lang w:eastAsia="ja-JP"/>
              </w:rPr>
            </w:pPr>
            <w:r w:rsidRPr="00B81D94">
              <w:rPr>
                <w:rFonts w:ascii="Calibri" w:hAnsi="Calibri" w:cs="Calibri"/>
                <w:sz w:val="18"/>
                <w:szCs w:val="18"/>
                <w:lang w:eastAsia="ja-JP"/>
              </w:rPr>
              <w:t>S486</w:t>
            </w:r>
          </w:p>
        </w:tc>
        <w:tc>
          <w:tcPr>
            <w:tcW w:w="1365" w:type="dxa"/>
            <w:hideMark/>
          </w:tcPr>
          <w:p w14:paraId="14CF137E" w14:textId="77777777" w:rsidR="00B81D94" w:rsidRPr="00B81D94" w:rsidRDefault="00B81D94">
            <w:pPr>
              <w:rPr>
                <w:rFonts w:ascii="Calibri" w:hAnsi="Calibri" w:cs="Calibri"/>
                <w:sz w:val="18"/>
                <w:szCs w:val="18"/>
                <w:lang w:eastAsia="ja-JP"/>
              </w:rPr>
            </w:pPr>
            <w:r w:rsidRPr="00B81D94">
              <w:rPr>
                <w:rFonts w:ascii="Calibri" w:hAnsi="Calibri" w:cs="Calibri"/>
                <w:sz w:val="18"/>
                <w:szCs w:val="18"/>
                <w:lang w:eastAsia="ja-JP"/>
              </w:rPr>
              <w:t>Samsung (Jonas)</w:t>
            </w:r>
          </w:p>
        </w:tc>
        <w:tc>
          <w:tcPr>
            <w:tcW w:w="851" w:type="dxa"/>
            <w:hideMark/>
          </w:tcPr>
          <w:p w14:paraId="672B8BD5" w14:textId="77777777" w:rsidR="00B81D94" w:rsidRPr="00B81D94" w:rsidRDefault="00B81D94" w:rsidP="00B81D94">
            <w:pPr>
              <w:rPr>
                <w:rFonts w:ascii="Calibri" w:hAnsi="Calibri" w:cs="Calibri"/>
                <w:sz w:val="18"/>
                <w:szCs w:val="18"/>
                <w:lang w:eastAsia="ja-JP"/>
              </w:rPr>
            </w:pPr>
            <w:r w:rsidRPr="00B81D94">
              <w:rPr>
                <w:rFonts w:ascii="Calibri" w:hAnsi="Calibri" w:cs="Calibri"/>
                <w:sz w:val="18"/>
                <w:szCs w:val="18"/>
                <w:lang w:eastAsia="ja-JP"/>
              </w:rPr>
              <w:t>IAB</w:t>
            </w:r>
          </w:p>
        </w:tc>
        <w:tc>
          <w:tcPr>
            <w:tcW w:w="992" w:type="dxa"/>
            <w:hideMark/>
          </w:tcPr>
          <w:p w14:paraId="0CA05A07" w14:textId="77777777" w:rsidR="00B81D94" w:rsidRPr="00B81D94" w:rsidRDefault="00B81D94" w:rsidP="00B81D94">
            <w:pPr>
              <w:rPr>
                <w:rFonts w:ascii="Calibri" w:hAnsi="Calibri" w:cs="Calibri"/>
                <w:sz w:val="18"/>
                <w:szCs w:val="18"/>
                <w:lang w:eastAsia="ja-JP"/>
              </w:rPr>
            </w:pPr>
            <w:r w:rsidRPr="00B81D94">
              <w:rPr>
                <w:rFonts w:ascii="Calibri" w:hAnsi="Calibri" w:cs="Calibri"/>
                <w:sz w:val="18"/>
                <w:szCs w:val="18"/>
                <w:lang w:eastAsia="ja-JP"/>
              </w:rPr>
              <w:t>1</w:t>
            </w:r>
          </w:p>
        </w:tc>
        <w:tc>
          <w:tcPr>
            <w:tcW w:w="1134" w:type="dxa"/>
            <w:shd w:val="clear" w:color="auto" w:fill="E2EFD9" w:themeFill="accent6" w:themeFillTint="33"/>
            <w:hideMark/>
          </w:tcPr>
          <w:p w14:paraId="64817BB2" w14:textId="77777777" w:rsidR="00B81D94" w:rsidRPr="00B81D94" w:rsidRDefault="00B81D94" w:rsidP="00B81D94">
            <w:pPr>
              <w:rPr>
                <w:rFonts w:ascii="Calibri" w:hAnsi="Calibri" w:cs="Calibri"/>
                <w:sz w:val="18"/>
                <w:szCs w:val="18"/>
                <w:lang w:eastAsia="ja-JP"/>
              </w:rPr>
            </w:pPr>
            <w:r w:rsidRPr="00B81D94">
              <w:rPr>
                <w:rFonts w:ascii="Calibri" w:hAnsi="Calibri" w:cs="Calibri"/>
                <w:sz w:val="18"/>
                <w:szCs w:val="18"/>
                <w:lang w:eastAsia="ja-JP"/>
              </w:rPr>
              <w:t>Wrong WI</w:t>
            </w:r>
          </w:p>
        </w:tc>
        <w:tc>
          <w:tcPr>
            <w:tcW w:w="1843" w:type="dxa"/>
            <w:hideMark/>
          </w:tcPr>
          <w:p w14:paraId="567358CB" w14:textId="77777777" w:rsidR="00B81D94" w:rsidRPr="00B81D94" w:rsidRDefault="00B81D94" w:rsidP="00B81D94">
            <w:pPr>
              <w:rPr>
                <w:rFonts w:ascii="Calibri" w:hAnsi="Calibri" w:cs="Calibri"/>
                <w:sz w:val="18"/>
                <w:szCs w:val="18"/>
                <w:lang w:eastAsia="ja-JP"/>
              </w:rPr>
            </w:pPr>
            <w:r w:rsidRPr="00B81D94">
              <w:rPr>
                <w:rFonts w:ascii="Calibri" w:hAnsi="Calibri" w:cs="Calibri"/>
                <w:sz w:val="18"/>
                <w:szCs w:val="18"/>
                <w:lang w:eastAsia="ja-JP"/>
              </w:rPr>
              <w:t>[Ericsson-Tony] It seems that this change should be discussed either in NTN or in the RACH-less section in 7.0.4. This is not related to mobile IAB.</w:t>
            </w:r>
          </w:p>
        </w:tc>
        <w:tc>
          <w:tcPr>
            <w:tcW w:w="1701" w:type="dxa"/>
            <w:hideMark/>
          </w:tcPr>
          <w:p w14:paraId="22224AA0" w14:textId="77777777" w:rsidR="00B81D94" w:rsidRPr="00B81D94" w:rsidRDefault="00B81D94" w:rsidP="00B81D94">
            <w:pPr>
              <w:rPr>
                <w:rFonts w:ascii="Calibri" w:hAnsi="Calibri" w:cs="Calibri"/>
                <w:sz w:val="18"/>
                <w:szCs w:val="18"/>
                <w:lang w:eastAsia="ja-JP"/>
              </w:rPr>
            </w:pPr>
            <w:r w:rsidRPr="00B81D94">
              <w:rPr>
                <w:rFonts w:ascii="Calibri" w:hAnsi="Calibri" w:cs="Calibri"/>
                <w:sz w:val="18"/>
                <w:szCs w:val="18"/>
                <w:lang w:eastAsia="ja-JP"/>
              </w:rPr>
              <w:t> </w:t>
            </w:r>
          </w:p>
        </w:tc>
        <w:tc>
          <w:tcPr>
            <w:tcW w:w="1417" w:type="dxa"/>
            <w:hideMark/>
          </w:tcPr>
          <w:p w14:paraId="3EF49E9F" w14:textId="77777777" w:rsidR="00B81D94" w:rsidRPr="00B81D94" w:rsidRDefault="00B81D94">
            <w:pPr>
              <w:rPr>
                <w:rFonts w:ascii="Calibri" w:hAnsi="Calibri" w:cs="Calibri"/>
                <w:sz w:val="18"/>
                <w:szCs w:val="18"/>
                <w:lang w:eastAsia="ja-JP"/>
              </w:rPr>
            </w:pPr>
            <w:r w:rsidRPr="00B81D94">
              <w:rPr>
                <w:rFonts w:ascii="Calibri" w:hAnsi="Calibri" w:cs="Calibri"/>
                <w:sz w:val="18"/>
                <w:szCs w:val="18"/>
                <w:lang w:eastAsia="ja-JP"/>
              </w:rPr>
              <w:t>It was agreed that TAR MAC CE may be sent during RACH-less HO and the current procedures allow for it.</w:t>
            </w:r>
          </w:p>
        </w:tc>
        <w:tc>
          <w:tcPr>
            <w:tcW w:w="2268" w:type="dxa"/>
            <w:hideMark/>
          </w:tcPr>
          <w:p w14:paraId="497622D0" w14:textId="77777777" w:rsidR="00B81D94" w:rsidRPr="00B81D94" w:rsidRDefault="00B81D94">
            <w:pPr>
              <w:rPr>
                <w:rFonts w:ascii="Calibri" w:hAnsi="Calibri" w:cs="Calibri"/>
                <w:sz w:val="18"/>
                <w:szCs w:val="18"/>
                <w:lang w:eastAsia="ja-JP"/>
              </w:rPr>
            </w:pPr>
            <w:r w:rsidRPr="00B81D94">
              <w:rPr>
                <w:rFonts w:ascii="Calibri" w:hAnsi="Calibri" w:cs="Calibri"/>
                <w:sz w:val="18"/>
                <w:szCs w:val="18"/>
                <w:lang w:eastAsia="ja-JP"/>
              </w:rPr>
              <w:t>Either remove “Random access due to” or add “during Random access and RACH-less  due to reconfiguration with sync”</w:t>
            </w:r>
          </w:p>
        </w:tc>
        <w:tc>
          <w:tcPr>
            <w:tcW w:w="3544" w:type="dxa"/>
            <w:hideMark/>
          </w:tcPr>
          <w:p w14:paraId="5422525D" w14:textId="77777777" w:rsidR="00B81D94" w:rsidRPr="00B81D94" w:rsidRDefault="00B81D94">
            <w:pPr>
              <w:rPr>
                <w:rFonts w:ascii="Calibri" w:hAnsi="Calibri" w:cs="Calibri"/>
                <w:sz w:val="18"/>
                <w:szCs w:val="18"/>
                <w:lang w:eastAsia="ja-JP"/>
              </w:rPr>
            </w:pPr>
          </w:p>
        </w:tc>
      </w:tr>
      <w:tr w:rsidR="00B81D94" w:rsidRPr="00B81D94" w14:paraId="0A543B3E" w14:textId="77777777" w:rsidTr="00B81D94">
        <w:trPr>
          <w:trHeight w:val="1700"/>
        </w:trPr>
        <w:tc>
          <w:tcPr>
            <w:tcW w:w="762" w:type="dxa"/>
            <w:hideMark/>
          </w:tcPr>
          <w:p w14:paraId="0D680D55" w14:textId="77777777" w:rsidR="00B81D94" w:rsidRPr="00B81D94" w:rsidRDefault="00B81D94">
            <w:pPr>
              <w:rPr>
                <w:rFonts w:ascii="Calibri" w:hAnsi="Calibri" w:cs="Calibri"/>
                <w:sz w:val="18"/>
                <w:szCs w:val="18"/>
                <w:lang w:eastAsia="ja-JP"/>
              </w:rPr>
            </w:pPr>
            <w:r w:rsidRPr="00B81D94">
              <w:rPr>
                <w:rFonts w:ascii="Calibri" w:hAnsi="Calibri" w:cs="Calibri"/>
                <w:sz w:val="18"/>
                <w:szCs w:val="18"/>
                <w:lang w:eastAsia="ja-JP"/>
              </w:rPr>
              <w:t>S266</w:t>
            </w:r>
          </w:p>
        </w:tc>
        <w:tc>
          <w:tcPr>
            <w:tcW w:w="1365" w:type="dxa"/>
            <w:hideMark/>
          </w:tcPr>
          <w:p w14:paraId="6BD44095" w14:textId="77777777" w:rsidR="00B81D94" w:rsidRPr="00B81D94" w:rsidRDefault="00B81D94">
            <w:pPr>
              <w:rPr>
                <w:rFonts w:ascii="Calibri" w:hAnsi="Calibri" w:cs="Calibri"/>
                <w:sz w:val="18"/>
                <w:szCs w:val="18"/>
                <w:lang w:eastAsia="ja-JP"/>
              </w:rPr>
            </w:pPr>
            <w:r w:rsidRPr="00B81D94">
              <w:rPr>
                <w:rFonts w:ascii="Calibri" w:hAnsi="Calibri" w:cs="Calibri"/>
                <w:sz w:val="18"/>
                <w:szCs w:val="18"/>
                <w:lang w:eastAsia="ja-JP"/>
              </w:rPr>
              <w:t>Samsung (Jonas)</w:t>
            </w:r>
          </w:p>
        </w:tc>
        <w:tc>
          <w:tcPr>
            <w:tcW w:w="851" w:type="dxa"/>
            <w:hideMark/>
          </w:tcPr>
          <w:p w14:paraId="48BE88A4" w14:textId="77777777" w:rsidR="00B81D94" w:rsidRPr="00B81D94" w:rsidRDefault="00B81D94" w:rsidP="00B81D94">
            <w:pPr>
              <w:rPr>
                <w:rFonts w:ascii="Calibri" w:hAnsi="Calibri" w:cs="Calibri"/>
                <w:sz w:val="18"/>
                <w:szCs w:val="18"/>
                <w:lang w:eastAsia="ja-JP"/>
              </w:rPr>
            </w:pPr>
            <w:r w:rsidRPr="00B81D94">
              <w:rPr>
                <w:rFonts w:ascii="Calibri" w:hAnsi="Calibri" w:cs="Calibri"/>
                <w:sz w:val="18"/>
                <w:szCs w:val="18"/>
                <w:lang w:eastAsia="ja-JP"/>
              </w:rPr>
              <w:t>IAB</w:t>
            </w:r>
          </w:p>
        </w:tc>
        <w:tc>
          <w:tcPr>
            <w:tcW w:w="992" w:type="dxa"/>
            <w:hideMark/>
          </w:tcPr>
          <w:p w14:paraId="508CE6CD" w14:textId="77777777" w:rsidR="00B81D94" w:rsidRPr="00B81D94" w:rsidRDefault="00B81D94" w:rsidP="00B81D94">
            <w:pPr>
              <w:rPr>
                <w:rFonts w:ascii="Calibri" w:hAnsi="Calibri" w:cs="Calibri"/>
                <w:sz w:val="18"/>
                <w:szCs w:val="18"/>
                <w:lang w:eastAsia="ja-JP"/>
              </w:rPr>
            </w:pPr>
            <w:r w:rsidRPr="00B81D94">
              <w:rPr>
                <w:rFonts w:ascii="Calibri" w:hAnsi="Calibri" w:cs="Calibri"/>
                <w:sz w:val="18"/>
                <w:szCs w:val="18"/>
                <w:lang w:eastAsia="ja-JP"/>
              </w:rPr>
              <w:t>1</w:t>
            </w:r>
          </w:p>
        </w:tc>
        <w:tc>
          <w:tcPr>
            <w:tcW w:w="1134" w:type="dxa"/>
            <w:shd w:val="clear" w:color="auto" w:fill="E2EFD9" w:themeFill="accent6" w:themeFillTint="33"/>
            <w:hideMark/>
          </w:tcPr>
          <w:p w14:paraId="5802ADBB" w14:textId="77777777" w:rsidR="00B81D94" w:rsidRPr="00B81D94" w:rsidRDefault="00B81D94" w:rsidP="00B81D94">
            <w:pPr>
              <w:rPr>
                <w:rFonts w:ascii="Calibri" w:hAnsi="Calibri" w:cs="Calibri"/>
                <w:sz w:val="18"/>
                <w:szCs w:val="18"/>
                <w:lang w:eastAsia="ja-JP"/>
              </w:rPr>
            </w:pPr>
            <w:r w:rsidRPr="00B81D94">
              <w:rPr>
                <w:rFonts w:ascii="Calibri" w:hAnsi="Calibri" w:cs="Calibri"/>
                <w:sz w:val="18"/>
                <w:szCs w:val="18"/>
                <w:lang w:eastAsia="ja-JP"/>
              </w:rPr>
              <w:t>PropReject</w:t>
            </w:r>
          </w:p>
        </w:tc>
        <w:tc>
          <w:tcPr>
            <w:tcW w:w="1843" w:type="dxa"/>
            <w:hideMark/>
          </w:tcPr>
          <w:p w14:paraId="79CFC5A8" w14:textId="77777777" w:rsidR="00B81D94" w:rsidRPr="00B81D94" w:rsidRDefault="00B81D94" w:rsidP="00B81D94">
            <w:pPr>
              <w:rPr>
                <w:rFonts w:ascii="Calibri" w:hAnsi="Calibri" w:cs="Calibri"/>
                <w:sz w:val="18"/>
                <w:szCs w:val="18"/>
                <w:lang w:eastAsia="ja-JP"/>
              </w:rPr>
            </w:pPr>
            <w:r w:rsidRPr="00B81D94">
              <w:rPr>
                <w:rFonts w:ascii="Calibri" w:hAnsi="Calibri" w:cs="Calibri"/>
                <w:sz w:val="18"/>
                <w:szCs w:val="18"/>
                <w:lang w:eastAsia="ja-JP"/>
              </w:rPr>
              <w:t>[Ericsson-Tony] Same as S265</w:t>
            </w:r>
          </w:p>
        </w:tc>
        <w:tc>
          <w:tcPr>
            <w:tcW w:w="1701" w:type="dxa"/>
            <w:hideMark/>
          </w:tcPr>
          <w:p w14:paraId="32DEBF5C" w14:textId="77777777" w:rsidR="00B81D94" w:rsidRPr="00B81D94" w:rsidRDefault="00B81D94" w:rsidP="00B81D94">
            <w:pPr>
              <w:rPr>
                <w:rFonts w:ascii="Calibri" w:hAnsi="Calibri" w:cs="Calibri"/>
                <w:sz w:val="18"/>
                <w:szCs w:val="18"/>
                <w:lang w:eastAsia="ja-JP"/>
              </w:rPr>
            </w:pPr>
            <w:r w:rsidRPr="00B81D94">
              <w:rPr>
                <w:rFonts w:ascii="Calibri" w:hAnsi="Calibri" w:cs="Calibri"/>
                <w:sz w:val="18"/>
                <w:szCs w:val="18"/>
                <w:lang w:eastAsia="ja-JP"/>
              </w:rPr>
              <w:t> </w:t>
            </w:r>
          </w:p>
        </w:tc>
        <w:tc>
          <w:tcPr>
            <w:tcW w:w="1417" w:type="dxa"/>
            <w:hideMark/>
          </w:tcPr>
          <w:p w14:paraId="4A142A16" w14:textId="77777777" w:rsidR="00B81D94" w:rsidRPr="00B81D94" w:rsidRDefault="00B81D94">
            <w:pPr>
              <w:rPr>
                <w:rFonts w:ascii="Calibri" w:hAnsi="Calibri" w:cs="Calibri"/>
                <w:sz w:val="18"/>
                <w:szCs w:val="18"/>
                <w:lang w:eastAsia="ja-JP"/>
              </w:rPr>
            </w:pPr>
            <w:r w:rsidRPr="00B81D94">
              <w:rPr>
                <w:rFonts w:ascii="Calibri" w:hAnsi="Calibri" w:cs="Calibri"/>
                <w:sz w:val="18"/>
                <w:szCs w:val="18"/>
                <w:lang w:eastAsia="ja-JP"/>
              </w:rPr>
              <w:t>A specific PLMN may support mobile IAB in a cell, so with the following description it may need to be present for any PLMN in the cell that does not support mobile IAB.</w:t>
            </w:r>
          </w:p>
        </w:tc>
        <w:tc>
          <w:tcPr>
            <w:tcW w:w="2268" w:type="dxa"/>
            <w:hideMark/>
          </w:tcPr>
          <w:p w14:paraId="029F5999" w14:textId="77777777" w:rsidR="00B81D94" w:rsidRPr="00B81D94" w:rsidRDefault="00B81D94">
            <w:pPr>
              <w:rPr>
                <w:rFonts w:ascii="Calibri" w:hAnsi="Calibri" w:cs="Calibri"/>
                <w:sz w:val="18"/>
                <w:szCs w:val="18"/>
                <w:lang w:eastAsia="ja-JP"/>
              </w:rPr>
            </w:pPr>
            <w:r w:rsidRPr="00B81D94">
              <w:rPr>
                <w:rFonts w:ascii="Calibri" w:hAnsi="Calibri" w:cs="Calibri"/>
                <w:sz w:val="18"/>
                <w:szCs w:val="18"/>
                <w:lang w:eastAsia="ja-JP"/>
              </w:rPr>
              <w:t>The suggested change is to state that this field is always present if mobileIAB-Support is indicated for the PLMN.</w:t>
            </w:r>
          </w:p>
        </w:tc>
        <w:tc>
          <w:tcPr>
            <w:tcW w:w="3544" w:type="dxa"/>
            <w:hideMark/>
          </w:tcPr>
          <w:p w14:paraId="363D00A0" w14:textId="77777777" w:rsidR="00B81D94" w:rsidRPr="00B81D94" w:rsidRDefault="00B81D94">
            <w:pPr>
              <w:rPr>
                <w:rFonts w:ascii="Calibri" w:hAnsi="Calibri" w:cs="Calibri"/>
                <w:sz w:val="18"/>
                <w:szCs w:val="18"/>
                <w:lang w:eastAsia="ja-JP"/>
              </w:rPr>
            </w:pPr>
          </w:p>
        </w:tc>
      </w:tr>
    </w:tbl>
    <w:p w14:paraId="12323E1C"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064C4F27" w14:textId="77777777" w:rsidR="004A698E" w:rsidRDefault="004A698E">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68B5E926" w14:textId="77777777" w:rsidR="004A698E" w:rsidRDefault="004A698E">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197C109E"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47964A20"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6BA68776" w14:textId="77777777" w:rsidR="00035AC7" w:rsidRDefault="00035AC7">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sectPr w:rsidR="00035AC7">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pPr>
    </w:p>
    <w:p w14:paraId="6EA7B1E6" w14:textId="77777777" w:rsidR="00035AC7" w:rsidRPr="00F8540B" w:rsidRDefault="00035AC7">
      <w:pPr>
        <w:rPr>
          <w:lang w:val="en-US"/>
        </w:rPr>
      </w:pPr>
    </w:p>
    <w:sectPr w:rsidR="00035AC7" w:rsidRPr="00F8540B">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4006" w14:textId="77777777" w:rsidR="001F51CA" w:rsidRDefault="001F51CA" w:rsidP="00F8540B">
      <w:pPr>
        <w:spacing w:after="0" w:line="240" w:lineRule="auto"/>
      </w:pPr>
      <w:r>
        <w:separator/>
      </w:r>
    </w:p>
  </w:endnote>
  <w:endnote w:type="continuationSeparator" w:id="0">
    <w:p w14:paraId="05E0FA28" w14:textId="77777777" w:rsidR="001F51CA" w:rsidRDefault="001F51CA" w:rsidP="00F8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351D" w14:textId="77777777" w:rsidR="00F8540B" w:rsidRDefault="00F85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F768" w14:textId="77777777" w:rsidR="00F8540B" w:rsidRDefault="00F85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8C0D" w14:textId="77777777" w:rsidR="00F8540B" w:rsidRDefault="00F85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055BA" w14:textId="77777777" w:rsidR="001F51CA" w:rsidRDefault="001F51CA" w:rsidP="00F8540B">
      <w:pPr>
        <w:spacing w:after="0" w:line="240" w:lineRule="auto"/>
      </w:pPr>
      <w:r>
        <w:separator/>
      </w:r>
    </w:p>
  </w:footnote>
  <w:footnote w:type="continuationSeparator" w:id="0">
    <w:p w14:paraId="1516559B" w14:textId="77777777" w:rsidR="001F51CA" w:rsidRDefault="001F51CA" w:rsidP="00F85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8C34" w14:textId="77777777" w:rsidR="00F8540B" w:rsidRDefault="00F85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1633" w14:textId="77777777" w:rsidR="00F8540B" w:rsidRDefault="00F854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42C7" w14:textId="77777777" w:rsidR="00F8540B" w:rsidRDefault="00F854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bordersDoNotSurroundHeader/>
  <w:bordersDoNotSurroundFooter/>
  <w:proofState w:spelling="clean" w:grammar="clean"/>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B95"/>
    <w:rsid w:val="00035AC7"/>
    <w:rsid w:val="00061ECD"/>
    <w:rsid w:val="00097E09"/>
    <w:rsid w:val="001170CA"/>
    <w:rsid w:val="0013413D"/>
    <w:rsid w:val="001D15F2"/>
    <w:rsid w:val="001F51CA"/>
    <w:rsid w:val="00220528"/>
    <w:rsid w:val="00282441"/>
    <w:rsid w:val="002B586A"/>
    <w:rsid w:val="00351F43"/>
    <w:rsid w:val="003B08E2"/>
    <w:rsid w:val="003D3C64"/>
    <w:rsid w:val="004037E9"/>
    <w:rsid w:val="00436306"/>
    <w:rsid w:val="004643D3"/>
    <w:rsid w:val="004A698E"/>
    <w:rsid w:val="004F1ACC"/>
    <w:rsid w:val="005133B3"/>
    <w:rsid w:val="005553B0"/>
    <w:rsid w:val="005758D1"/>
    <w:rsid w:val="005D5748"/>
    <w:rsid w:val="00685092"/>
    <w:rsid w:val="00705E81"/>
    <w:rsid w:val="007B72AB"/>
    <w:rsid w:val="00800787"/>
    <w:rsid w:val="00802BDC"/>
    <w:rsid w:val="00834306"/>
    <w:rsid w:val="0086414E"/>
    <w:rsid w:val="00920A90"/>
    <w:rsid w:val="00930915"/>
    <w:rsid w:val="0095701A"/>
    <w:rsid w:val="00964137"/>
    <w:rsid w:val="00975A28"/>
    <w:rsid w:val="00980F0A"/>
    <w:rsid w:val="00A00A72"/>
    <w:rsid w:val="00A75F33"/>
    <w:rsid w:val="00B110EC"/>
    <w:rsid w:val="00B81D94"/>
    <w:rsid w:val="00BC5377"/>
    <w:rsid w:val="00C24A65"/>
    <w:rsid w:val="00C3346D"/>
    <w:rsid w:val="00C8297A"/>
    <w:rsid w:val="00C9605A"/>
    <w:rsid w:val="00E8403A"/>
    <w:rsid w:val="00EA1768"/>
    <w:rsid w:val="00F8540B"/>
    <w:rsid w:val="00FE6B95"/>
    <w:rsid w:val="00FF06C7"/>
    <w:rsid w:val="13E36AB9"/>
    <w:rsid w:val="5C0327A2"/>
    <w:rsid w:val="6A0E597A"/>
    <w:rsid w:val="73A2196A"/>
    <w:rsid w:val="7469325C"/>
    <w:rsid w:val="77255E0F"/>
    <w:rsid w:val="7CC32E48"/>
    <w:rsid w:val="7D16288F"/>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D98BE"/>
  <w15:docId w15:val="{7576D76E-3503-4E66-A872-71AFDDD8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lang w:val="zh-CN"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400" w:left="100" w:hangingChars="200" w:hanging="200"/>
    </w:pPr>
  </w:style>
  <w:style w:type="paragraph" w:styleId="CommentText">
    <w:name w:val="annotation text"/>
    <w:basedOn w:val="Normal"/>
    <w:uiPriority w:val="99"/>
    <w:qFormat/>
    <w:rPr>
      <w:rFonts w:eastAsia="PMingLiU"/>
      <w:lang w:val="en-US" w:eastAsia="zh-TW"/>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styleId="List4">
    <w:name w:val="List 4"/>
    <w:basedOn w:val="Normal"/>
    <w:uiPriority w:val="99"/>
    <w:semiHidden/>
    <w:unhideWhenUsed/>
    <w:qFormat/>
    <w:pPr>
      <w:ind w:leftChars="600" w:left="100" w:hangingChars="200" w:hanging="20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character" w:styleId="CommentReference">
    <w:name w:val="annotation reference"/>
    <w:basedOn w:val="DefaultParagraphFont"/>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msonormal0">
    <w:name w:val="msonormal"/>
    <w:basedOn w:val="Normal"/>
    <w:qFormat/>
    <w:pPr>
      <w:spacing w:before="100" w:beforeAutospacing="1" w:after="100" w:afterAutospacing="1"/>
    </w:pPr>
    <w:rPr>
      <w:rFonts w:ascii="Times New Roman" w:eastAsia="Times New Roman" w:hAnsi="Times New Roman" w:cs="Times New Roman"/>
      <w:lang w:eastAsia="en-GB"/>
    </w:rPr>
  </w:style>
  <w:style w:type="paragraph" w:customStyle="1" w:styleId="xl63">
    <w:name w:val="xl63"/>
    <w:basedOn w:val="Normal"/>
    <w:qFormat/>
    <w:pPr>
      <w:spacing w:before="100" w:beforeAutospacing="1" w:after="100" w:afterAutospacing="1"/>
      <w:textAlignment w:val="top"/>
    </w:pPr>
    <w:rPr>
      <w:rFonts w:ascii="Times New Roman" w:eastAsia="Times New Roman" w:hAnsi="Times New Roman" w:cs="Times New Roman"/>
      <w:lang w:eastAsia="en-GB"/>
    </w:rPr>
  </w:style>
  <w:style w:type="paragraph" w:customStyle="1" w:styleId="xl64">
    <w:name w:val="xl64"/>
    <w:basedOn w:val="Normal"/>
    <w:qFormat/>
    <w:pPr>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65">
    <w:name w:val="xl65"/>
    <w:basedOn w:val="Normal"/>
    <w:qFormat/>
    <w:pPr>
      <w:spacing w:before="100" w:beforeAutospacing="1" w:after="100" w:afterAutospacing="1"/>
      <w:textAlignment w:val="top"/>
    </w:pPr>
    <w:rPr>
      <w:rFonts w:ascii="Times New Roman" w:eastAsia="Times New Roman" w:hAnsi="Times New Roman" w:cs="Times New Roman"/>
      <w:lang w:eastAsia="en-GB"/>
    </w:rPr>
  </w:style>
  <w:style w:type="paragraph" w:customStyle="1" w:styleId="xl66">
    <w:name w:val="xl66"/>
    <w:basedOn w:val="Normal"/>
    <w:qFormat/>
    <w:pPr>
      <w:spacing w:before="100" w:beforeAutospacing="1" w:after="100" w:afterAutospacing="1"/>
      <w:textAlignment w:val="top"/>
    </w:pPr>
    <w:rPr>
      <w:rFonts w:ascii="Times New Roman" w:eastAsia="Times New Roman" w:hAnsi="Times New Roman" w:cs="Times New Roman"/>
      <w:b/>
      <w:bCs/>
      <w:lang w:eastAsia="en-GB"/>
    </w:rPr>
  </w:style>
  <w:style w:type="paragraph" w:customStyle="1" w:styleId="xl67">
    <w:name w:val="xl67"/>
    <w:basedOn w:val="Normal"/>
    <w:qFormat/>
    <w:pPr>
      <w:spacing w:before="100" w:beforeAutospacing="1" w:after="100" w:afterAutospacing="1"/>
      <w:jc w:val="center"/>
      <w:textAlignment w:val="top"/>
    </w:pPr>
    <w:rPr>
      <w:rFonts w:ascii="Times New Roman" w:eastAsia="Times New Roman" w:hAnsi="Times New Roman" w:cs="Times New Roman"/>
      <w:b/>
      <w:bCs/>
      <w:lang w:eastAsia="en-GB"/>
    </w:rPr>
  </w:style>
  <w:style w:type="paragraph" w:customStyle="1" w:styleId="xl68">
    <w:name w:val="xl68"/>
    <w:basedOn w:val="Normal"/>
    <w:qFormat/>
    <w:pPr>
      <w:spacing w:before="100" w:beforeAutospacing="1" w:after="100" w:afterAutospacing="1"/>
      <w:textAlignment w:val="top"/>
    </w:pPr>
    <w:rPr>
      <w:rFonts w:ascii="Times New Roman" w:eastAsia="Times New Roman" w:hAnsi="Times New Roman" w:cs="Times New Roman"/>
      <w:b/>
      <w:bCs/>
      <w:lang w:eastAsia="en-GB"/>
    </w:rPr>
  </w:style>
  <w:style w:type="paragraph" w:customStyle="1" w:styleId="xl69">
    <w:name w:val="xl69"/>
    <w:basedOn w:val="Normal"/>
    <w:qFormat/>
    <w:pPr>
      <w:spacing w:before="100" w:beforeAutospacing="1" w:after="100" w:afterAutospacing="1"/>
    </w:pPr>
    <w:rPr>
      <w:rFonts w:ascii="Times New Roman" w:eastAsia="Times New Roman" w:hAnsi="Times New Roman" w:cs="Times New Roman"/>
      <w:b/>
      <w:bCs/>
      <w:lang w:eastAsia="en-GB"/>
    </w:rPr>
  </w:style>
  <w:style w:type="paragraph" w:customStyle="1" w:styleId="xl70">
    <w:name w:val="xl70"/>
    <w:basedOn w:val="Normal"/>
    <w:qFormat/>
    <w:pPr>
      <w:pBdr>
        <w:top w:val="single" w:sz="4" w:space="0" w:color="D0CECE"/>
        <w:left w:val="single" w:sz="4" w:space="0" w:color="D0CECE"/>
        <w:bottom w:val="single" w:sz="4" w:space="0" w:color="D0CECE"/>
      </w:pBdr>
      <w:shd w:val="clear" w:color="000000" w:fill="E2EFDA"/>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71">
    <w:name w:val="xl71"/>
    <w:basedOn w:val="Normal"/>
    <w:qFormat/>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Times New Roman" w:eastAsia="Times New Roman" w:hAnsi="Times New Roman" w:cs="Times New Roman"/>
      <w:b/>
      <w:bCs/>
      <w:lang w:eastAsia="en-GB"/>
    </w:rPr>
  </w:style>
  <w:style w:type="paragraph" w:customStyle="1" w:styleId="xl72">
    <w:name w:val="xl72"/>
    <w:basedOn w:val="Normal"/>
    <w:qFormat/>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Times New Roman" w:eastAsia="Times New Roman" w:hAnsi="Times New Roman" w:cs="Times New Roman"/>
      <w:lang w:eastAsia="en-GB"/>
    </w:rPr>
  </w:style>
  <w:style w:type="paragraph" w:customStyle="1" w:styleId="xl73">
    <w:name w:val="xl73"/>
    <w:basedOn w:val="Normal"/>
    <w:qFormat/>
    <w:pPr>
      <w:pBdr>
        <w:top w:val="single" w:sz="4" w:space="0" w:color="D0CECE"/>
        <w:left w:val="single" w:sz="4" w:space="0" w:color="D0CECE"/>
        <w:bottom w:val="single" w:sz="4" w:space="0" w:color="D0CECE"/>
        <w:right w:val="single" w:sz="4" w:space="0" w:color="D0CECE"/>
      </w:pBdr>
      <w:shd w:val="clear" w:color="000000" w:fill="E2EFDA"/>
      <w:spacing w:before="100" w:beforeAutospacing="1" w:after="100" w:afterAutospacing="1"/>
      <w:textAlignment w:val="top"/>
    </w:pPr>
    <w:rPr>
      <w:rFonts w:ascii="Times New Roman" w:eastAsia="Times New Roman" w:hAnsi="Times New Roman" w:cs="Times New Roman"/>
      <w:lang w:eastAsia="en-GB"/>
    </w:rPr>
  </w:style>
  <w:style w:type="character" w:customStyle="1" w:styleId="B4Char">
    <w:name w:val="B4 Char"/>
    <w:basedOn w:val="DefaultParagraphFont"/>
    <w:link w:val="B4"/>
    <w:qFormat/>
    <w:rPr>
      <w:rFonts w:ascii="Times New Roman" w:eastAsia="Times New Roman" w:hAnsi="Times New Roman" w:cs="Times New Roman" w:hint="default"/>
      <w:lang w:val="en-US"/>
    </w:rPr>
  </w:style>
  <w:style w:type="paragraph" w:customStyle="1" w:styleId="B4">
    <w:name w:val="B4"/>
    <w:basedOn w:val="List4"/>
    <w:link w:val="B4Char"/>
    <w:qFormat/>
    <w:pPr>
      <w:overflowPunct w:val="0"/>
      <w:autoSpaceDE w:val="0"/>
      <w:autoSpaceDN w:val="0"/>
      <w:adjustRightInd w:val="0"/>
      <w:spacing w:after="180"/>
      <w:ind w:left="1418" w:hanging="284"/>
    </w:pPr>
    <w:rPr>
      <w:rFonts w:ascii="Times New Roman" w:eastAsia="Times New Roman" w:hAnsi="Times New Roman" w:cs="Times New Roman"/>
      <w:sz w:val="20"/>
      <w:szCs w:val="20"/>
      <w:lang w:val="en-US" w:eastAsia="zh-CN"/>
    </w:rPr>
  </w:style>
  <w:style w:type="paragraph" w:customStyle="1" w:styleId="B3">
    <w:name w:val="B3"/>
    <w:basedOn w:val="List3"/>
    <w:link w:val="B3Char2"/>
    <w:qFormat/>
    <w:pPr>
      <w:overflowPunct w:val="0"/>
      <w:autoSpaceDE w:val="0"/>
      <w:autoSpaceDN w:val="0"/>
      <w:adjustRightInd w:val="0"/>
      <w:spacing w:after="180"/>
      <w:ind w:left="1135" w:hanging="284"/>
    </w:pPr>
    <w:rPr>
      <w:rFonts w:ascii="Times New Roman" w:eastAsia="Times New Roman" w:hAnsi="Times New Roman" w:cs="Times New Roman"/>
      <w:sz w:val="20"/>
      <w:szCs w:val="20"/>
      <w:lang w:val="en-US" w:eastAsia="zh-CN"/>
    </w:rPr>
  </w:style>
  <w:style w:type="character" w:customStyle="1" w:styleId="B3Char2">
    <w:name w:val="B3 Char2"/>
    <w:basedOn w:val="DefaultParagraphFont"/>
    <w:link w:val="B3"/>
    <w:qFormat/>
    <w:rPr>
      <w:rFonts w:ascii="Times New Roman" w:eastAsia="Times New Roman" w:hAnsi="Times New Roman" w:cs="Times New Roman" w:hint="default"/>
      <w:lang w:val="en-US"/>
    </w:rPr>
  </w:style>
  <w:style w:type="paragraph" w:customStyle="1" w:styleId="TAL">
    <w:name w:val="TAL"/>
    <w:basedOn w:val="Normal"/>
    <w:qFormat/>
    <w:pPr>
      <w:keepNext/>
      <w:keepLines/>
      <w:spacing w:after="0"/>
    </w:pPr>
    <w:rPr>
      <w:rFonts w:ascii="Arial" w:hAnsi="Arial"/>
      <w:sz w:val="18"/>
    </w:rPr>
  </w:style>
  <w:style w:type="paragraph" w:styleId="Revision">
    <w:name w:val="Revision"/>
    <w:hidden/>
    <w:uiPriority w:val="99"/>
    <w:semiHidden/>
    <w:rsid w:val="003D3C64"/>
    <w:pPr>
      <w:spacing w:after="0" w:line="240" w:lineRule="auto"/>
    </w:pPr>
    <w:rPr>
      <w:rFonts w:asciiTheme="minorHAnsi" w:eastAsiaTheme="minorHAnsi" w:hAnsiTheme="minorHAnsi" w:cstheme="minorBidi"/>
      <w:sz w:val="24"/>
      <w:szCs w:val="24"/>
      <w:lang w:val="zh-CN" w:eastAsia="en-US"/>
    </w:rPr>
  </w:style>
  <w:style w:type="paragraph" w:styleId="Header">
    <w:name w:val="header"/>
    <w:basedOn w:val="Normal"/>
    <w:link w:val="HeaderChar"/>
    <w:uiPriority w:val="99"/>
    <w:unhideWhenUsed/>
    <w:rsid w:val="00F8540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F8540B"/>
    <w:rPr>
      <w:rFonts w:asciiTheme="minorHAnsi" w:eastAsiaTheme="minorHAnsi" w:hAnsiTheme="minorHAnsi" w:cstheme="minorBidi"/>
      <w:lang w:val="zh-CN" w:eastAsia="en-US"/>
    </w:rPr>
  </w:style>
  <w:style w:type="paragraph" w:styleId="Footer">
    <w:name w:val="footer"/>
    <w:basedOn w:val="Normal"/>
    <w:link w:val="FooterChar"/>
    <w:uiPriority w:val="99"/>
    <w:unhideWhenUsed/>
    <w:rsid w:val="00F8540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8540B"/>
    <w:rPr>
      <w:rFonts w:asciiTheme="minorHAnsi" w:eastAsiaTheme="minorHAnsi" w:hAnsiTheme="minorHAnsi" w:cstheme="minorBidi"/>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7597">
      <w:bodyDiv w:val="1"/>
      <w:marLeft w:val="0"/>
      <w:marRight w:val="0"/>
      <w:marTop w:val="0"/>
      <w:marBottom w:val="0"/>
      <w:divBdr>
        <w:top w:val="none" w:sz="0" w:space="0" w:color="auto"/>
        <w:left w:val="none" w:sz="0" w:space="0" w:color="auto"/>
        <w:bottom w:val="none" w:sz="0" w:space="0" w:color="auto"/>
        <w:right w:val="none" w:sz="0" w:space="0" w:color="auto"/>
      </w:divBdr>
    </w:div>
    <w:div w:id="254754566">
      <w:bodyDiv w:val="1"/>
      <w:marLeft w:val="0"/>
      <w:marRight w:val="0"/>
      <w:marTop w:val="0"/>
      <w:marBottom w:val="0"/>
      <w:divBdr>
        <w:top w:val="none" w:sz="0" w:space="0" w:color="auto"/>
        <w:left w:val="none" w:sz="0" w:space="0" w:color="auto"/>
        <w:bottom w:val="none" w:sz="0" w:space="0" w:color="auto"/>
        <w:right w:val="none" w:sz="0" w:space="0" w:color="auto"/>
      </w:divBdr>
    </w:div>
    <w:div w:id="855192644">
      <w:bodyDiv w:val="1"/>
      <w:marLeft w:val="0"/>
      <w:marRight w:val="0"/>
      <w:marTop w:val="0"/>
      <w:marBottom w:val="0"/>
      <w:divBdr>
        <w:top w:val="none" w:sz="0" w:space="0" w:color="auto"/>
        <w:left w:val="none" w:sz="0" w:space="0" w:color="auto"/>
        <w:bottom w:val="none" w:sz="0" w:space="0" w:color="auto"/>
        <w:right w:val="none" w:sz="0" w:space="0" w:color="auto"/>
      </w:divBdr>
    </w:div>
    <w:div w:id="1049918544">
      <w:bodyDiv w:val="1"/>
      <w:marLeft w:val="0"/>
      <w:marRight w:val="0"/>
      <w:marTop w:val="0"/>
      <w:marBottom w:val="0"/>
      <w:divBdr>
        <w:top w:val="none" w:sz="0" w:space="0" w:color="auto"/>
        <w:left w:val="none" w:sz="0" w:space="0" w:color="auto"/>
        <w:bottom w:val="none" w:sz="0" w:space="0" w:color="auto"/>
        <w:right w:val="none" w:sz="0" w:space="0" w:color="auto"/>
      </w:divBdr>
    </w:div>
    <w:div w:id="1243685378">
      <w:bodyDiv w:val="1"/>
      <w:marLeft w:val="0"/>
      <w:marRight w:val="0"/>
      <w:marTop w:val="0"/>
      <w:marBottom w:val="0"/>
      <w:divBdr>
        <w:top w:val="none" w:sz="0" w:space="0" w:color="auto"/>
        <w:left w:val="none" w:sz="0" w:space="0" w:color="auto"/>
        <w:bottom w:val="none" w:sz="0" w:space="0" w:color="auto"/>
        <w:right w:val="none" w:sz="0" w:space="0" w:color="auto"/>
      </w:divBdr>
    </w:div>
    <w:div w:id="1281032413">
      <w:bodyDiv w:val="1"/>
      <w:marLeft w:val="0"/>
      <w:marRight w:val="0"/>
      <w:marTop w:val="0"/>
      <w:marBottom w:val="0"/>
      <w:divBdr>
        <w:top w:val="none" w:sz="0" w:space="0" w:color="auto"/>
        <w:left w:val="none" w:sz="0" w:space="0" w:color="auto"/>
        <w:bottom w:val="none" w:sz="0" w:space="0" w:color="auto"/>
        <w:right w:val="none" w:sz="0" w:space="0" w:color="auto"/>
      </w:divBdr>
    </w:div>
    <w:div w:id="169346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25A63F-7315-44DD-836C-700D346F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Ericsson</cp:lastModifiedBy>
  <cp:revision>50</cp:revision>
  <dcterms:created xsi:type="dcterms:W3CDTF">2024-02-06T12:35:00Z</dcterms:created>
  <dcterms:modified xsi:type="dcterms:W3CDTF">2024-04-08T15:29:00Z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8F7E309A779A454D86EDEBEAE1D6C37E</vt:lpwstr>
  </property>
  <property fmtid="{D5CDD505-2E9C-101B-9397-08002B2CF9AE}" pid="4" name="MSIP_Label_83bcef13-7cac-433f-ba1d-47a323951816_Enabled">
    <vt:lpwstr>true</vt:lpwstr>
  </property>
  <property fmtid="{D5CDD505-2E9C-101B-9397-08002B2CF9AE}" pid="5" name="MSIP_Label_83bcef13-7cac-433f-ba1d-47a323951816_SetDate">
    <vt:lpwstr>2024-02-09T02:43:59Z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47ff7a7d-a9e6-4348-9e89-6e422901a41c</vt:lpwstr>
  </property>
  <property fmtid="{D5CDD505-2E9C-101B-9397-08002B2CF9AE}" pid="10" name="MSIP_Label_83bcef13-7cac-433f-ba1d-47a323951816_ContentBits">
    <vt:lpwstr>0</vt:lpwstr>
  </property>
</Properties>
</file>