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assuming that UE has a dedicated RX/TX chain for V2X sidelink communication. Otherwise, the UE may interrupt the V2X sidelink </w:t>
      </w:r>
      <w:r w:rsidR="000A3EBF">
        <w:t>communication in order to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as the synchronization reference source</w:t>
      </w:r>
      <w:r w:rsidRPr="00E40E07">
        <w:t>;</w:t>
      </w:r>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5pt;height:15.5pt" o:ole="">
            <v:imagedata r:id="rId8" o:title=""/>
          </v:shape>
          <o:OLEObject Type="Embed" ProgID="Equation.DSMT4" ShapeID="_x0000_i1025" DrawAspect="Content" ObjectID="_1799228252"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6.5pt;height:15.5pt" o:ole="">
            <v:imagedata r:id="rId10" o:title=""/>
          </v:shape>
          <o:OLEObject Type="Embed" ProgID="Equation.DSMT4" ShapeID="_x0000_i1026" DrawAspect="Content" ObjectID="_1799228253"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5pt;height:20.5pt" o:ole="">
            <v:imagedata r:id="rId12" o:title=""/>
          </v:shape>
          <o:OLEObject Type="Embed" ProgID="Equation.DSMT4" ShapeID="_x0000_i1027" DrawAspect="Content" ObjectID="_1799228254"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7.55pt;height:15.5pt" o:ole="">
            <v:imagedata r:id="rId8" o:title=""/>
          </v:shape>
          <o:OLEObject Type="Embed" ProgID="Equation.DSMT4" ShapeID="_x0000_i1028" DrawAspect="Content" ObjectID="_1799228255"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20.5pt;height:15.5pt" o:ole="">
            <v:imagedata r:id="rId12" o:title=""/>
          </v:shape>
          <o:OLEObject Type="Embed" ProgID="Equation.DSMT4" ShapeID="_x0000_i1029" DrawAspect="Content" ObjectID="_1799228256"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45pt;height:15.5pt" o:ole="">
            <v:imagedata r:id="rId10" o:title=""/>
          </v:shape>
          <o:OLEObject Type="Embed" ProgID="Equation.DSMT4" ShapeID="_x0000_i1030" DrawAspect="Content" ObjectID="_1799228257"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45pt;height:15.5pt" o:ole="">
            <v:imagedata r:id="rId10" o:title=""/>
          </v:shape>
          <o:OLEObject Type="Embed" ProgID="Equation.DSMT4" ShapeID="_x0000_i1031" DrawAspect="Content" ObjectID="_1799228258"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7.55pt;height:15.5pt" o:ole="">
            <v:imagedata r:id="rId8" o:title=""/>
          </v:shape>
          <o:OLEObject Type="Embed" ProgID="Equation.DSMT4" ShapeID="_x0000_i1032" DrawAspect="Content" ObjectID="_1799228259"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45pt;height:15.5pt" o:ole="">
            <v:imagedata r:id="rId10" o:title=""/>
          </v:shape>
          <o:OLEObject Type="Embed" ProgID="Equation.DSMT4" ShapeID="_x0000_i1033" DrawAspect="Content" ObjectID="_1799228260"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5pt;height:20.5pt" o:ole="">
            <v:imagedata r:id="rId12" o:title=""/>
          </v:shape>
          <o:OLEObject Type="Embed" ProgID="Equation.DSMT4" ShapeID="_x0000_i1034" DrawAspect="Content" ObjectID="_1799228261"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7.55pt;height:15.5pt" o:ole="">
            <v:imagedata r:id="rId8" o:title=""/>
          </v:shape>
          <o:OLEObject Type="Embed" ProgID="Equation.DSMT4" ShapeID="_x0000_i1035" DrawAspect="Content" ObjectID="_1799228262"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45pt;height:15.5pt" o:ole="">
            <v:imagedata r:id="rId10" o:title=""/>
          </v:shape>
          <o:OLEObject Type="Embed" ProgID="Equation.DSMT4" ShapeID="_x0000_i1036" DrawAspect="Content" ObjectID="_1799228263"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5pt;height:20.5pt" o:ole="">
            <v:imagedata r:id="rId12" o:title=""/>
          </v:shape>
          <o:OLEObject Type="Embed" ProgID="Equation.DSMT4" ShapeID="_x0000_i1037" DrawAspect="Content" ObjectID="_1799228264"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r w:rsidRPr="00E40E07">
        <w:rPr>
          <w:rFonts w:cs="v4.2.0"/>
        </w:rPr>
        <w:t>where,</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E40E07"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E40E07" w:rsidRDefault="001C6214" w:rsidP="00DA29A5">
            <w:pPr>
              <w:pStyle w:val="TAC"/>
              <w:rPr>
                <w:b/>
              </w:rPr>
            </w:pPr>
            <w:r w:rsidRPr="00E40E07">
              <w:t>ceil(</w:t>
            </w:r>
            <w:r w:rsidR="00F43117">
              <w:t xml:space="preserve"> </w:t>
            </w:r>
            <w:r w:rsidRPr="00E40E07">
              <w:t>7</w:t>
            </w:r>
            <w:r w:rsidR="00F43117">
              <w:t xml:space="preserve"> </w:t>
            </w:r>
            <w:r w:rsidRPr="00E40E07">
              <w:t>x</w:t>
            </w:r>
            <w:r w:rsidR="00F43117">
              <w:t xml:space="preserve"> </w:t>
            </w:r>
            <w:r w:rsidRPr="00E40E07">
              <w:t>K</w:t>
            </w:r>
            <w:r w:rsidRPr="00E40E07">
              <w:rPr>
                <w:vertAlign w:val="subscript"/>
              </w:rPr>
              <w:t>p</w:t>
            </w:r>
            <w:r w:rsidR="00F43117">
              <w:rPr>
                <w:vertAlign w:val="subscript"/>
              </w:rPr>
              <w:t xml:space="preserve"> </w:t>
            </w:r>
            <w:r w:rsidRPr="00E40E07">
              <w:t>)</w:t>
            </w:r>
            <w:r w:rsidR="00F43117">
              <w:t xml:space="preserve"> </w:t>
            </w:r>
            <w:r w:rsidRPr="00E40E07">
              <w:t>x</w:t>
            </w:r>
            <w:r w:rsidR="00F43117">
              <w:t xml:space="preserve"> </w:t>
            </w:r>
            <w:r w:rsidRPr="00E40E07">
              <w:t>DRX</w:t>
            </w:r>
            <w:r w:rsidR="00F43117">
              <w:t xml:space="preserve"> </w:t>
            </w:r>
            <w:r w:rsidRPr="00E40E07">
              <w:t>cycle</w:t>
            </w:r>
            <w:r w:rsidR="00F43117">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r w:rsidRPr="00E40E07">
        <w:rPr>
          <w:rFonts w:cs="v4.2.0"/>
        </w:rPr>
        <w:t>where,</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out of coverage on the NR sidelink carrier and in coverage with a serving cell on a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A SyncRef UE is considered to be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553EBFB8" w14:textId="77777777" w:rsidR="009E6A2E" w:rsidRPr="00E40E07" w:rsidRDefault="009E6A2E" w:rsidP="00C0494E">
      <w:pPr>
        <w:pStyle w:val="B10"/>
        <w:rPr>
          <w:lang w:eastAsia="zh-CN"/>
        </w:rPr>
      </w:pPr>
      <w:r w:rsidRPr="00E40E07">
        <w:rPr>
          <w:lang w:eastAsia="zh-CN"/>
        </w:rPr>
        <w:t>-</w:t>
      </w:r>
      <w:r w:rsidRPr="00E40E07">
        <w:rPr>
          <w:lang w:eastAsia="zh-CN"/>
        </w:rPr>
        <w:tab/>
        <w:t>When UE is in non-SL-DRX</w:t>
      </w:r>
    </w:p>
    <w:p w14:paraId="634DD932" w14:textId="36F1ACED" w:rsidR="009E6A2E" w:rsidRPr="00E40E07" w:rsidRDefault="00815617" w:rsidP="009E6A2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3C924DD2" w14:textId="77777777" w:rsidR="009E6A2E" w:rsidRPr="00E40E07" w:rsidRDefault="009E6A2E" w:rsidP="009E6A2E">
      <w:pPr>
        <w:pStyle w:val="B2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53C05864"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150BCBC6" w14:textId="3626BC2A" w:rsidR="009E6A2E" w:rsidRPr="00E40E07" w:rsidRDefault="00815617" w:rsidP="009E6A2E">
      <w:pPr>
        <w:pStyle w:val="B20"/>
        <w:rPr>
          <w:lang w:eastAsia="zh-CN"/>
        </w:rPr>
      </w:pPr>
      <w:r>
        <w:t>-</w:t>
      </w:r>
      <w:r>
        <w:tab/>
      </w:r>
      <w:r>
        <w:rPr>
          <w:rFonts w:eastAsia="Malgun Gothic"/>
        </w:rPr>
        <w:t>UE shall be able to identify newly detectable intra-frequency SyncRef UE within T</w:t>
      </w:r>
      <w:r>
        <w:rPr>
          <w:rFonts w:eastAsia="Malgun Gothic"/>
          <w:vertAlign w:val="subscript"/>
        </w:rPr>
        <w:t>detect,SyncRef UE_V2X</w:t>
      </w:r>
      <w:r>
        <w:rPr>
          <w:rFonts w:eastAsia="Malgun Gothic"/>
        </w:rPr>
        <w:t xml:space="preserve"> seconds if the SyncRef UE meets the selection / reselection criterion defined in TS 38.331 [2]. T</w:t>
      </w:r>
      <w:r>
        <w:rPr>
          <w:rFonts w:eastAsia="Malgun Gothic"/>
          <w:vertAlign w:val="subscript"/>
        </w:rPr>
        <w:t>detect,SyncRef UE_V2X</w:t>
      </w:r>
      <w:r>
        <w:rPr>
          <w:rFonts w:eastAsia="Malgun Gothic"/>
        </w:rPr>
        <w:t xml:space="preserve"> is defined as </w:t>
      </w:r>
      <w:r>
        <w:rPr>
          <w:lang w:eastAsia="zh-CN"/>
        </w:rPr>
        <w:t xml:space="preserve">8 </w:t>
      </w:r>
      <w:r>
        <w:rPr>
          <w:rFonts w:eastAsia="Malgun Gothic"/>
        </w:rPr>
        <w:t xml:space="preserve">seconds at </w:t>
      </w:r>
      <w:r>
        <w:rPr>
          <w:lang w:eastAsia="zh-CN"/>
        </w:rPr>
        <w:t>S-SSB</w:t>
      </w:r>
      <w:r>
        <w:rPr>
          <w:rFonts w:eastAsia="Malgun Gothic"/>
        </w:rPr>
        <w:t xml:space="preserve"> </w:t>
      </w:r>
      <w:r>
        <w:rPr>
          <w:lang w:val="en-US"/>
        </w:rPr>
        <w:t>Ê</w:t>
      </w:r>
      <w:r>
        <w:rPr>
          <w:rFonts w:eastAsia="Malgun Gothic"/>
        </w:rPr>
        <w:t xml:space="preserve">s/Iot </w:t>
      </w:r>
      <w:r>
        <w:rPr>
          <w:rFonts w:eastAsia="Malgun Gothic" w:hint="eastAsia"/>
          <w:lang w:val="en-US"/>
        </w:rPr>
        <w:t>≥</w:t>
      </w:r>
      <w:r>
        <w:rPr>
          <w:rFonts w:eastAsia="Malgun Gothic"/>
          <w:lang w:val="en-US"/>
        </w:rPr>
        <w:t xml:space="preserve"> </w:t>
      </w:r>
      <w:r>
        <w:rPr>
          <w:lang w:eastAsia="zh-CN"/>
        </w:rPr>
        <w:t xml:space="preserve">0 </w:t>
      </w:r>
      <w:r>
        <w:rPr>
          <w:rFonts w:eastAsia="Malgun Gothic"/>
        </w:rPr>
        <w:t xml:space="preserve">dB, provided that the V2X UE is allowed to drop a maximum of </w:t>
      </w:r>
      <w:r>
        <w:rPr>
          <w:lang w:eastAsia="zh-CN"/>
        </w:rPr>
        <w:t xml:space="preserve">6 </w:t>
      </w:r>
      <w:r>
        <w:rPr>
          <w:rFonts w:eastAsia="Malgun Gothic"/>
        </w:rPr>
        <w:t>% of its V2X data and SLSS transmissions for the purpose of selection / reselection to the SyncRef UE.</w:t>
      </w:r>
    </w:p>
    <w:p w14:paraId="00951D70" w14:textId="1BE7E8C9" w:rsidR="009E6A2E" w:rsidRPr="00E40E07" w:rsidRDefault="009E6A2E" w:rsidP="009E6A2E">
      <w:pPr>
        <w:pStyle w:val="B20"/>
        <w:rPr>
          <w:lang w:eastAsia="zh-CN"/>
        </w:rPr>
      </w:pPr>
      <w:r w:rsidRPr="00E40E07">
        <w:rPr>
          <w:lang w:eastAsia="zh-CN"/>
        </w:rPr>
        <w:t>-</w:t>
      </w:r>
      <w:r w:rsidR="006D43E3"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600A060" w14:textId="42C16283" w:rsidR="00D76BDB" w:rsidRPr="00E40E07" w:rsidRDefault="00D76BDB" w:rsidP="00D76BDB">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060D3F5" w14:textId="32BB4600" w:rsidR="009E6A2E" w:rsidRPr="00E40E07" w:rsidRDefault="006D43E3" w:rsidP="006D43E3">
      <w:pPr>
        <w:pStyle w:val="B20"/>
        <w:rPr>
          <w:lang w:eastAsia="zh-CN"/>
        </w:rPr>
      </w:pPr>
      <w:r w:rsidRPr="00E40E07">
        <w:rPr>
          <w:lang w:eastAsia="zh-CN"/>
        </w:rPr>
        <w:t>-</w:t>
      </w:r>
      <w:r w:rsidRPr="00E40E07">
        <w:rPr>
          <w:lang w:eastAsia="zh-CN"/>
        </w:rPr>
        <w:tab/>
      </w:r>
      <w:r w:rsidR="009E6A2E" w:rsidRPr="00E40E07">
        <w:rPr>
          <w:lang w:eastAsia="zh-CN"/>
        </w:rPr>
        <w:t xml:space="preserve">SS-RSRP is larger than </w:t>
      </w:r>
      <w:r w:rsidR="009E6A2E" w:rsidRPr="00E40E07">
        <w:rPr>
          <w:i/>
          <w:iCs/>
          <w:lang w:eastAsia="zh-CN"/>
        </w:rPr>
        <w:t>syncTxThreshOoC</w:t>
      </w:r>
      <w:r w:rsidR="009E6A2E" w:rsidRPr="00E40E07">
        <w:rPr>
          <w:lang w:eastAsia="zh-CN"/>
        </w:rPr>
        <w:t>.</w:t>
      </w:r>
    </w:p>
    <w:p w14:paraId="05DDB5E5" w14:textId="77777777"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Pr="00E40E07" w:rsidRDefault="009E6A2E" w:rsidP="00C0494E">
      <w:pPr>
        <w:pStyle w:val="B10"/>
        <w:rPr>
          <w:lang w:eastAsia="zh-CN"/>
        </w:rPr>
      </w:pPr>
      <w:r w:rsidRPr="00E40E07">
        <w:rPr>
          <w:lang w:eastAsia="zh-CN"/>
        </w:rPr>
        <w:t>-</w:t>
      </w:r>
      <w:r w:rsidRPr="00E40E07">
        <w:rPr>
          <w:lang w:eastAsia="zh-CN"/>
        </w:rPr>
        <w:tab/>
        <w:t>When UE is in non-SL-DRX</w:t>
      </w:r>
    </w:p>
    <w:p w14:paraId="4D21E4CA" w14:textId="47ADCCD4" w:rsidR="009E6A2E" w:rsidRPr="00E40E07" w:rsidRDefault="00815617" w:rsidP="009E6A2E">
      <w:pPr>
        <w:pStyle w:val="B10"/>
        <w:rPr>
          <w:rFonts w:eastAsia="Malgun Gothic"/>
        </w:rPr>
      </w:pPr>
      <w:r>
        <w:t>-</w:t>
      </w:r>
      <w:r>
        <w:tab/>
      </w:r>
      <w:r>
        <w:rPr>
          <w:rFonts w:eastAsia="Malgun Gothic"/>
        </w:rPr>
        <w:t>UE shall be able to identify newly detectable intra-frequency SyncRef UE within T</w:t>
      </w:r>
      <w:r>
        <w:rPr>
          <w:rFonts w:eastAsia="Malgun Gothic"/>
          <w:vertAlign w:val="subscript"/>
        </w:rPr>
        <w:t>detect,SyncRef UE_V2X</w:t>
      </w:r>
      <w:r>
        <w:rPr>
          <w:rFonts w:eastAsia="Malgun Gothic"/>
        </w:rPr>
        <w:t xml:space="preserve"> seconds if the SyncRef UE meets the selection / reselection criterion defined in TS 38.331 [2].  T</w:t>
      </w:r>
      <w:r>
        <w:rPr>
          <w:rFonts w:eastAsia="Malgun Gothic"/>
          <w:vertAlign w:val="subscript"/>
        </w:rPr>
        <w:t>detect,SyncRef UE_V2X</w:t>
      </w:r>
      <w:r>
        <w:rPr>
          <w:rFonts w:eastAsia="Malgun Gothic"/>
        </w:rPr>
        <w:t xml:space="preserve"> is defined as </w:t>
      </w:r>
      <w:r>
        <w:rPr>
          <w:lang w:eastAsia="zh-CN"/>
        </w:rPr>
        <w:t xml:space="preserve">8 </w:t>
      </w:r>
      <w:r>
        <w:rPr>
          <w:rFonts w:eastAsia="Malgun Gothic"/>
        </w:rPr>
        <w:t xml:space="preserve"> seconds at SCH Es/Iot </w:t>
      </w:r>
      <w:r>
        <w:rPr>
          <w:rFonts w:eastAsia="Malgun Gothic" w:hint="eastAsia"/>
          <w:lang w:val="en-US"/>
        </w:rPr>
        <w:t>≥</w:t>
      </w:r>
      <w:r>
        <w:rPr>
          <w:rFonts w:eastAsia="Malgun Gothic"/>
          <w:lang w:val="en-US"/>
        </w:rPr>
        <w:t xml:space="preserve"> </w:t>
      </w:r>
      <w:r>
        <w:rPr>
          <w:lang w:eastAsia="zh-CN"/>
        </w:rPr>
        <w:t xml:space="preserve">0 </w:t>
      </w:r>
      <w:r>
        <w:rPr>
          <w:rFonts w:eastAsia="Malgun Gothic"/>
        </w:rPr>
        <w:t xml:space="preserve">dB, provided that the V2X UE is allowed to drop a maximum of </w:t>
      </w:r>
      <w:r>
        <w:rPr>
          <w:lang w:eastAsia="zh-CN"/>
        </w:rPr>
        <w:t xml:space="preserve">6 </w:t>
      </w:r>
      <w:r>
        <w:rPr>
          <w:rFonts w:eastAsia="Malgun Gothic"/>
        </w:rPr>
        <w:t>% of its V2X data and SLSS transmissions for the purpose of selection / reselection to the SyncRef UE.</w:t>
      </w:r>
    </w:p>
    <w:p w14:paraId="2852F5C5" w14:textId="77777777" w:rsidR="009E6A2E" w:rsidRPr="00E40E07" w:rsidRDefault="009E6A2E" w:rsidP="009E6A2E">
      <w:pPr>
        <w:pStyle w:val="B10"/>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A SyncRef UE is considered to be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26661DD3" w14:textId="77777777" w:rsidR="001F1502" w:rsidRPr="00E40E07" w:rsidRDefault="001F1502" w:rsidP="00F43117">
      <w:pPr>
        <w:pStyle w:val="B10"/>
        <w:keepNext/>
        <w:keepLines/>
        <w:ind w:left="284"/>
        <w:rPr>
          <w:lang w:eastAsia="zh-CN"/>
        </w:rPr>
      </w:pPr>
      <w:r w:rsidRPr="00E40E07">
        <w:t>For</w:t>
      </w:r>
      <w:r w:rsidRPr="00E40E07">
        <w:rPr>
          <w:lang w:eastAsia="zh-CN"/>
        </w:rPr>
        <w:t xml:space="preserve"> other cases</w:t>
      </w:r>
    </w:p>
    <w:p w14:paraId="3692F43B" w14:textId="77777777" w:rsidR="001F1502" w:rsidRPr="00E40E07" w:rsidRDefault="001F1502" w:rsidP="00F43117">
      <w:pPr>
        <w:pStyle w:val="B20"/>
        <w:keepNext/>
        <w:keepLines/>
        <w:ind w:left="568"/>
        <w:rPr>
          <w:lang w:eastAsia="zh-CN"/>
        </w:rPr>
      </w:pPr>
      <w:r w:rsidRPr="00E40E07">
        <w:rPr>
          <w:lang w:eastAsia="zh-CN"/>
        </w:rPr>
        <w:t>-</w:t>
      </w:r>
      <w:r w:rsidRPr="00E40E07">
        <w:rPr>
          <w:lang w:eastAsia="zh-CN"/>
        </w:rPr>
        <w:tab/>
        <w:t>When UE is in non-SL-DRX</w:t>
      </w:r>
    </w:p>
    <w:p w14:paraId="3EB04756" w14:textId="3DE363C6" w:rsidR="001F1502" w:rsidRPr="00E40E07" w:rsidRDefault="000D738C" w:rsidP="00F43117">
      <w:pPr>
        <w:pStyle w:val="B20"/>
        <w:keepNext/>
        <w:keepLines/>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0BAD8829" w14:textId="7B00327E" w:rsidR="001F1502" w:rsidRPr="00E40E07" w:rsidRDefault="003B12BC" w:rsidP="001F1502">
      <w:pPr>
        <w:pStyle w:val="B2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B4D3F2D"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7D7D5040" w14:textId="29DFAF7E" w:rsidR="001F1502" w:rsidRPr="00E40E07" w:rsidRDefault="00753268" w:rsidP="001F1502">
      <w:pPr>
        <w:pStyle w:val="B20"/>
        <w:rPr>
          <w:lang w:eastAsia="zh-CN"/>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 xml:space="preserve">8 </w:t>
      </w:r>
      <w:r w:rsidRPr="00E40E07">
        <w:rPr>
          <w:rFonts w:eastAsia="Malgun Gothic"/>
        </w:rPr>
        <w:t xml:space="preserve">seconds at </w:t>
      </w:r>
      <w:r w:rsidRPr="00E40E07">
        <w:rPr>
          <w:lang w:eastAsia="zh-CN"/>
        </w:rPr>
        <w:t>S-SSB</w:t>
      </w:r>
      <w:r w:rsidRPr="00E40E07">
        <w:rPr>
          <w:rFonts w:eastAsia="Malgun Gothic"/>
        </w:rPr>
        <w:t xml:space="preserve"> </w:t>
      </w:r>
      <w:r w:rsidRPr="00E40E07">
        <w:t>Ê</w:t>
      </w:r>
      <w:r w:rsidRPr="00E40E07">
        <w:rPr>
          <w:rFonts w:eastAsia="Malgun Gothic"/>
        </w:rPr>
        <w:t xml:space="preserv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B7C9C36" w14:textId="71BF7642" w:rsidR="001F1502" w:rsidRPr="00E40E07" w:rsidRDefault="00E81DBF" w:rsidP="001F1502">
      <w:pPr>
        <w:pStyle w:val="B2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681B24A" w14:textId="4D827D28"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38A17F39"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77777777"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has to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D0D0CC3" w:rsidR="00240BED" w:rsidRPr="00E40E07" w:rsidRDefault="000523A1" w:rsidP="00F43117">
      <w:pPr>
        <w:keepNext/>
        <w:rPr>
          <w:rFonts w:ascii="TimesNewRomanPSMT" w:eastAsia="Calibri" w:hAnsi="TimesNewRomanPSMT"/>
        </w:rPr>
      </w:pPr>
      <w:r>
        <w:rPr>
          <w:rFonts w:eastAsia="Calibri"/>
        </w:rPr>
        <w:t>clause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UE is in any cell selection state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assuming that UE has a dedicated RX/TX chain for the sidelink operation. Otherwise, the UE may interrup the SL positioning measurements in order to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NOTE 3: When a UE in RRC_CONNECTED state is performing transmissions and/or reception for SL positioning operation, the UE shall meet all relevant requirements related to its WAN operation, assuming that UE has a dedicated RX/TX chain for the sidelink operation. Otherwise, the UE may interrup the SL positioning measurements or SL-PRS transmissions in order to meet the measurement requirements related to its WAN operation.</w:t>
      </w:r>
    </w:p>
    <w:p w14:paraId="6E93B1B8" w14:textId="2320BD07" w:rsidR="00240BED" w:rsidRPr="00E40E07" w:rsidRDefault="00240BED" w:rsidP="00240BED">
      <w:pPr>
        <w:spacing w:after="160" w:line="256" w:lineRule="auto"/>
        <w:rPr>
          <w:rFonts w:ascii="Calibri" w:eastAsia="Calibri" w:hAnsi="Calibri"/>
          <w:kern w:val="2"/>
          <w:sz w:val="22"/>
          <w:szCs w:val="22"/>
          <w14:ligatures w14:val="standardContextual"/>
        </w:rPr>
      </w:pPr>
      <w:r w:rsidRPr="00E40E07">
        <w:rPr>
          <w:rFonts w:ascii="TimesNewRomanPSMT" w:eastAsia="Calibri" w:hAnsi="TimesNewRomanPSMT"/>
          <w:kern w:val="2"/>
          <w:sz w:val="22"/>
          <w:szCs w:val="22"/>
          <w14:ligatures w14:val="standardContextual"/>
        </w:rPr>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74CE7136"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in TS 38.215 [4]. The SL RSTD measurement shall be performed d</w:t>
      </w:r>
      <w:r w:rsidR="0017388B" w:rsidRPr="00E40E07">
        <w:rPr>
          <w:rFonts w:eastAsia="Calibri"/>
          <w:kern w:val="2"/>
          <w:lang w:eastAsia="zh-CN"/>
          <w14:ligatures w14:val="standardContextual"/>
        </w:rPr>
        <w:t>uring</w:t>
      </w:r>
      <w:r w:rsidR="0017388B" w:rsidRPr="00E40E07">
        <w:rPr>
          <w:rFonts w:eastAsia="Calibri"/>
          <w:kern w:val="2"/>
          <w14:ligatures w14:val="standardContextual"/>
        </w:rPr>
        <w:t xml:space="preserve">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RSTD,total</m:t>
            </m:r>
          </m:sub>
        </m:sSub>
      </m:oMath>
      <w:r w:rsidR="005C15F7" w:rsidRPr="00E40E07">
        <w:rPr>
          <w:rFonts w:eastAsia="Calibri"/>
          <w:kern w:val="2"/>
          <w14:ligatures w14:val="standardContextual"/>
        </w:rPr>
        <w:t xml:space="preserve"> </w:t>
      </w:r>
      <w:r w:rsidR="0017388B" w:rsidRPr="00E40E07">
        <w:rPr>
          <w:rFonts w:eastAsia="Calibri"/>
          <w:kern w:val="2"/>
          <w14:ligatures w14:val="standardContextual"/>
        </w:rPr>
        <w:t>defined as:</w:t>
      </w:r>
    </w:p>
    <w:p w14:paraId="089CE6E2" w14:textId="77777777" w:rsidR="00240BED" w:rsidRPr="00E40E07" w:rsidRDefault="00000000"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iCs/>
                <w:kern w:val="2"/>
                <w:sz w:val="22"/>
                <w:szCs w:val="22"/>
                <w14:ligatures w14:val="standardContextual"/>
              </w:rPr>
            </m:ctrlPr>
          </m:sSubPr>
          <m:e>
            <m:r>
              <m:rPr>
                <m:sty m:val="p"/>
              </m:rPr>
              <w:rPr>
                <w:rFonts w:ascii="Cambria Math" w:eastAsia="Calibri" w:hAnsi="Cambria Math"/>
                <w:kern w:val="2"/>
                <w:sz w:val="22"/>
                <w:szCs w:val="22"/>
                <w14:ligatures w14:val="standardContextual"/>
              </w:rPr>
              <m:t>T</m:t>
            </m:r>
          </m:e>
          <m:sub>
            <m:r>
              <m:rPr>
                <m:sty m:val="p"/>
              </m:rPr>
              <w:rPr>
                <w:rFonts w:ascii="Cambria Math" w:eastAsia="Calibri" w:hAnsi="Cambria Math"/>
                <w:kern w:val="2"/>
                <w:sz w:val="22"/>
                <w:szCs w:val="22"/>
                <w14:ligatures w14:val="standardContextual"/>
              </w:rPr>
              <m:t>SL RSTD,Total</m:t>
            </m:r>
          </m:sub>
        </m:sSub>
        <m:r>
          <m:rPr>
            <m:sty m:val="p"/>
          </m:rPr>
          <w:rPr>
            <w:rFonts w:ascii="Cambria Math" w:eastAsia="Calibri" w:hAnsi="Cambria Math"/>
            <w:kern w:val="2"/>
            <w:sz w:val="22"/>
            <w:szCs w:val="22"/>
            <w14:ligatures w14:val="standardContextual"/>
          </w:rPr>
          <m:t>=</m:t>
        </m:r>
        <m:nary>
          <m:naryPr>
            <m:chr m:val="∑"/>
            <m:limLoc m:val="undOvr"/>
            <m:ctrlPr>
              <w:rPr>
                <w:rFonts w:ascii="Cambria Math" w:eastAsia="Calibri" w:hAnsi="Cambria Math"/>
                <w:kern w:val="2"/>
                <w:sz w:val="22"/>
                <w:szCs w:val="22"/>
                <w14:ligatures w14:val="standardContextual"/>
              </w:rPr>
            </m:ctrlPr>
          </m:naryPr>
          <m:sub>
            <m:r>
              <w:rPr>
                <w:rFonts w:ascii="Cambria Math" w:eastAsia="Calibri" w:hAnsi="Cambria Math"/>
                <w:kern w:val="2"/>
                <w:sz w:val="22"/>
                <w:szCs w:val="22"/>
                <w:lang w:eastAsia="zh-CN"/>
                <w14:ligatures w14:val="standardContextual"/>
              </w:rPr>
              <m:t>s=1</m:t>
            </m:r>
          </m:sub>
          <m:sup>
            <m:r>
              <w:rPr>
                <w:rFonts w:ascii="Cambria Math" w:eastAsia="Calibri" w:hAnsi="Cambria Math"/>
                <w:kern w:val="2"/>
                <w:sz w:val="22"/>
                <w:szCs w:val="22"/>
                <w:lang w:eastAsia="zh-CN"/>
                <w14:ligatures w14:val="standardContextual"/>
              </w:rPr>
              <m:t>S</m:t>
            </m:r>
          </m:sup>
          <m:e>
            <m:sSub>
              <m:sSubPr>
                <m:ctrlPr>
                  <w:rPr>
                    <w:rFonts w:ascii="Cambria Math" w:eastAsia="DengXian" w:hAnsi="Cambria Math"/>
                    <w:i/>
                    <w:kern w:val="2"/>
                    <w:sz w:val="22"/>
                    <w:szCs w:val="22"/>
                    <w14:ligatures w14:val="standardContextual"/>
                  </w:rPr>
                </m:ctrlPr>
              </m:sSubPr>
              <m:e>
                <m:r>
                  <w:rPr>
                    <w:rFonts w:ascii="Cambria Math" w:eastAsia="DengXian" w:hAnsi="Cambria Math"/>
                    <w:kern w:val="2"/>
                    <w:sz w:val="22"/>
                    <w:szCs w:val="22"/>
                    <w14:ligatures w14:val="standardContextual"/>
                  </w:rPr>
                  <m:t>T</m:t>
                </m:r>
              </m:e>
              <m:sub>
                <m:r>
                  <w:rPr>
                    <w:rFonts w:ascii="Cambria Math" w:eastAsia="DengXian" w:hAnsi="Cambria Math"/>
                    <w:kern w:val="2"/>
                    <w:sz w:val="22"/>
                    <w:szCs w:val="22"/>
                    <w14:ligatures w14:val="standardContextual"/>
                  </w:rPr>
                  <m:t>SL RSTD,effect,s</m:t>
                </m:r>
              </m:sub>
            </m:sSub>
          </m:e>
        </m:nary>
      </m:oMath>
      <w:r w:rsidR="00240BED" w:rsidRPr="00E40E07">
        <w:rPr>
          <w:rFonts w:ascii="Calibri" w:eastAsia="Calibri" w:hAnsi="Calibri"/>
          <w:kern w:val="2"/>
          <w:sz w:val="22"/>
          <w:szCs w:val="22"/>
          <w14:ligatures w14:val="standardContextual"/>
        </w:rPr>
        <w:t xml:space="preserve">  , </w:t>
      </w:r>
    </w:p>
    <w:p w14:paraId="06523011" w14:textId="77777777" w:rsidR="00240BED" w:rsidRPr="00E40E07" w:rsidRDefault="00240BED" w:rsidP="00240BED">
      <w:pPr>
        <w:rPr>
          <w:rFonts w:eastAsia="Calibri"/>
        </w:rPr>
      </w:pPr>
      <w:r w:rsidRPr="00E40E07">
        <w:rPr>
          <w:rFonts w:eastAsia="Calibri"/>
        </w:rPr>
        <w:t>where</w:t>
      </w:r>
    </w:p>
    <w:p w14:paraId="0E5D01AF" w14:textId="77777777" w:rsidR="00C94263" w:rsidRPr="00E40E07" w:rsidRDefault="00C94263" w:rsidP="00C94263">
      <w:pPr>
        <w:spacing w:after="160" w:line="256" w:lineRule="auto"/>
        <w:rPr>
          <w:rFonts w:eastAsia="Calibri"/>
          <w:kern w:val="2"/>
          <w14:ligatures w14:val="standardContextual"/>
        </w:rPr>
      </w:pPr>
      <w:r w:rsidRPr="00E40E07">
        <w:rPr>
          <w:rFonts w:eastAsia="Calibri"/>
          <w:kern w:val="2"/>
          <w14:ligatures w14:val="standardContextual"/>
        </w:rPr>
        <w:t>S is the number of samples per measured 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6E9F5099" w:rsidR="00C94263" w:rsidRPr="00E40E07" w:rsidRDefault="009F29F9" w:rsidP="00C94263">
      <w:pPr>
        <w:spacing w:after="160" w:line="256" w:lineRule="auto"/>
        <w:rPr>
          <w:rFonts w:eastAsia="Calibri"/>
          <w:kern w:val="2"/>
          <w14:ligatures w14:val="standardContextual"/>
        </w:rPr>
      </w:pPr>
      <w:r>
        <w:rPr>
          <w:rFonts w:eastAsia="Calibri"/>
          <w:lang w:val="en-US"/>
        </w:rPr>
        <w:t xml:space="preserve">for each SL-PRS sample </w:t>
      </w:r>
      <w:r>
        <w:rPr>
          <w:rFonts w:eastAsia="Calibri"/>
          <w:i/>
          <w:iCs/>
          <w:lang w:val="en-US"/>
        </w:rPr>
        <w:t>s</w:t>
      </w:r>
      <w:r>
        <w:rPr>
          <w:rFonts w:eastAsia="Calibri"/>
          <w:lang w:val="en-US"/>
        </w:rPr>
        <w:t xml:space="preserve"> of the target measured link, which is received within a slot where the UE </w:t>
      </w:r>
      <w:r>
        <w:rPr>
          <w:rFonts w:eastAsia="Calibri"/>
        </w:rPr>
        <w:t xml:space="preserve">receives SCI and the associated SL-PRS </w:t>
      </w:r>
      <w:r>
        <w:rPr>
          <w:rFonts w:eastAsia="Calibri"/>
          <w:lang w:val="en-US"/>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t xml:space="preserve"> specified in TS 38.331 [2</w:t>
      </w:r>
      <w:r>
        <w:rPr>
          <w:rFonts w:eastAsia="Calibri"/>
        </w:rPr>
        <w:t xml:space="preserv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Pr>
          <w:rFonts w:eastAsia="Calibri"/>
          <w:lang w:val="en-US"/>
        </w:rPr>
        <w:t>is defined as:</w:t>
      </w:r>
    </w:p>
    <w:p w14:paraId="0CD9EE3A" w14:textId="3C0FE70A"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000000"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3A98B3A5" w14:textId="7DF487A9" w:rsidR="009F29F9" w:rsidRDefault="00000000" w:rsidP="009F29F9">
      <w:pPr>
        <w:ind w:left="283" w:firstLine="284"/>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F29F9">
        <w:rPr>
          <w:rFonts w:eastAsia="Calibri"/>
        </w:rPr>
        <w:t xml:space="preserve"> is the processing time reported by the UE </w:t>
      </w:r>
      <w:r w:rsidR="009F29F9">
        <w:rPr>
          <w:rFonts w:hint="eastAsia"/>
          <w:kern w:val="2"/>
          <w:lang w:eastAsia="zh-CN"/>
          <w14:ligatures w14:val="standardContextual"/>
        </w:rPr>
        <w:t xml:space="preserve">via </w:t>
      </w:r>
      <w:r w:rsidR="009F29F9" w:rsidRPr="008770DE">
        <w:rPr>
          <w:rFonts w:hint="eastAsia"/>
          <w:i/>
          <w:kern w:val="2"/>
          <w:lang w:eastAsia="zh-CN"/>
          <w14:ligatures w14:val="standardContextual"/>
        </w:rPr>
        <w:t>minTimeAfterEndofSlotCarryActiveSL-PRS-Resources-r18</w:t>
      </w:r>
      <w:r w:rsidR="009F29F9">
        <w:t xml:space="preserve"> specified in TS 38.331 [2</w:t>
      </w:r>
      <w:r w:rsidR="009F29F9">
        <w:rPr>
          <w:rFonts w:eastAsia="Calibri"/>
        </w:rPr>
        <w:t>].</w:t>
      </w:r>
    </w:p>
    <w:p w14:paraId="07AB7531" w14:textId="7C9B5782" w:rsidR="00C94263" w:rsidRPr="00E40E07" w:rsidRDefault="009F29F9" w:rsidP="009F29F9">
      <w:pPr>
        <w:rPr>
          <w:rFonts w:eastAsia="DengXian"/>
          <w:lang w:eastAsia="zh-CN"/>
        </w:rPr>
      </w:pPr>
      <w:r>
        <w:rPr>
          <w:rFonts w:eastAsia="DengXian"/>
          <w:lang w:val="en-US" w:eastAsia="zh-CN"/>
        </w:rPr>
        <w:t xml:space="preserve">A UE may drop one or more SL PRS measurement samples if the number of active slots or the number of active resources per slot for the ongoing SL PRS measurement exceed the UE capabilities </w:t>
      </w:r>
      <w:r>
        <w:rPr>
          <w:rFonts w:eastAsia="DengXian" w:hint="eastAsia"/>
          <w:lang w:val="en-US" w:eastAsia="zh-CN"/>
        </w:rPr>
        <w:t xml:space="preserve">reported by UE via </w:t>
      </w:r>
      <w:r w:rsidRPr="00062DCD">
        <w:rPr>
          <w:rFonts w:eastAsia="DengXian" w:hint="eastAsia"/>
          <w:i/>
          <w:lang w:val="en-US" w:eastAsia="zh-CN"/>
        </w:rPr>
        <w:t>sl-PRS-CommonProcCapabilityPerBand-r18</w:t>
      </w:r>
      <w:r>
        <w:t xml:space="preserve"> specified in TS 38.331</w:t>
      </w:r>
      <w:r>
        <w:rPr>
          <w:rFonts w:eastAsia="DengXian"/>
          <w:lang w:val="en-US" w:eastAsia="zh-CN"/>
        </w:rPr>
        <w:t xml:space="preserve"> [2]. For a single-sample measurement, the whole measurement may not be performed.</w:t>
      </w:r>
    </w:p>
    <w:p w14:paraId="28B12919" w14:textId="4C6AEBF8" w:rsidR="00233D73" w:rsidRPr="00E40E07" w:rsidRDefault="00233D73" w:rsidP="00F43117">
      <w:pPr>
        <w:keepNext/>
        <w:keepLines/>
        <w:spacing w:after="160" w:line="256" w:lineRule="auto"/>
        <w:rPr>
          <w:rFonts w:eastAsia="Malgun Gothic"/>
          <w:kern w:val="2"/>
          <w:lang w:eastAsia="zh-CN"/>
          <w14:ligatures w14:val="standardContextual"/>
        </w:rPr>
      </w:pPr>
      <w:r w:rsidRPr="00E40E07">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kern w:val="2"/>
          <w:lang w:eastAsia="zh-CN"/>
          <w14:ligatures w14:val="standardContextual"/>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000000"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r w:rsidRPr="00E40E07">
        <w:rPr>
          <w:lang w:eastAsia="zh-CN"/>
        </w:rPr>
        <w:t xml:space="preserve">where,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20ACE240" w:rsidR="005A562C" w:rsidRPr="00E40E07" w:rsidRDefault="004A6955" w:rsidP="005A562C">
      <w:pPr>
        <w:rPr>
          <w:rFonts w:eastAsia="DengXian"/>
        </w:rPr>
      </w:pPr>
      <w:r>
        <w:rPr>
          <w:rFonts w:eastAsia="DengXian"/>
          <w:lang w:eastAsia="zh-CN"/>
        </w:rPr>
        <w:t>f</w:t>
      </w:r>
      <w:r>
        <w:rPr>
          <w:rFonts w:eastAsia="DengXian"/>
        </w:rPr>
        <w:t xml:space="preserve">or SL-PRS sample s, which is received within a slot where the UE receives SCI and the associated SL-PRS </w:t>
      </w:r>
      <w:r>
        <w:rPr>
          <w:rFonts w:eastAsia="DengXian"/>
          <w:lang w:eastAsia="zh-CN"/>
        </w:rPr>
        <w:t xml:space="preserve">is </w:t>
      </w:r>
      <w:r>
        <w:rPr>
          <w:rFonts w:eastAsia="DengXian"/>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rPr>
          <w:i/>
          <w:kern w:val="2"/>
          <w:lang w:val="en-US" w:eastAsia="zh-CN"/>
          <w14:ligatures w14:val="standardContextual"/>
        </w:rPr>
        <w:t xml:space="preserve"> </w:t>
      </w:r>
      <w:r>
        <w:t>specified in TS 38.331</w:t>
      </w:r>
      <w:r>
        <w:rPr>
          <w:rFonts w:eastAsia="DengXian"/>
        </w:rPr>
        <w:t xml:space="preserve"> [2],</w:t>
      </w:r>
      <w:r>
        <w:rPr>
          <w:rFonts w:eastAsia="DengXian"/>
          <w:lang w:eastAsia="zh-C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Pr>
          <w:rFonts w:eastAsia="DengXian"/>
        </w:rPr>
        <w:t xml:space="preserve"> is defined as:</w:t>
      </w:r>
    </w:p>
    <w:p w14:paraId="34A16F11" w14:textId="46E7E525" w:rsidR="004A6955" w:rsidRDefault="00000000"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000000"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000000"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5A03AB51" w:rsidR="00CB72D1" w:rsidRPr="00E40E07" w:rsidRDefault="00000000" w:rsidP="004A6955">
      <w:pPr>
        <w:rPr>
          <w:kern w:val="2"/>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A6955">
        <w:t>is the processing time</w:t>
      </w:r>
      <w:r w:rsidR="004A6955">
        <w:rPr>
          <w:lang w:eastAsia="zh-CN"/>
        </w:rPr>
        <w:t xml:space="preserve"> </w:t>
      </w:r>
      <w:r w:rsidR="004A6955">
        <w:t xml:space="preserve">indicated by UE via </w:t>
      </w:r>
      <w:r w:rsidR="004A6955" w:rsidRPr="00AE46EE">
        <w:rPr>
          <w:rFonts w:hint="eastAsia"/>
          <w:i/>
          <w:kern w:val="2"/>
          <w:lang w:eastAsia="zh-CN"/>
          <w14:ligatures w14:val="standardContextual"/>
        </w:rPr>
        <w:t xml:space="preserve"> </w:t>
      </w:r>
      <w:r w:rsidR="004A6955" w:rsidRPr="008770DE">
        <w:rPr>
          <w:rFonts w:hint="eastAsia"/>
          <w:i/>
          <w:kern w:val="2"/>
          <w:lang w:eastAsia="zh-CN"/>
          <w14:ligatures w14:val="standardContextual"/>
        </w:rPr>
        <w:t>minTimeAfterEndofSlotCarryActiveSL-PRS-Resources-r18</w:t>
      </w:r>
      <w:r w:rsidR="004A6955">
        <w:t xml:space="preserve"> specified in TS 38.331 [2] of the UE performing the SL Rx-Tx time</w:t>
      </w:r>
      <w:r w:rsidR="004A6955">
        <w:rPr>
          <w:lang w:eastAsia="zh-CN"/>
        </w:rPr>
        <w:t xml:space="preserve"> difference </w:t>
      </w:r>
      <w:r w:rsidR="004A6955">
        <w:t>measurement.</w:t>
      </w:r>
      <w:r w:rsidR="004A6955">
        <w:rPr>
          <w:lang w:eastAsia="zh-CN"/>
        </w:rPr>
        <w:t xml:space="preserve"> </w:t>
      </w:r>
    </w:p>
    <w:p w14:paraId="1B374A5E" w14:textId="77777777" w:rsidR="00CB72D1" w:rsidRPr="00E40E07" w:rsidRDefault="00000000"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77777777" w:rsidR="00CB72D1" w:rsidRPr="00E40E07" w:rsidRDefault="00CB72D1" w:rsidP="00CB72D1">
      <w:pPr>
        <w:ind w:left="568" w:hanging="284"/>
        <w:rPr>
          <w:rFonts w:eastAsia="SimSun"/>
          <w:sz w:val="22"/>
          <w:szCs w:val="22"/>
        </w:rPr>
      </w:pPr>
      <w:r w:rsidRPr="00E40E07">
        <w:rPr>
          <w:rFonts w:eastAsia="DengXian"/>
        </w:rPr>
        <w:t>If the UE reports the transmission timestamp of a SL PRS as defined in TS 38.215 [4], and the SL PRS transmission occurs after the SL 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4C3FA289" w:rsidR="00CB72D1" w:rsidRPr="00E40E07" w:rsidRDefault="004A6955" w:rsidP="00F47836">
      <w:pPr>
        <w:rPr>
          <w:rFonts w:eastAsia="DengXian"/>
          <w:lang w:eastAsia="zh-CN"/>
        </w:rPr>
      </w:pPr>
      <w:r>
        <w:rPr>
          <w:rFonts w:eastAsia="DengXian"/>
          <w:lang w:val="en-US" w:eastAsia="zh-CN"/>
        </w:rPr>
        <w:t xml:space="preserve">A UE may drop one or more SL PRS measurement samples if the number of active slots or the number of active resources per slot for the ongoing SL PRS measurement exceed the UE capabilities </w:t>
      </w:r>
      <w:r>
        <w:rPr>
          <w:rFonts w:eastAsia="DengXian" w:hint="eastAsia"/>
          <w:lang w:val="en-US" w:eastAsia="zh-CN"/>
        </w:rPr>
        <w:t xml:space="preserve">reported by UE via </w:t>
      </w:r>
      <w:r w:rsidRPr="00062DCD">
        <w:rPr>
          <w:rFonts w:eastAsia="DengXian" w:hint="eastAsia"/>
          <w:i/>
          <w:lang w:val="en-US" w:eastAsia="zh-CN"/>
        </w:rPr>
        <w:t>sl-PRS-CommonProcCapabilityPerBand-r18</w:t>
      </w:r>
      <w:r>
        <w:t xml:space="preserve"> specified in TS 38.331</w:t>
      </w:r>
      <w:r>
        <w:rPr>
          <w:rFonts w:eastAsia="DengXian"/>
          <w:lang w:val="en-US" w:eastAsia="zh-CN"/>
        </w:rPr>
        <w:t xml:space="preserve"> [2].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000000"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r w:rsidRPr="00E40E07">
        <w:rPr>
          <w:lang w:eastAsia="zh-CN"/>
        </w:rPr>
        <w:t>where</w:t>
      </w:r>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23707C55" w:rsidR="00CE3D6C" w:rsidRPr="00E40E07" w:rsidRDefault="00E70A11" w:rsidP="00CE3D6C">
      <w:pPr>
        <w:spacing w:after="120"/>
        <w:rPr>
          <w:rFonts w:eastAsia="DengXian"/>
        </w:rPr>
      </w:pPr>
      <w:r>
        <w:rPr>
          <w:rFonts w:eastAsia="DengXian"/>
          <w:lang w:eastAsia="zh-CN"/>
        </w:rPr>
        <w:t>f</w:t>
      </w:r>
      <w:r>
        <w:rPr>
          <w:rFonts w:eastAsia="DengXian"/>
        </w:rPr>
        <w:t xml:space="preserve">or each SL-PRS sample s, which is received within a slot where the UE receives SCI and the associated SL-PRS </w:t>
      </w:r>
      <w:r>
        <w:rPr>
          <w:rFonts w:eastAsia="DengXian"/>
          <w:lang w:eastAsia="zh-CN"/>
        </w:rPr>
        <w:t xml:space="preserve">is </w:t>
      </w:r>
      <w:r>
        <w:rPr>
          <w:rFonts w:eastAsia="DengXian"/>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rsidRPr="00691C8F">
        <w:rPr>
          <w:rFonts w:eastAsia="DengXian"/>
        </w:rPr>
        <w:t xml:space="preserve"> </w:t>
      </w:r>
      <w:r>
        <w:t>specified in TS 38.331</w:t>
      </w:r>
      <w:r>
        <w:rPr>
          <w:rFonts w:eastAsia="DengXian"/>
        </w:rPr>
        <w:t xml:space="preserve"> [2].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Pr>
          <w:rFonts w:eastAsia="DengXian"/>
        </w:rPr>
        <w:t xml:space="preserve"> is defined as below,</w:t>
      </w:r>
    </w:p>
    <w:p w14:paraId="20D5B779" w14:textId="32156141" w:rsidR="006B027D" w:rsidRPr="00E40E07" w:rsidRDefault="00000000"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E70A11">
        <w:t xml:space="preserve"> are the beginning of the slots of SL-PRS sample s and SL-PRS sample s+1, respectively, </w:t>
      </w:r>
    </w:p>
    <w:p w14:paraId="41EC6EA1" w14:textId="34337F29" w:rsidR="006B027D" w:rsidRPr="00E40E07" w:rsidRDefault="00000000"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06164C14" w:rsidR="00E70A11" w:rsidRDefault="00E92DE3" w:rsidP="00E92DE3">
      <w:pPr>
        <w:ind w:left="840" w:hanging="280"/>
        <w:rPr>
          <w:rFonts w:cs="v4.2.0"/>
        </w:rPr>
      </w:pPr>
      <w:r w:rsidRPr="00E40E07">
        <w:t>-</w:t>
      </w:r>
      <w:r w:rsidRPr="00E40E07">
        <w:tab/>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E70A11">
        <w:t xml:space="preserve"> is the processing time indicated by UE </w:t>
      </w:r>
      <w:r w:rsidR="00E70A11" w:rsidRPr="008770DE">
        <w:rPr>
          <w:rFonts w:hint="eastAsia"/>
          <w:i/>
          <w:kern w:val="2"/>
          <w:lang w:eastAsia="zh-CN"/>
          <w14:ligatures w14:val="standardContextual"/>
        </w:rPr>
        <w:t>minTimeAfterEndofSlotCarryActiveSL-PRS-Resources-r18</w:t>
      </w:r>
      <w:r w:rsidR="00E70A11">
        <w:t xml:space="preserve"> specified in TS 38.331 [2] of the UE performing SL AoA measurement.</w:t>
      </w:r>
    </w:p>
    <w:p w14:paraId="43A14336" w14:textId="0440F7D3" w:rsidR="006B027D" w:rsidRPr="00E40E07" w:rsidRDefault="00E70A11" w:rsidP="00E70A11">
      <w:pPr>
        <w:rPr>
          <w:rFonts w:eastAsia="DengXian"/>
        </w:rPr>
      </w:pPr>
      <w:r>
        <w:rPr>
          <w:rFonts w:eastAsia="DengXian"/>
          <w:lang w:val="en-US" w:eastAsia="zh-CN"/>
        </w:rPr>
        <w:t xml:space="preserve">A UE may drop one or more SL PRS measurement samples if the number of active slots or the number of active resources per slot for the ongoing SL PRS measurement exceed the UE capabilities </w:t>
      </w:r>
      <w:r>
        <w:rPr>
          <w:rFonts w:eastAsia="DengXian" w:hint="eastAsia"/>
          <w:lang w:val="en-US" w:eastAsia="zh-CN"/>
        </w:rPr>
        <w:t xml:space="preserve">reported by UE via </w:t>
      </w:r>
      <w:r w:rsidRPr="00062DCD">
        <w:rPr>
          <w:rFonts w:eastAsia="DengXian" w:hint="eastAsia"/>
          <w:i/>
          <w:lang w:val="en-US" w:eastAsia="zh-CN"/>
        </w:rPr>
        <w:t>sl-PRS-CommonProcCapabilityPerBand-r18</w:t>
      </w:r>
      <w:r>
        <w:rPr>
          <w:rFonts w:eastAsia="DengXian"/>
          <w:lang w:val="en-US" w:eastAsia="zh-CN"/>
        </w:rPr>
        <w:t xml:space="preserve"> </w:t>
      </w:r>
      <w:r>
        <w:t>specified in TS 38.331</w:t>
      </w:r>
      <w:r>
        <w:rPr>
          <w:rFonts w:eastAsia="DengXian"/>
          <w:lang w:val="en-US" w:eastAsia="zh-CN"/>
        </w:rPr>
        <w:t xml:space="preserve"> [2]. </w:t>
      </w:r>
      <w:r>
        <w:rPr>
          <w:rFonts w:eastAsia="DengXian"/>
          <w:lang w:val="en-US"/>
        </w:rPr>
        <w:tab/>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provided that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r w:rsidRPr="00E40E07">
        <w:rPr>
          <w:lang w:eastAsia="zh-CN"/>
        </w:rPr>
        <w:t>where</w:t>
      </w:r>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2B4D75FF" w:rsidR="00EE11F5" w:rsidRPr="00E40E07" w:rsidRDefault="00E70A11" w:rsidP="00EE11F5">
      <w:pPr>
        <w:spacing w:after="120"/>
        <w:rPr>
          <w:rFonts w:eastAsia="DengXian"/>
        </w:rPr>
      </w:pPr>
      <w:r>
        <w:rPr>
          <w:rFonts w:eastAsia="DengXian"/>
          <w:lang w:eastAsia="zh-CN"/>
        </w:rPr>
        <w:t>f</w:t>
      </w:r>
      <w:r>
        <w:rPr>
          <w:rFonts w:eastAsia="DengXian"/>
        </w:rPr>
        <w:t xml:space="preserve">or SL-PRS sample s, which is received within a slot where the UE receives SCI, provided that the associated SL-PRS </w:t>
      </w:r>
      <w:r>
        <w:rPr>
          <w:rFonts w:eastAsia="DengXian"/>
          <w:lang w:eastAsia="zh-CN"/>
        </w:rPr>
        <w:t xml:space="preserve">is </w:t>
      </w:r>
      <w:r>
        <w:rPr>
          <w:rFonts w:eastAsia="DengXian"/>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rsidRPr="00691C8F">
        <w:rPr>
          <w:rFonts w:eastAsia="DengXian"/>
        </w:rPr>
        <w:t xml:space="preserve"> </w:t>
      </w:r>
      <w:r>
        <w:t>specified in TS 38.331</w:t>
      </w:r>
      <w:r>
        <w:rPr>
          <w:rFonts w:eastAsia="DengXian"/>
        </w:rPr>
        <w:t xml:space="preserve"> [2].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Pr>
          <w:rFonts w:eastAsia="DengXian"/>
        </w:rPr>
        <w:t xml:space="preserve"> is defined as below,</w:t>
      </w:r>
    </w:p>
    <w:p w14:paraId="0BD35AEF" w14:textId="6D06F0AC" w:rsidR="0070236E" w:rsidRPr="00E40E07" w:rsidRDefault="00000000"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000000"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000000"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4114DE33" w14:textId="08EDA1A3" w:rsidR="004D065C" w:rsidRPr="00E40E07" w:rsidRDefault="00000000" w:rsidP="00E70A11">
      <w:pPr>
        <w:rPr>
          <w:kern w:val="2"/>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E70A11">
        <w:t xml:space="preserve"> is the processing time indicated by UE via </w:t>
      </w:r>
      <w:r w:rsidR="00E70A11" w:rsidRPr="008770DE">
        <w:rPr>
          <w:rFonts w:hint="eastAsia"/>
          <w:i/>
          <w:kern w:val="2"/>
          <w:lang w:eastAsia="zh-CN"/>
          <w14:ligatures w14:val="standardContextual"/>
        </w:rPr>
        <w:t>minTimeAfterEndofSlotCarryActiveSL-PRS-Resources-r18</w:t>
      </w:r>
      <w:r w:rsidR="00E70A11">
        <w:t xml:space="preserve"> specified in TS 38.331 [2] of the UE performing SL RTOA measurement. </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provided that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7436F092" w14:textId="1B846E65" w:rsidR="00AD5476" w:rsidRPr="00E40E07" w:rsidRDefault="00AD5476" w:rsidP="00AD5476">
      <w:r w:rsidRPr="00E40E07">
        <w:t xml:space="preserve">LMF provides a recommended resolution parameter, </w:t>
      </w:r>
      <w:r w:rsidRPr="00E40E07">
        <w:rPr>
          <w:i/>
          <w:iCs/>
        </w:rPr>
        <w:t>timingReportingGranularityFactor</w:t>
      </w:r>
      <w:r w:rsidRPr="00E40E07">
        <w:t xml:space="preserve"> [35]. gNB selects parameter k based on </w:t>
      </w:r>
      <w:r w:rsidRPr="00E40E07">
        <w:rPr>
          <w:i/>
          <w:iCs/>
        </w:rPr>
        <w:t xml:space="preserve">timingReportingGranularityFactor </w:t>
      </w:r>
      <w:r w:rsidRPr="00E40E07">
        <w:t>[35] and informs the LMF.</w:t>
      </w:r>
    </w:p>
    <w:p w14:paraId="25CA70D5" w14:textId="58A0C8D1" w:rsidR="00D25310" w:rsidRPr="00E40E07" w:rsidRDefault="00D25310" w:rsidP="00D25310">
      <w:r w:rsidRPr="00E40E07">
        <w:t xml:space="preserve">The mapping of measured quantity for each </w:t>
      </w:r>
      <w:r w:rsidRPr="00E40E07">
        <w:rPr>
          <w:lang w:eastAsia="zh-CN"/>
        </w:rPr>
        <w:t>reporting resolution (k)</w:t>
      </w:r>
      <w:r w:rsidRPr="00E40E07">
        <w:t xml:space="preserve"> is defined in </w:t>
      </w:r>
      <w:r w:rsidR="000523A1">
        <w:t>table</w:t>
      </w:r>
      <w:r w:rsidRPr="00E40E07">
        <w:t xml:space="preserve"> 13.1.1</w:t>
      </w:r>
      <w:r w:rsidRPr="00E40E07">
        <w:rPr>
          <w:lang w:eastAsia="zh-CN"/>
        </w:rPr>
        <w:t xml:space="preserve">-1 to </w:t>
      </w:r>
      <w:r w:rsidR="000523A1">
        <w:t>table</w:t>
      </w:r>
      <w:r w:rsidRPr="00E40E07">
        <w:t xml:space="preserve"> 13.1.1</w:t>
      </w:r>
      <w:r w:rsidRPr="00E40E07">
        <w:rPr>
          <w:lang w:eastAsia="zh-CN"/>
        </w:rPr>
        <w:t>-6</w:t>
      </w:r>
      <w:r w:rsidRPr="00E40E07">
        <w:t>.</w:t>
      </w:r>
    </w:p>
    <w:p w14:paraId="62574F74" w14:textId="7B079C40" w:rsidR="00D25310" w:rsidRPr="00E40E07" w:rsidRDefault="00D25310" w:rsidP="00D25310">
      <w:pPr>
        <w:pStyle w:val="TH"/>
      </w:pPr>
      <w:r w:rsidRPr="00E40E07">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055BA5A3" w14:textId="77777777" w:rsidR="00B620F0" w:rsidRPr="00E40E07" w:rsidRDefault="00B620F0" w:rsidP="00B620F0">
      <w:r w:rsidRPr="00E40E07">
        <w:t xml:space="preserve">LMF provides a recommended resolution parameter, </w:t>
      </w:r>
      <w:r w:rsidRPr="00E40E07">
        <w:rPr>
          <w:i/>
          <w:iCs/>
        </w:rPr>
        <w:t>timingReportingGranularityFactor</w:t>
      </w:r>
      <w:r w:rsidRPr="00E40E07">
        <w:t xml:space="preserve"> [35]. gNB selects parameter k based on </w:t>
      </w:r>
      <w:r w:rsidRPr="00E40E07">
        <w:rPr>
          <w:i/>
          <w:iCs/>
        </w:rPr>
        <w:t xml:space="preserve">timingReportingGranularityFactor </w:t>
      </w:r>
      <w:r w:rsidRPr="00E40E07">
        <w:t>[35] and informs the LMF.</w:t>
      </w:r>
    </w:p>
    <w:p w14:paraId="27EE1956" w14:textId="74E333E2" w:rsidR="00B620F0" w:rsidRPr="00E40E07" w:rsidRDefault="0066318E" w:rsidP="00B620F0">
      <w:r>
        <w:t xml:space="preserve">The mapping of measured quantity for each </w:t>
      </w:r>
      <w:r>
        <w:rPr>
          <w:lang w:eastAsia="zh-CN"/>
        </w:rPr>
        <w:t>reporting resolution (k)</w:t>
      </w:r>
      <w:r>
        <w:t xml:space="preserve"> is defined in Table </w:t>
      </w:r>
      <w:r>
        <w:rPr>
          <w:lang w:val="en-US"/>
        </w:rPr>
        <w:t>13.1.1A</w:t>
      </w:r>
      <w:r>
        <w:rPr>
          <w:lang w:eastAsia="zh-CN"/>
        </w:rPr>
        <w:t xml:space="preserve">-1 to </w:t>
      </w:r>
      <w:r>
        <w:t xml:space="preserve">Table </w:t>
      </w:r>
      <w:r>
        <w:rPr>
          <w:lang w:val="en-US"/>
        </w:rPr>
        <w:t>13.1.1A</w:t>
      </w:r>
      <w:r>
        <w:rPr>
          <w:lang w:eastAsia="zh-CN"/>
        </w:rPr>
        <w:t>-12</w:t>
      </w:r>
      <w:r>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6D92453B" w14:textId="641162AB" w:rsidR="00AD5476" w:rsidRPr="00E40E07" w:rsidRDefault="00AD5476" w:rsidP="00AD5476">
      <w:r w:rsidRPr="00E40E07">
        <w:t xml:space="preserve">LMF provides a recommended resolution parameter, </w:t>
      </w:r>
      <w:r w:rsidRPr="00E40E07">
        <w:rPr>
          <w:i/>
          <w:iCs/>
          <w:snapToGrid w:val="0"/>
        </w:rPr>
        <w:t xml:space="preserve">timingReportingGranularityFactor </w:t>
      </w:r>
      <w:r w:rsidRPr="00E40E07">
        <w:rPr>
          <w:snapToGrid w:val="0"/>
        </w:rPr>
        <w:t>[35]</w:t>
      </w:r>
      <w:r w:rsidRPr="00E40E07">
        <w:t xml:space="preserve">. gNB selects parameter k based on </w:t>
      </w:r>
      <w:r w:rsidRPr="00E40E07">
        <w:rPr>
          <w:i/>
          <w:iCs/>
          <w:snapToGrid w:val="0"/>
        </w:rPr>
        <w:t xml:space="preserve">timingReportingGranularityFactor </w:t>
      </w:r>
      <w:r w:rsidRPr="00E40E07">
        <w:rPr>
          <w:snapToGrid w:val="0"/>
        </w:rPr>
        <w:t xml:space="preserve">[35] </w:t>
      </w:r>
      <w:r w:rsidRPr="00E40E07">
        <w:t>and informs the LMF.</w:t>
      </w:r>
    </w:p>
    <w:p w14:paraId="150A89C3" w14:textId="46F61C36" w:rsidR="00D25310" w:rsidRPr="00E40E07" w:rsidRDefault="00D25310" w:rsidP="00D25310">
      <w:r w:rsidRPr="00E40E07">
        <w:t xml:space="preserve">The mapping of measured quantity for each </w:t>
      </w:r>
      <w:r w:rsidRPr="00E40E07">
        <w:rPr>
          <w:lang w:eastAsia="zh-CN"/>
        </w:rPr>
        <w:t>reporting resolution (k)</w:t>
      </w:r>
      <w:r w:rsidRPr="00E40E07">
        <w:t xml:space="preserve"> is defined in </w:t>
      </w:r>
      <w:r w:rsidR="000523A1">
        <w:t>table</w:t>
      </w:r>
      <w:r w:rsidRPr="00E40E07">
        <w:t xml:space="preserve"> 13.2.1</w:t>
      </w:r>
      <w:r w:rsidRPr="00E40E07">
        <w:rPr>
          <w:lang w:eastAsia="zh-CN"/>
        </w:rPr>
        <w:t xml:space="preserve">-1 to </w:t>
      </w:r>
      <w:r w:rsidR="000523A1">
        <w:t>table</w:t>
      </w:r>
      <w:r w:rsidRPr="00E40E07">
        <w:t xml:space="preserve"> 13.2.1</w:t>
      </w:r>
      <w:r w:rsidRPr="00E40E07">
        <w:rPr>
          <w:lang w:eastAsia="zh-CN"/>
        </w:rPr>
        <w:t>-6</w:t>
      </w:r>
      <w:r w:rsidRPr="00E40E07">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00205ACC" w14:textId="77777777" w:rsidR="00B620F0" w:rsidRPr="00E40E07" w:rsidRDefault="00B620F0" w:rsidP="00B620F0">
      <w:r w:rsidRPr="00E40E07">
        <w:t xml:space="preserve">LMF provides a recommended resolution parameter, </w:t>
      </w:r>
      <w:r w:rsidRPr="00E40E07">
        <w:rPr>
          <w:i/>
          <w:iCs/>
          <w:snapToGrid w:val="0"/>
        </w:rPr>
        <w:t xml:space="preserve">timingReportingGranularityFactor </w:t>
      </w:r>
      <w:r w:rsidRPr="00E40E07">
        <w:rPr>
          <w:snapToGrid w:val="0"/>
        </w:rPr>
        <w:t>[35]</w:t>
      </w:r>
      <w:r w:rsidRPr="00E40E07">
        <w:t xml:space="preserve">. gNB selects parameter k based on </w:t>
      </w:r>
      <w:r w:rsidRPr="00E40E07">
        <w:rPr>
          <w:i/>
          <w:iCs/>
          <w:snapToGrid w:val="0"/>
        </w:rPr>
        <w:t xml:space="preserve">timingReportingGranularityFactor </w:t>
      </w:r>
      <w:r w:rsidRPr="00E40E07">
        <w:rPr>
          <w:snapToGrid w:val="0"/>
        </w:rPr>
        <w:t xml:space="preserve">[35] </w:t>
      </w:r>
      <w:r w:rsidRPr="00E40E07">
        <w:t>and informs the LMF.</w:t>
      </w:r>
    </w:p>
    <w:p w14:paraId="7447F329" w14:textId="437743BF" w:rsidR="00B620F0" w:rsidRPr="00E40E07" w:rsidRDefault="00EB15CC" w:rsidP="00B620F0">
      <w:r>
        <w:t xml:space="preserve">The mapping of measured quantity for each </w:t>
      </w:r>
      <w:r>
        <w:rPr>
          <w:lang w:eastAsia="zh-CN"/>
        </w:rPr>
        <w:t>reporting resolution (k)</w:t>
      </w:r>
      <w:r>
        <w:t xml:space="preserve"> is defined in table </w:t>
      </w:r>
      <w:r>
        <w:rPr>
          <w:lang w:val="en-US"/>
        </w:rPr>
        <w:t>13.2.1A</w:t>
      </w:r>
      <w:r>
        <w:rPr>
          <w:lang w:eastAsia="zh-CN"/>
        </w:rPr>
        <w:t xml:space="preserve">-1 to </w:t>
      </w:r>
      <w:r>
        <w:t xml:space="preserve">table </w:t>
      </w:r>
      <w:r>
        <w:rPr>
          <w:lang w:val="en-US"/>
        </w:rPr>
        <w:t>13.2.1A</w:t>
      </w:r>
      <w:r>
        <w:rPr>
          <w:lang w:eastAsia="zh-CN"/>
        </w:rPr>
        <w:t>-12</w:t>
      </w:r>
      <w: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0F3E2FBC" w14:textId="77777777" w:rsidR="00D30086" w:rsidRPr="00E40E07" w:rsidRDefault="00D30086" w:rsidP="00D30086">
      <w:pPr>
        <w:rPr>
          <w:rFonts w:eastAsiaTheme="minorEastAsia"/>
        </w:rPr>
      </w:pPr>
      <w:r w:rsidRPr="00E40E07">
        <w:rPr>
          <w:rFonts w:eastAsiaTheme="minorEastAsia"/>
        </w:rPr>
        <w:t xml:space="preserve">This clause defines accuracy requirements for </w:t>
      </w:r>
      <w:r w:rsidRPr="00E40E07">
        <w:t>gNB Rx-Tx time difference</w:t>
      </w:r>
      <w:r w:rsidRPr="00E40E07">
        <w:rPr>
          <w:rFonts w:eastAsiaTheme="minorEastAsia"/>
        </w:rPr>
        <w:t xml:space="preserve"> measurement in FR1 and FR2. The requirements are applicable for gNB supporting </w:t>
      </w:r>
      <w:r w:rsidRPr="00E40E07">
        <w:t>gNB Rx-Tx time difference</w:t>
      </w:r>
      <w:r w:rsidRPr="00E40E07">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F43117">
      <w:pPr>
        <w:keepNext/>
        <w:keepLines/>
        <w:spacing w:before="120"/>
        <w:ind w:left="1418" w:hanging="1418"/>
        <w:outlineLvl w:val="3"/>
        <w:rPr>
          <w:rFonts w:ascii="Arial" w:eastAsiaTheme="minorEastAsia" w:hAnsi="Arial"/>
          <w:sz w:val="24"/>
        </w:rPr>
      </w:pPr>
      <w:r w:rsidRPr="00E40E07">
        <w:rPr>
          <w:rFonts w:ascii="Arial" w:eastAsiaTheme="minorEastAsia" w:hAnsi="Arial"/>
          <w:sz w:val="24"/>
        </w:rPr>
        <w:t>13.2.2.2</w:t>
      </w:r>
      <w:r w:rsidRPr="00E40E07">
        <w:rPr>
          <w:rFonts w:ascii="Arial" w:eastAsiaTheme="minorEastAsia" w:hAnsi="Arial"/>
          <w:sz w:val="24"/>
        </w:rPr>
        <w:tab/>
        <w:t>Requirements</w:t>
      </w:r>
    </w:p>
    <w:p w14:paraId="7AC6118E" w14:textId="77777777" w:rsidR="00D30086" w:rsidRPr="00E40E07" w:rsidRDefault="00D30086" w:rsidP="00F43117">
      <w:pPr>
        <w:keepNext/>
        <w:keepLines/>
        <w:rPr>
          <w:rFonts w:eastAsiaTheme="minorEastAsia"/>
        </w:rPr>
      </w:pPr>
      <w:r w:rsidRPr="00E40E07">
        <w:rPr>
          <w:rFonts w:eastAsiaTheme="minorEastAsia"/>
        </w:rPr>
        <w:t xml:space="preserve">The accuracy requirements for gNB Rx-Tx time difference measurement shall be within </w:t>
      </w:r>
      <w:r w:rsidRPr="00E40E07">
        <w:t>±(X+Y) T</w:t>
      </w:r>
      <w:r w:rsidRPr="00E40E07">
        <w:rPr>
          <w:vertAlign w:val="subscript"/>
        </w:rPr>
        <w:t>c</w:t>
      </w:r>
      <w:r w:rsidRPr="00E40E07">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r w:rsidRPr="00E40E07">
        <w:t xml:space="preserve">where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F43117">
        <w:trP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r w:rsidRPr="00E40E07">
        <w:t xml:space="preserve">where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Pr="00E40E07" w:rsidRDefault="00FA29C7" w:rsidP="00FA29C7">
      <w:pPr>
        <w:rPr>
          <w:rFonts w:eastAsia="SimSun"/>
          <w:highlight w:val="yellow"/>
          <w:lang w:eastAsia="zh-CN"/>
        </w:rPr>
      </w:pPr>
    </w:p>
    <w:sectPr w:rsidR="00FA29C7" w:rsidRPr="00E40E07" w:rsidSect="001D542F">
      <w:headerReference w:type="default" r:id="rId26"/>
      <w:footerReference w:type="default" r:id="rId27"/>
      <w:footnotePr>
        <w:numRestart w:val="eachSect"/>
      </w:footnotePr>
      <w:pgSz w:w="11907" w:h="16840" w:code="9"/>
      <w:pgMar w:top="1418" w:right="1134" w:bottom="1134" w:left="1134" w:header="851" w:footer="340" w:gutter="0"/>
      <w:pgNumType w:start="151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A7CC2" w14:textId="77777777" w:rsidR="00252444" w:rsidRDefault="00252444">
      <w:r>
        <w:separator/>
      </w:r>
    </w:p>
  </w:endnote>
  <w:endnote w:type="continuationSeparator" w:id="0">
    <w:p w14:paraId="7E3106C6" w14:textId="77777777" w:rsidR="00252444" w:rsidRDefault="00252444">
      <w:r>
        <w:continuationSeparator/>
      </w:r>
    </w:p>
  </w:endnote>
  <w:endnote w:type="continuationNotice" w:id="1">
    <w:p w14:paraId="0E70A2D4" w14:textId="77777777" w:rsidR="00252444" w:rsidRDefault="00252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苹方-简"/>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72854" w14:textId="77777777" w:rsidR="00252444" w:rsidRDefault="00252444">
      <w:r>
        <w:separator/>
      </w:r>
    </w:p>
  </w:footnote>
  <w:footnote w:type="continuationSeparator" w:id="0">
    <w:p w14:paraId="522A5EFB" w14:textId="77777777" w:rsidR="00252444" w:rsidRDefault="00252444">
      <w:r>
        <w:continuationSeparator/>
      </w:r>
    </w:p>
  </w:footnote>
  <w:footnote w:type="continuationNotice" w:id="1">
    <w:p w14:paraId="687CEC6A" w14:textId="77777777" w:rsidR="00252444" w:rsidRDefault="002524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199947A2"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3836FE">
      <w:rPr>
        <w:rFonts w:ascii="Arial" w:hAnsi="Arial" w:cs="Arial"/>
        <w:b/>
        <w:sz w:val="18"/>
        <w:szCs w:val="18"/>
        <w:lang w:val="sv-FI"/>
      </w:rPr>
      <w:t>8</w:t>
    </w:r>
    <w:r w:rsidRPr="00512A44">
      <w:rPr>
        <w:rFonts w:ascii="Arial" w:hAnsi="Arial" w:cs="Arial"/>
        <w:b/>
        <w:sz w:val="18"/>
        <w:szCs w:val="18"/>
        <w:lang w:val="sv-FI"/>
      </w:rPr>
      <w:t>.0 (202</w:t>
    </w:r>
    <w:r w:rsidR="004C060C">
      <w:rPr>
        <w:rFonts w:ascii="Arial" w:hAnsi="Arial" w:cs="Arial"/>
        <w:b/>
        <w:sz w:val="18"/>
        <w:szCs w:val="18"/>
        <w:lang w:val="sv-FI"/>
      </w:rPr>
      <w:t>4</w:t>
    </w:r>
    <w:r w:rsidRPr="00512A44">
      <w:rPr>
        <w:rFonts w:ascii="Arial" w:hAnsi="Arial" w:cs="Arial"/>
        <w:b/>
        <w:sz w:val="18"/>
        <w:szCs w:val="18"/>
        <w:lang w:val="sv-FI"/>
      </w:rPr>
      <w:t>-</w:t>
    </w:r>
    <w:r w:rsidR="003836FE">
      <w:rPr>
        <w:rFonts w:ascii="Arial" w:hAnsi="Arial" w:cs="Arial"/>
        <w:b/>
        <w:sz w:val="18"/>
        <w:szCs w:val="18"/>
        <w:lang w:val="sv-FI"/>
      </w:rPr>
      <w:t>12</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191"/>
    <w:rsid w:val="00112B5E"/>
    <w:rsid w:val="0011325D"/>
    <w:rsid w:val="00113BE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501E"/>
    <w:rsid w:val="001E5203"/>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5002"/>
    <w:rsid w:val="002058D0"/>
    <w:rsid w:val="002060F0"/>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353"/>
    <w:rsid w:val="004A2695"/>
    <w:rsid w:val="004A2F69"/>
    <w:rsid w:val="004A303C"/>
    <w:rsid w:val="004A31B7"/>
    <w:rsid w:val="004A386D"/>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522E"/>
    <w:rsid w:val="004B53E4"/>
    <w:rsid w:val="004B56F2"/>
    <w:rsid w:val="004B57ED"/>
    <w:rsid w:val="004B61D9"/>
    <w:rsid w:val="004B6DAA"/>
    <w:rsid w:val="004B6DA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F03"/>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F52"/>
    <w:rsid w:val="00C91216"/>
    <w:rsid w:val="00C919C6"/>
    <w:rsid w:val="00C91C07"/>
    <w:rsid w:val="00C92097"/>
    <w:rsid w:val="00C93634"/>
    <w:rsid w:val="00C93738"/>
    <w:rsid w:val="00C93BDA"/>
    <w:rsid w:val="00C93EBE"/>
    <w:rsid w:val="00C93F40"/>
    <w:rsid w:val="00C94263"/>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481"/>
    <w:rsid w:val="00E17676"/>
    <w:rsid w:val="00E20AC7"/>
    <w:rsid w:val="00E20B6D"/>
    <w:rsid w:val="00E20EDD"/>
    <w:rsid w:val="00E215C2"/>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875</TotalTime>
  <Pages>3</Pages>
  <Words>19022</Words>
  <Characters>108428</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127196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541</cp:revision>
  <dcterms:created xsi:type="dcterms:W3CDTF">2022-06-29T14:17:00Z</dcterms:created>
  <dcterms:modified xsi:type="dcterms:W3CDTF">2025-01-24T11:50:00Z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