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aspects of NR mobility enhancement Phase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security handling when CU is acting as MN and SN is unchanged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NR_Mob_Ph4_Sec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6.17.1, 6.17.2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abbreviations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S3-254192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NR_Mob_Ph4_Sec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SP-251531</vt:lpwstr>
  </property>
  <property fmtid="{D5CDD505-2E9C-101B-9397-08002B2CF9AE}" pid="19" name="CrpackTitle">
    <vt:lpwstr>Rel-19 CRs on Security aspects of NR mobility enhancement Phase 4</vt:lpwstr>
  </property>
  <property fmtid="{D5CDD505-2E9C-101B-9397-08002B2CF9AE}" pid="20" name="Agenda#">
    <vt:lpwstr>19.3</vt:lpwstr>
  </property>
  <property fmtid="{D5CDD505-2E9C-101B-9397-08002B2CF9AE}" pid="21" name="Source">
    <vt:lpwstr>SA WG3</vt:lpwstr>
  </property>
</Properties>
</file>