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TEI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NORDAT procedures to TS 33.401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Eutelsat Group, Iridium, Viasat, Sateliot, Novamint, Skylo, Thales, Ericsson, Nokia, Vivo, EchoStar,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7.2.6.2, 8.1.2, 8.2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CR for UPU Header Security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Lenovo,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access token with respect to a list of S-NSSAIs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S3-253798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Nokia, Deutsche Telekom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5G_eSBA,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Deprecation of the use of the requesterPlmnList in the Access Token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clause 6.10.2 of TS 33.501 regarding dual connectivity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SP-251529</vt:lpwstr>
  </property>
  <property fmtid="{D5CDD505-2E9C-101B-9397-08002B2CF9AE}" pid="19" name="CrpackTitle">
    <vt:lpwstr>Rel-19 CRs on TEI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