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XR for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procedure texts on XR uplink rate control in NGAP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ZTE Corporation, Nokia, Nokia Shanghai Bell, CATT, Qualcomm, Huawei, Ericsson, Samsung,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8.2.1, 8.2.3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Notification Cause IE in NGAP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missing behavior text for DL PDU Set Information Marking Support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Bell, CATT, Qualcomm, ZTE, Ericsson, Ofinno, Huawei,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missing behavior text for the MMSID IE and the Indication of Bitrate Adaptation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Bell, Ericsson, Ofinno, China Telecom, Qualcomm, ZTE, Samsung, Huawei,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RLC enhancement for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Nokia Shanghai Bell,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5.4.1.1, 5.5.2.1, 5.5.3.77, 5.5.3.78, 5.5.3.79, 5.5.3.80, 5.5.3.X(new)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RP-253350</vt:lpwstr>
  </property>
  <property fmtid="{D5CDD505-2E9C-101B-9397-08002B2CF9AE}" pid="19" name="CrpackTitle">
    <vt:lpwstr>Corrections to XR for NR</vt:lpwstr>
  </property>
  <property fmtid="{D5CDD505-2E9C-101B-9397-08002B2CF9AE}" pid="20" name="Agenda#">
    <vt:lpwstr>9.9.2.3</vt:lpwstr>
  </property>
  <property fmtid="{D5CDD505-2E9C-101B-9397-08002B2CF9AE}" pid="21" name="Source">
    <vt:lpwstr>RAN3</vt:lpwstr>
  </property>
</Properties>
</file>