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Rapporteur's correction for editorial matters and ASN.1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7, 8.7.3.2, 8.16.2.1, 9.1.4.1, 9.1.4.8, 9.1.5.4, 9.2.3.26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X2AP rapporteur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36.443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reference to TS 36.331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9.2.1.8, 9.2.1.13, 9.2.1.31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Rapporteur's editorial corrections for E1AP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NR_CPUP_Split-Core,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8.2.1.2, 8.2.3.2, 8.4.2.2, 8.7.1.2, 8.7.7.2, 8.7.8.2, 8.12.2.2, 9.2.18.2, 9.2.18.3, 9.3.1.65, 9.3.1.209, 9.4.5, 9.4.7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Rel-19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NRPPa Rapporteur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Rapporteur (Ericsson)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R3-258461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RP-253341</vt:lpwstr>
  </property>
  <property fmtid="{D5CDD505-2E9C-101B-9397-08002B2CF9AE}" pid="19" name="CrpackTitle">
    <vt:lpwstr>Rapporteur's correction for editorial matters and ASN.1</vt:lpwstr>
  </property>
  <property fmtid="{D5CDD505-2E9C-101B-9397-08002B2CF9AE}" pid="20" name="Agenda#">
    <vt:lpwstr>9.7</vt:lpwstr>
  </property>
  <property fmtid="{D5CDD505-2E9C-101B-9397-08002B2CF9AE}" pid="21" name="Source">
    <vt:lpwstr>RAN3</vt:lpwstr>
  </property>
</Properties>
</file>