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CP-260035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oon Providing per-subscriber VLAN instructions from UDM and DN-AAA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Ethernet Packets matching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TEI19_VLANSUB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5.13.1, 5.13.7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Provisioning of a VLAN tag with separate PCP, DEI and/or VID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TEI19_VLANSUB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6.1.6.2.127, 6.1.8,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CP-260035</vt:lpwstr>
  </property>
  <property fmtid="{D5CDD505-2E9C-101B-9397-08002B2CF9AE}" pid="19" name="CrpackTitle">
    <vt:lpwstr>CR Pack oon Providing per-subscriber VLAN instructions from UDM and DN-AAA</vt:lpwstr>
  </property>
  <property fmtid="{D5CDD505-2E9C-101B-9397-08002B2CF9AE}" pid="20" name="Agenda#">
    <vt:lpwstr>19.7</vt:lpwstr>
  </property>
  <property fmtid="{D5CDD505-2E9C-101B-9397-08002B2CF9AE}" pid="21" name="Source">
    <vt:lpwstr>CT4</vt:lpwstr>
  </property>
</Properties>
</file>