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SA3LI#98-b 6G</w:t>
      </w:r>
      <w:r>
        <w:rPr>
          <w:b/>
          <w:i/>
          <w:noProof/>
          <w:sz w:val="28"/>
          <w:lang w:val="it-IT"/>
        </w:rPr>
        <w:tab/>
      </w:r>
      <w:r>
        <w:rPr>
          <w:b/>
          <w:i/>
          <w:noProof/>
          <w:sz w:val="28"/>
          <w:lang w:val="it-IT"/>
        </w:rPr>
        <w:t>s3i250501</w:t>
      </w:r>
    </w:p>
    <w:p>
      <w:pPr>
        <w:pStyle w:val="CRCoverPage"/>
        <w:outlineLvl w:val="0"/>
        <w:rPr>
          <w:b/>
          <w:noProof/>
          <w:sz w:val="24"/>
        </w:rPr>
      </w:pPr>
      <w:r>
        <w:rPr>
          <w:b/>
          <w:noProof/>
          <w:sz w:val="24"/>
        </w:rPr>
        <w:t>03-04 September 2025, Sophia Antipolis (France)</w:t>
      </w:r>
    </w:p>
    <w:p>
      <w:pPr>
        <w:keepNext/>
        <w:pBdr>
          <w:bottom w:val="single" w:sz="4" w:space="1" w:color="auto"/>
        </w:pBdr>
        <w:tabs>
          <w:tab w:val="right" w:pos="9639"/>
        </w:tabs>
        <w:spacing w:after="0"/>
        <w:outlineLvl w:val="0"/>
        <w:rPr>
          <w:rFonts w:ascii="Arial" w:hAnsi="Arial"/>
          <w:b/>
        </w:rPr>
      </w:pPr>
      <w:r>
        <w:rPr>
          <w:rFonts w:ascii="Arial" w:hAnsi="Arial" w:cs="Arial"/>
          <w:b/>
          <w:sz w:val="24"/>
        </w:rPr>
        <w:tab/>
      </w:r>
    </w:p>
    <w:p>
      <w:pPr>
        <w:spacing w:before="120" w:after="0"/>
        <w:ind w:left="2127" w:hanging="2127"/>
        <w:rPr>
          <w:rFonts w:ascii="Arial" w:eastAsia="MS Mincho" w:hAnsi="Arial"/>
          <w:b/>
          <w:lang w:val="fr-FR" w:eastAsia="ja-JP"/>
        </w:rPr>
      </w:pPr>
      <w:r>
        <w:rPr>
          <w:rFonts w:ascii="Arial" w:eastAsia="MS Mincho" w:hAnsi="Arial"/>
          <w:b/>
          <w:lang w:val="fr-FR" w:eastAsia="ja-JP"/>
        </w:rPr>
        <w:t>Source:</w:t>
      </w:r>
      <w:r>
        <w:rPr>
          <w:rFonts w:ascii="Arial" w:eastAsia="MS Mincho" w:hAnsi="Arial"/>
          <w:b/>
          <w:lang w:val="fr-FR" w:eastAsia="ja-JP"/>
        </w:rPr>
        <w:tab/>
      </w:r>
      <w:proofErr w:type="spellStart"/>
      <w:r>
        <w:rPr>
          <w:rFonts w:ascii="Arial" w:eastAsia="MS Mincho" w:hAnsi="Arial"/>
          <w:b/>
          <w:lang w:val="fr-FR" w:eastAsia="ja-JP"/>
        </w:rPr>
        <w:t>Ministere</w:t>
      </w:r>
      <w:proofErr w:type="spellEnd"/>
      <w:r>
        <w:rPr>
          <w:rFonts w:ascii="Arial" w:eastAsia="MS Mincho" w:hAnsi="Arial"/>
          <w:b/>
          <w:lang w:val="fr-FR" w:eastAsia="ja-JP"/>
        </w:rPr>
        <w:t xml:space="preserve"> de l’économie et des finances (France)</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Terms of References of SA3 and indirectly SA3LI </w:t>
      </w:r>
      <w:r>
        <w:rPr>
          <w:rFonts w:ascii="Arial" w:eastAsia="MS Mincho" w:hAnsi="Arial"/>
          <w:b/>
          <w:lang w:eastAsia="ja-JP"/>
        </w:rPr>
        <w:t>related to 6G and new regulations</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Pr>
          <w:rFonts w:ascii="Arial" w:eastAsia="MS Mincho" w:hAnsi="Arial"/>
          <w:b/>
          <w:lang w:eastAsia="ja-JP"/>
        </w:rPr>
        <w:t>3 - 6G Discussion</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LI20</w:t>
      </w:r>
    </w:p>
    <w:p>
      <w:pPr>
        <w:spacing w:before="120" w:after="0"/>
        <w:ind w:left="2127" w:hanging="2127"/>
        <w:rPr>
          <w:rFonts w:ascii="Arial" w:eastAsia="MS Mincho" w:hAnsi="Arial"/>
          <w:b/>
          <w:lang w:eastAsia="ja-JP"/>
        </w:rPr>
      </w:pPr>
    </w:p>
    <w:p>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pPr>
        <w:spacing w:before="120" w:after="0"/>
        <w:ind w:left="2127" w:hanging="2127"/>
        <w:rPr>
          <w:rFonts w:ascii="Arial" w:eastAsia="MS Mincho" w:hAnsi="Arial"/>
          <w:i/>
          <w:lang w:eastAsia="ja-JP"/>
        </w:rPr>
      </w:pPr>
    </w:p>
    <w:p>
      <w:pPr>
        <w:rPr>
          <w:rFonts w:ascii="Arial" w:eastAsia="MS Mincho" w:hAnsi="Arial"/>
          <w:bCs/>
          <w:i/>
          <w:iCs/>
          <w:lang w:eastAsia="ja-JP"/>
        </w:rPr>
      </w:pPr>
      <w:r>
        <w:rPr>
          <w:rFonts w:ascii="Arial" w:eastAsia="MS Mincho" w:hAnsi="Arial"/>
          <w:bCs/>
          <w:i/>
          <w:iCs/>
          <w:lang w:eastAsia="ja-JP"/>
        </w:rPr>
        <w:t xml:space="preserve">Proposal to revised and upgrade the SA3 </w:t>
      </w:r>
      <w:proofErr w:type="spellStart"/>
      <w:r>
        <w:rPr>
          <w:rFonts w:ascii="Arial" w:eastAsia="MS Mincho" w:hAnsi="Arial"/>
          <w:bCs/>
          <w:i/>
          <w:iCs/>
          <w:lang w:eastAsia="ja-JP"/>
        </w:rPr>
        <w:t>ToR</w:t>
      </w:r>
      <w:proofErr w:type="spellEnd"/>
      <w:r>
        <w:rPr>
          <w:rFonts w:ascii="Arial" w:eastAsia="MS Mincho" w:hAnsi="Arial"/>
          <w:bCs/>
          <w:i/>
          <w:iCs/>
          <w:lang w:eastAsia="ja-JP"/>
        </w:rPr>
        <w:t xml:space="preserve"> related to SA3LI in order to let 3GPP SA3LI make proposal related to LI on 6G and 5G and new regulations. </w:t>
      </w:r>
    </w:p>
    <w:p>
      <w:pPr>
        <w:rPr>
          <w:rFonts w:ascii="Arial" w:eastAsia="MS Mincho" w:hAnsi="Arial"/>
          <w:bCs/>
          <w:i/>
          <w:iCs/>
          <w:lang w:eastAsia="ja-JP"/>
        </w:rPr>
      </w:pPr>
      <w:r>
        <w:rPr>
          <w:rFonts w:ascii="Arial" w:eastAsia="MS Mincho" w:hAnsi="Arial"/>
          <w:bCs/>
          <w:i/>
          <w:iCs/>
          <w:lang w:eastAsia="ja-JP"/>
        </w:rPr>
        <w:t>Require guidance from SA3LI and later by SA3</w:t>
      </w:r>
    </w:p>
    <w:p>
      <w:pPr>
        <w:pBdr>
          <w:bottom w:val="single" w:sz="6" w:space="1" w:color="auto"/>
        </w:pBdr>
        <w:rPr>
          <w:rFonts w:ascii="Arial" w:hAnsi="Arial"/>
          <w:b/>
          <w:lang w:val="en-US"/>
        </w:rPr>
      </w:pPr>
    </w:p>
    <w:p>
      <w:pPr>
        <w:pStyle w:val="Paragraphedeliste"/>
        <w:numPr>
          <w:ilvl w:val="0"/>
          <w:numId w:val="20"/>
        </w:numPr>
        <w:rPr>
          <w:rFonts w:ascii="Arial" w:eastAsia="MS Mincho" w:hAnsi="Arial"/>
          <w:b/>
          <w:lang w:eastAsia="ja-JP"/>
        </w:rPr>
      </w:pPr>
      <w:r>
        <w:rPr>
          <w:rFonts w:ascii="Arial" w:eastAsia="MS Mincho" w:hAnsi="Arial"/>
          <w:b/>
          <w:lang w:eastAsia="ja-JP"/>
        </w:rPr>
        <w:t>Overview</w:t>
      </w:r>
    </w:p>
    <w:p>
      <w:pPr>
        <w:rPr>
          <w:rFonts w:ascii="Arial" w:eastAsia="MS Mincho" w:hAnsi="Arial"/>
          <w:bCs/>
          <w:lang w:eastAsia="ja-JP"/>
        </w:rPr>
      </w:pPr>
      <w:r>
        <w:rPr>
          <w:rFonts w:ascii="Arial" w:eastAsia="MS Mincho" w:hAnsi="Arial"/>
          <w:bCs/>
          <w:lang w:eastAsia="ja-JP"/>
        </w:rPr>
        <w:t xml:space="preserve">The latest terms of reference </w:t>
      </w:r>
      <w:r>
        <w:rPr>
          <w:rFonts w:ascii="Arial" w:eastAsia="MS Mincho" w:hAnsi="Arial"/>
          <w:bCs/>
          <w:lang w:eastAsia="ja-JP"/>
        </w:rPr>
        <w:t xml:space="preserve">of 3GPP SA3 and subsequently the scope of specifications developed by SA3LI, </w:t>
      </w:r>
      <w:r>
        <w:rPr>
          <w:rFonts w:ascii="Arial" w:eastAsia="MS Mincho" w:hAnsi="Arial"/>
          <w:bCs/>
          <w:lang w:eastAsia="ja-JP"/>
        </w:rPr>
        <w:t>were approved at SA#90-e in document SP-201085</w:t>
      </w:r>
      <w:r>
        <w:rPr>
          <w:rFonts w:ascii="Arial" w:eastAsia="MS Mincho" w:hAnsi="Arial"/>
          <w:bCs/>
          <w:lang w:eastAsia="ja-JP"/>
        </w:rPr>
        <w:t xml:space="preserve"> the</w:t>
      </w:r>
      <w:r>
        <w:rPr>
          <w:rFonts w:ascii="Arial" w:eastAsia="MS Mincho" w:hAnsi="Arial"/>
          <w:bCs/>
          <w:lang w:eastAsia="ja-JP"/>
        </w:rPr>
        <w:t xml:space="preserve"> 14</w:t>
      </w:r>
      <w:r>
        <w:rPr>
          <w:rFonts w:ascii="Arial" w:eastAsia="MS Mincho" w:hAnsi="Arial"/>
          <w:bCs/>
          <w:vertAlign w:val="superscript"/>
          <w:lang w:eastAsia="ja-JP"/>
        </w:rPr>
        <w:t>th</w:t>
      </w:r>
      <w:r>
        <w:rPr>
          <w:rFonts w:ascii="Arial" w:eastAsia="MS Mincho" w:hAnsi="Arial"/>
          <w:bCs/>
          <w:lang w:eastAsia="ja-JP"/>
        </w:rPr>
        <w:t xml:space="preserve"> of</w:t>
      </w:r>
      <w:r>
        <w:rPr>
          <w:rFonts w:ascii="Arial" w:eastAsia="MS Mincho" w:hAnsi="Arial"/>
          <w:bCs/>
          <w:lang w:eastAsia="ja-JP"/>
        </w:rPr>
        <w:t xml:space="preserve"> December 2020</w:t>
      </w:r>
      <w:r>
        <w:rPr>
          <w:rFonts w:ascii="Arial" w:eastAsia="MS Mincho" w:hAnsi="Arial"/>
          <w:bCs/>
          <w:lang w:eastAsia="ja-JP"/>
        </w:rPr>
        <w:t xml:space="preserve">. It was a proposal of </w:t>
      </w:r>
      <w:r>
        <w:rPr>
          <w:rFonts w:ascii="Arial" w:eastAsia="MS Mincho" w:hAnsi="Arial"/>
          <w:bCs/>
          <w:lang w:eastAsia="ja-JP"/>
        </w:rPr>
        <w:t>SA WG3 Chair</w:t>
      </w:r>
      <w:r>
        <w:rPr>
          <w:rFonts w:ascii="Arial" w:eastAsia="MS Mincho" w:hAnsi="Arial"/>
          <w:bCs/>
          <w:lang w:eastAsia="ja-JP"/>
        </w:rPr>
        <w:t xml:space="preserve"> to SA plenary:</w:t>
      </w:r>
    </w:p>
    <w:p>
      <w:pPr>
        <w:rPr>
          <w:rFonts w:ascii="Arial" w:eastAsia="MS Mincho" w:hAnsi="Arial"/>
          <w:bCs/>
          <w:lang w:eastAsia="ja-JP"/>
        </w:rPr>
      </w:pPr>
      <w:hyperlink r:id="rId11" w:history="1">
        <w:r>
          <w:rPr>
            <w:rStyle w:val="Lienhypertexte"/>
            <w:rFonts w:ascii="Arial" w:eastAsia="MS Mincho" w:hAnsi="Arial"/>
            <w:bCs/>
            <w:lang w:eastAsia="ja-JP"/>
          </w:rPr>
          <w:t>https://www.3gpp.org/ftp/tsg_sa/TSG_SA/TSGs_90E_Electronic/Docs/SP-201085.zip</w:t>
        </w:r>
      </w:hyperlink>
    </w:p>
    <w:p>
      <w:pPr>
        <w:rPr>
          <w:rFonts w:ascii="Arial" w:eastAsia="MS Mincho" w:hAnsi="Arial"/>
          <w:bCs/>
          <w:lang w:eastAsia="ja-JP"/>
        </w:rPr>
      </w:pPr>
      <w:r>
        <w:rPr>
          <w:rFonts w:ascii="Arial" w:eastAsia="MS Mincho" w:hAnsi="Arial"/>
          <w:bCs/>
          <w:lang w:eastAsia="ja-JP"/>
        </w:rPr>
        <w:t>T</w:t>
      </w:r>
      <w:r>
        <w:rPr>
          <w:rFonts w:ascii="Arial" w:eastAsia="MS Mincho" w:hAnsi="Arial"/>
          <w:bCs/>
          <w:lang w:eastAsia="ja-JP"/>
        </w:rPr>
        <w:t>he main objectives of 3GPP TSG SA WG3 (SA3) includes defining the requirements and specifying the architectures and protocols for security and privacy in 3GPP systems</w:t>
      </w:r>
      <w:r>
        <w:rPr>
          <w:rFonts w:ascii="Arial" w:eastAsia="MS Mincho" w:hAnsi="Arial"/>
          <w:bCs/>
          <w:lang w:eastAsia="ja-JP"/>
        </w:rPr>
        <w:t xml:space="preserve">. </w:t>
      </w:r>
    </w:p>
    <w:p>
      <w:pPr>
        <w:rPr>
          <w:rFonts w:ascii="Arial" w:eastAsia="MS Mincho" w:hAnsi="Arial"/>
          <w:bCs/>
          <w:lang w:eastAsia="ja-JP"/>
        </w:rPr>
      </w:pPr>
      <w:r>
        <w:rPr>
          <w:rFonts w:ascii="Arial" w:eastAsia="MS Mincho" w:hAnsi="Arial"/>
          <w:bCs/>
          <w:lang w:eastAsia="ja-JP"/>
        </w:rPr>
        <w:t xml:space="preserve">Within SA3, </w:t>
      </w:r>
      <w:r>
        <w:rPr>
          <w:rFonts w:ascii="Arial" w:eastAsia="MS Mincho" w:hAnsi="Arial"/>
          <w:bCs/>
          <w:lang w:eastAsia="ja-JP"/>
        </w:rPr>
        <w:t>t</w:t>
      </w:r>
      <w:r>
        <w:rPr>
          <w:rFonts w:ascii="Arial" w:eastAsia="MS Mincho" w:hAnsi="Arial"/>
          <w:bCs/>
          <w:lang w:eastAsia="ja-JP"/>
        </w:rPr>
        <w:t xml:space="preserve">he </w:t>
      </w:r>
      <w:proofErr w:type="spellStart"/>
      <w:r>
        <w:rPr>
          <w:rFonts w:ascii="Arial" w:eastAsia="MS Mincho" w:hAnsi="Arial"/>
          <w:bCs/>
          <w:lang w:eastAsia="ja-JP"/>
        </w:rPr>
        <w:t>subworking</w:t>
      </w:r>
      <w:proofErr w:type="spellEnd"/>
      <w:r>
        <w:rPr>
          <w:rFonts w:ascii="Arial" w:eastAsia="MS Mincho" w:hAnsi="Arial"/>
          <w:bCs/>
          <w:lang w:eastAsia="ja-JP"/>
        </w:rPr>
        <w:t xml:space="preserve"> group SA WG3-LI will detail the requirements for lawful interception in 3GPP systems, and produce all specifications needed to meet those requirements. This work shall be performed in conjunction with the regional standards bodies.</w:t>
      </w:r>
    </w:p>
    <w:p>
      <w:pPr>
        <w:rPr>
          <w:rFonts w:ascii="Arial" w:eastAsia="MS Mincho" w:hAnsi="Arial"/>
          <w:bCs/>
          <w:lang w:eastAsia="ja-JP"/>
        </w:rPr>
      </w:pPr>
      <w:r>
        <w:rPr>
          <w:rFonts w:ascii="Arial" w:eastAsia="MS Mincho" w:hAnsi="Arial"/>
          <w:bCs/>
          <w:lang w:eastAsia="ja-JP"/>
        </w:rPr>
        <w:t>The current “</w:t>
      </w:r>
      <w:r>
        <w:rPr>
          <w:rFonts w:ascii="Arial" w:eastAsia="MS Mincho" w:hAnsi="Arial"/>
          <w:bCs/>
          <w:lang w:eastAsia="ja-JP"/>
        </w:rPr>
        <w:t>Scope of Responsibilities</w:t>
      </w:r>
      <w:r>
        <w:rPr>
          <w:rFonts w:ascii="Arial" w:eastAsia="MS Mincho" w:hAnsi="Arial"/>
          <w:bCs/>
          <w:lang w:eastAsia="ja-JP"/>
        </w:rPr>
        <w:t xml:space="preserve">” of SA3 (and indirectly of SA3LI) is limited on </w:t>
      </w:r>
      <w:r>
        <w:rPr>
          <w:rFonts w:ascii="Arial" w:eastAsia="MS Mincho" w:hAnsi="Arial"/>
          <w:bCs/>
          <w:lang w:eastAsia="ja-JP"/>
        </w:rPr>
        <w:t>requirements for lawful interception</w:t>
      </w:r>
      <w:r>
        <w:rPr>
          <w:rFonts w:ascii="Arial" w:eastAsia="MS Mincho" w:hAnsi="Arial"/>
          <w:bCs/>
          <w:lang w:eastAsia="ja-JP"/>
        </w:rPr>
        <w:t xml:space="preserve">. More one year of discussion in SA3LI and SA3 were held when LALS, as complement of LI, even if it was required in many </w:t>
      </w:r>
      <w:proofErr w:type="spellStart"/>
      <w:r>
        <w:rPr>
          <w:rFonts w:ascii="Arial" w:eastAsia="MS Mincho" w:hAnsi="Arial"/>
          <w:bCs/>
          <w:lang w:eastAsia="ja-JP"/>
        </w:rPr>
        <w:t>juridictions</w:t>
      </w:r>
      <w:proofErr w:type="spellEnd"/>
      <w:r>
        <w:rPr>
          <w:rFonts w:ascii="Arial" w:eastAsia="MS Mincho" w:hAnsi="Arial"/>
          <w:bCs/>
          <w:lang w:eastAsia="ja-JP"/>
        </w:rPr>
        <w:t>/laws.</w:t>
      </w:r>
    </w:p>
    <w:p>
      <w:pPr>
        <w:rPr>
          <w:rFonts w:ascii="Arial" w:eastAsia="MS Mincho" w:hAnsi="Arial"/>
          <w:bCs/>
          <w:lang w:eastAsia="ja-JP"/>
        </w:rPr>
      </w:pPr>
      <w:r>
        <w:rPr>
          <w:rFonts w:ascii="Arial" w:eastAsia="MS Mincho" w:hAnsi="Arial"/>
          <w:bCs/>
          <w:lang w:eastAsia="ja-JP"/>
        </w:rPr>
        <w:t>A warrant of “</w:t>
      </w:r>
      <w:proofErr w:type="spellStart"/>
      <w:r>
        <w:rPr>
          <w:rFonts w:ascii="Arial" w:eastAsia="MS Mincho" w:hAnsi="Arial"/>
          <w:bCs/>
          <w:lang w:eastAsia="ja-JP"/>
        </w:rPr>
        <w:t>Lawfull</w:t>
      </w:r>
      <w:proofErr w:type="spellEnd"/>
      <w:r>
        <w:rPr>
          <w:rFonts w:ascii="Arial" w:eastAsia="MS Mincho" w:hAnsi="Arial"/>
          <w:bCs/>
          <w:lang w:eastAsia="ja-JP"/>
        </w:rPr>
        <w:t xml:space="preserve"> Interception” may need extra information to let a judge/magistrate/court to decide such major breach of privacy of an individual</w:t>
      </w:r>
      <w:r>
        <w:rPr>
          <w:rFonts w:ascii="Arial" w:eastAsia="MS Mincho" w:hAnsi="Arial"/>
          <w:bCs/>
          <w:lang w:eastAsia="ja-JP"/>
        </w:rPr>
        <w:t>, or to complement an existing LI warrant</w:t>
      </w:r>
      <w:r>
        <w:rPr>
          <w:rFonts w:ascii="Arial" w:eastAsia="MS Mincho" w:hAnsi="Arial"/>
          <w:bCs/>
          <w:lang w:eastAsia="ja-JP"/>
        </w:rPr>
        <w:t>.</w:t>
      </w:r>
      <w:r>
        <w:rPr>
          <w:rFonts w:ascii="Arial" w:eastAsia="MS Mincho" w:hAnsi="Arial"/>
          <w:bCs/>
          <w:lang w:eastAsia="ja-JP"/>
        </w:rPr>
        <w:t xml:space="preserve"> Such information may be retained and/or stored data of requested operator.</w:t>
      </w:r>
    </w:p>
    <w:p>
      <w:pPr>
        <w:pStyle w:val="Paragraphedeliste"/>
        <w:numPr>
          <w:ilvl w:val="0"/>
          <w:numId w:val="20"/>
        </w:numPr>
        <w:rPr>
          <w:rFonts w:ascii="Arial" w:eastAsia="MS Mincho" w:hAnsi="Arial"/>
          <w:b/>
          <w:lang w:eastAsia="ja-JP"/>
        </w:rPr>
      </w:pPr>
      <w:r>
        <w:rPr>
          <w:rFonts w:ascii="Arial" w:eastAsia="MS Mincho" w:hAnsi="Arial"/>
          <w:b/>
          <w:lang w:eastAsia="ja-JP"/>
        </w:rPr>
        <w:t>Changes with 6G</w:t>
      </w:r>
    </w:p>
    <w:p>
      <w:pPr>
        <w:rPr>
          <w:rFonts w:ascii="Arial" w:eastAsia="MS Mincho" w:hAnsi="Arial"/>
          <w:bCs/>
          <w:lang w:eastAsia="ja-JP"/>
        </w:rPr>
      </w:pPr>
      <w:r>
        <w:rPr>
          <w:rFonts w:ascii="Arial" w:eastAsia="MS Mincho" w:hAnsi="Arial"/>
          <w:bCs/>
          <w:lang w:eastAsia="ja-JP"/>
        </w:rPr>
        <w:t xml:space="preserve">The </w:t>
      </w:r>
      <w:r>
        <w:rPr>
          <w:rFonts w:ascii="Arial" w:eastAsia="MS Mincho" w:hAnsi="Arial"/>
          <w:bCs/>
          <w:lang w:eastAsia="ja-JP"/>
        </w:rPr>
        <w:t>Study on Architecture for 6G System</w:t>
      </w:r>
      <w:r>
        <w:rPr>
          <w:rFonts w:ascii="Arial" w:eastAsia="MS Mincho" w:hAnsi="Arial"/>
          <w:bCs/>
          <w:lang w:eastAsia="ja-JP"/>
        </w:rPr>
        <w:t xml:space="preserve"> (</w:t>
      </w:r>
      <w:r>
        <w:rPr>
          <w:rFonts w:ascii="Arial" w:eastAsia="MS Mincho" w:hAnsi="Arial"/>
          <w:bCs/>
          <w:lang w:eastAsia="ja-JP"/>
        </w:rPr>
        <w:t>FS_6G_ARC</w:t>
      </w:r>
      <w:r>
        <w:rPr>
          <w:rFonts w:ascii="Arial" w:eastAsia="MS Mincho" w:hAnsi="Arial"/>
          <w:bCs/>
          <w:lang w:eastAsia="ja-JP"/>
        </w:rPr>
        <w:t>) of 3GPP SA2 cover services that are not only electronic communications services but extra services on top of electronic communications, that may compute</w:t>
      </w:r>
      <w:r>
        <w:rPr>
          <w:rFonts w:ascii="Arial" w:eastAsia="MS Mincho" w:hAnsi="Arial"/>
          <w:bCs/>
          <w:lang w:eastAsia="ja-JP"/>
        </w:rPr>
        <w:t xml:space="preserve"> </w:t>
      </w:r>
      <w:r>
        <w:rPr>
          <w:rFonts w:ascii="Arial" w:eastAsia="MS Mincho" w:hAnsi="Arial"/>
          <w:bCs/>
          <w:lang w:eastAsia="ja-JP"/>
        </w:rPr>
        <w:t xml:space="preserve">and store some data such: </w:t>
      </w:r>
    </w:p>
    <w:p>
      <w:pPr>
        <w:pStyle w:val="Paragraphedeliste"/>
        <w:numPr>
          <w:ilvl w:val="0"/>
          <w:numId w:val="22"/>
        </w:numPr>
        <w:rPr>
          <w:rFonts w:ascii="Arial" w:eastAsia="MS Mincho" w:hAnsi="Arial"/>
          <w:bCs/>
          <w:lang w:eastAsia="ja-JP"/>
        </w:rPr>
      </w:pPr>
      <w:r>
        <w:rPr>
          <w:rFonts w:ascii="Arial" w:eastAsia="MS Mincho" w:hAnsi="Arial"/>
          <w:bCs/>
          <w:lang w:eastAsia="ja-JP"/>
        </w:rPr>
        <w:t>WT3: AI in 6G, incl. AI agent, AI framework</w:t>
      </w:r>
      <w:r>
        <w:rPr>
          <w:rFonts w:ascii="Arial" w:eastAsia="MS Mincho" w:hAnsi="Arial"/>
          <w:bCs/>
          <w:lang w:eastAsia="ja-JP"/>
        </w:rPr>
        <w:t xml:space="preserve"> </w:t>
      </w:r>
    </w:p>
    <w:p>
      <w:pPr>
        <w:pStyle w:val="Paragraphedeliste"/>
        <w:numPr>
          <w:ilvl w:val="0"/>
          <w:numId w:val="22"/>
        </w:numPr>
        <w:rPr>
          <w:rFonts w:ascii="Arial" w:eastAsia="MS Mincho" w:hAnsi="Arial"/>
          <w:bCs/>
          <w:lang w:eastAsia="ja-JP"/>
        </w:rPr>
      </w:pPr>
      <w:r>
        <w:rPr>
          <w:rFonts w:ascii="Arial" w:eastAsia="MS Mincho" w:hAnsi="Arial"/>
          <w:bCs/>
          <w:lang w:eastAsia="ja-JP"/>
        </w:rPr>
        <w:t>WT4: ISAC</w:t>
      </w:r>
    </w:p>
    <w:p>
      <w:pPr>
        <w:pStyle w:val="Paragraphedeliste"/>
        <w:numPr>
          <w:ilvl w:val="0"/>
          <w:numId w:val="22"/>
        </w:numPr>
        <w:rPr>
          <w:rFonts w:ascii="Arial" w:eastAsia="MS Mincho" w:hAnsi="Arial"/>
          <w:bCs/>
          <w:lang w:eastAsia="ja-JP"/>
        </w:rPr>
      </w:pPr>
      <w:r>
        <w:rPr>
          <w:rFonts w:ascii="Arial" w:eastAsia="MS Mincho" w:hAnsi="Arial"/>
          <w:bCs/>
          <w:lang w:eastAsia="ja-JP"/>
        </w:rPr>
        <w:t>WT5: Data Framework</w:t>
      </w:r>
    </w:p>
    <w:p>
      <w:pPr>
        <w:pStyle w:val="Paragraphedeliste"/>
        <w:numPr>
          <w:ilvl w:val="0"/>
          <w:numId w:val="22"/>
        </w:numPr>
        <w:rPr>
          <w:rFonts w:ascii="Arial" w:eastAsia="MS Mincho" w:hAnsi="Arial"/>
          <w:bCs/>
          <w:lang w:eastAsia="ja-JP"/>
        </w:rPr>
      </w:pPr>
      <w:r>
        <w:rPr>
          <w:rFonts w:ascii="Arial" w:eastAsia="MS Mincho" w:hAnsi="Arial"/>
          <w:bCs/>
          <w:lang w:eastAsia="ja-JP"/>
        </w:rPr>
        <w:t>WT6: Support of computing for UE, core network and application servers</w:t>
      </w:r>
    </w:p>
    <w:p>
      <w:pPr>
        <w:pStyle w:val="Paragraphedeliste"/>
        <w:rPr>
          <w:rFonts w:ascii="Arial" w:eastAsia="MS Mincho" w:hAnsi="Arial"/>
          <w:bCs/>
          <w:lang w:eastAsia="ja-JP"/>
        </w:rPr>
      </w:pPr>
    </w:p>
    <w:p>
      <w:pPr>
        <w:pStyle w:val="Paragraphedeliste"/>
        <w:numPr>
          <w:ilvl w:val="0"/>
          <w:numId w:val="20"/>
        </w:numPr>
        <w:rPr>
          <w:rFonts w:ascii="Arial" w:eastAsia="MS Mincho" w:hAnsi="Arial"/>
          <w:b/>
          <w:lang w:eastAsia="ja-JP"/>
        </w:rPr>
      </w:pPr>
      <w:r>
        <w:rPr>
          <w:rFonts w:ascii="Arial" w:eastAsia="MS Mincho" w:hAnsi="Arial"/>
          <w:b/>
          <w:lang w:eastAsia="ja-JP"/>
        </w:rPr>
        <w:t>New laws</w:t>
      </w:r>
    </w:p>
    <w:p>
      <w:pPr>
        <w:rPr>
          <w:rFonts w:ascii="Arial" w:eastAsia="MS Mincho" w:hAnsi="Arial"/>
          <w:bCs/>
          <w:lang w:eastAsia="ja-JP"/>
        </w:rPr>
      </w:pPr>
      <w:r>
        <w:rPr>
          <w:rFonts w:ascii="Arial" w:eastAsia="MS Mincho" w:hAnsi="Arial"/>
          <w:bCs/>
          <w:lang w:eastAsia="ja-JP"/>
        </w:rPr>
        <w:t xml:space="preserve">Furthermore, regulations have evolved and clarified LEA requests on data. </w:t>
      </w:r>
      <w:r>
        <w:rPr>
          <w:rFonts w:ascii="Arial" w:eastAsia="MS Mincho" w:hAnsi="Arial"/>
          <w:bCs/>
          <w:lang w:eastAsia="ja-JP"/>
        </w:rPr>
        <w:t xml:space="preserve">EU has developed an </w:t>
      </w:r>
      <w:r>
        <w:rPr>
          <w:rFonts w:ascii="Arial" w:eastAsia="MS Mincho" w:hAnsi="Arial"/>
          <w:bCs/>
          <w:lang w:eastAsia="ja-JP"/>
        </w:rPr>
        <w:t>“Electronic Evidence” (e evidence), laws and regulations that will be enforced mid-2026.</w:t>
      </w:r>
    </w:p>
    <w:p>
      <w:pPr>
        <w:rPr>
          <w:rFonts w:ascii="Arial" w:eastAsia="MS Mincho" w:hAnsi="Arial"/>
          <w:bCs/>
          <w:lang w:eastAsia="ja-JP"/>
        </w:rPr>
      </w:pPr>
      <w:r>
        <w:rPr>
          <w:rFonts w:ascii="Arial" w:eastAsia="MS Mincho" w:hAnsi="Arial"/>
          <w:bCs/>
          <w:lang w:eastAsia="ja-JP"/>
        </w:rPr>
        <w:t xml:space="preserve">On top of EU member states, other countries such Japan, the USA, Canada, </w:t>
      </w:r>
      <w:proofErr w:type="spellStart"/>
      <w:r>
        <w:rPr>
          <w:rFonts w:ascii="Arial" w:eastAsia="MS Mincho" w:hAnsi="Arial"/>
          <w:bCs/>
          <w:lang w:eastAsia="ja-JP"/>
        </w:rPr>
        <w:t>Australie</w:t>
      </w:r>
      <w:proofErr w:type="spellEnd"/>
      <w:r>
        <w:rPr>
          <w:rFonts w:ascii="Arial" w:eastAsia="MS Mincho" w:hAnsi="Arial"/>
          <w:bCs/>
          <w:lang w:eastAsia="ja-JP"/>
        </w:rPr>
        <w:t>… have signed the ‘</w:t>
      </w:r>
      <w:r>
        <w:rPr>
          <w:rFonts w:ascii="Arial" w:eastAsia="MS Mincho" w:hAnsi="Arial"/>
          <w:bCs/>
          <w:lang w:eastAsia="ja-JP"/>
        </w:rPr>
        <w:t>Second Additional Protocol to the Convention on Cybercrime on enhanced co-operation and disclosure of electronic evidence (CETS No. 224)</w:t>
      </w:r>
      <w:r>
        <w:rPr>
          <w:rFonts w:ascii="Arial" w:eastAsia="MS Mincho" w:hAnsi="Arial"/>
          <w:bCs/>
          <w:lang w:eastAsia="ja-JP"/>
        </w:rPr>
        <w:t>’. Such protocol is very closed to EU “e evidence”.</w:t>
      </w:r>
    </w:p>
    <w:p>
      <w:pPr>
        <w:rPr>
          <w:rFonts w:ascii="Arial" w:eastAsia="MS Mincho" w:hAnsi="Arial"/>
          <w:bCs/>
          <w:lang w:eastAsia="ja-JP"/>
        </w:rPr>
      </w:pPr>
      <w:r>
        <w:rPr>
          <w:rFonts w:ascii="Arial" w:eastAsia="MS Mincho" w:hAnsi="Arial"/>
          <w:bCs/>
          <w:lang w:eastAsia="ja-JP"/>
        </w:rPr>
        <w:t xml:space="preserve">E evidence is a </w:t>
      </w:r>
      <w:proofErr w:type="spellStart"/>
      <w:r>
        <w:rPr>
          <w:rFonts w:ascii="Arial" w:eastAsia="MS Mincho" w:hAnsi="Arial"/>
          <w:bCs/>
          <w:lang w:eastAsia="ja-JP"/>
        </w:rPr>
        <w:t>fom</w:t>
      </w:r>
      <w:proofErr w:type="spellEnd"/>
      <w:r>
        <w:rPr>
          <w:rFonts w:ascii="Arial" w:eastAsia="MS Mincho" w:hAnsi="Arial"/>
          <w:bCs/>
          <w:lang w:eastAsia="ja-JP"/>
        </w:rPr>
        <w:t xml:space="preserve"> of </w:t>
      </w:r>
      <w:proofErr w:type="spellStart"/>
      <w:r>
        <w:rPr>
          <w:rFonts w:ascii="Arial" w:eastAsia="MS Mincho" w:hAnsi="Arial"/>
          <w:bCs/>
          <w:lang w:eastAsia="ja-JP"/>
        </w:rPr>
        <w:t>Lawfull</w:t>
      </w:r>
      <w:proofErr w:type="spellEnd"/>
      <w:r>
        <w:rPr>
          <w:rFonts w:ascii="Arial" w:eastAsia="MS Mincho" w:hAnsi="Arial"/>
          <w:bCs/>
          <w:lang w:eastAsia="ja-JP"/>
        </w:rPr>
        <w:t xml:space="preserve"> Disclosure that any cloud or service provider who has stored data/file or retained data for purpose business, are forced to disclose a copy of the requested on by a LEA</w:t>
      </w:r>
      <w:r>
        <w:t xml:space="preserve"> (</w:t>
      </w:r>
      <w:r>
        <w:rPr>
          <w:rFonts w:ascii="Arial" w:eastAsia="MS Mincho" w:hAnsi="Arial"/>
          <w:bCs/>
          <w:lang w:eastAsia="ja-JP"/>
        </w:rPr>
        <w:t xml:space="preserve">see </w:t>
      </w:r>
      <w:r>
        <w:rPr>
          <w:rFonts w:ascii="Arial" w:eastAsia="MS Mincho" w:hAnsi="Arial"/>
          <w:bCs/>
          <w:lang w:eastAsia="ja-JP"/>
        </w:rPr>
        <w:t>ETSI TS 104</w:t>
      </w:r>
      <w:r>
        <w:rPr>
          <w:rFonts w:ascii="Arial" w:eastAsia="MS Mincho" w:hAnsi="Arial"/>
          <w:bCs/>
          <w:lang w:eastAsia="ja-JP"/>
        </w:rPr>
        <w:t> </w:t>
      </w:r>
      <w:r>
        <w:rPr>
          <w:rFonts w:ascii="Arial" w:eastAsia="MS Mincho" w:hAnsi="Arial"/>
          <w:bCs/>
          <w:lang w:eastAsia="ja-JP"/>
        </w:rPr>
        <w:t>144</w:t>
      </w:r>
      <w:r>
        <w:rPr>
          <w:rFonts w:ascii="Arial" w:eastAsia="MS Mincho" w:hAnsi="Arial"/>
          <w:bCs/>
          <w:lang w:eastAsia="ja-JP"/>
        </w:rPr>
        <w:t xml:space="preserve"> that may be completed by SA3LI specs).</w:t>
      </w:r>
    </w:p>
    <w:p>
      <w:pPr>
        <w:rPr>
          <w:rFonts w:ascii="Arial" w:eastAsia="MS Mincho" w:hAnsi="Arial"/>
          <w:bCs/>
          <w:lang w:eastAsia="ja-JP"/>
        </w:rPr>
      </w:pPr>
      <w:r>
        <w:rPr>
          <w:rFonts w:ascii="Arial" w:eastAsia="MS Mincho" w:hAnsi="Arial"/>
          <w:bCs/>
          <w:lang w:eastAsia="ja-JP"/>
        </w:rPr>
        <w:lastRenderedPageBreak/>
        <w:t xml:space="preserve">SA3LI may develop at least request / answer system between an LEA and 3GPP Cloud/CSP Provider on </w:t>
      </w:r>
      <w:proofErr w:type="spellStart"/>
      <w:r>
        <w:rPr>
          <w:rFonts w:ascii="Arial" w:eastAsia="MS Mincho" w:hAnsi="Arial"/>
          <w:bCs/>
          <w:lang w:eastAsia="ja-JP"/>
        </w:rPr>
        <w:t>Lawfull</w:t>
      </w:r>
      <w:proofErr w:type="spellEnd"/>
      <w:r>
        <w:rPr>
          <w:rFonts w:ascii="Arial" w:eastAsia="MS Mincho" w:hAnsi="Arial"/>
          <w:bCs/>
          <w:lang w:eastAsia="ja-JP"/>
        </w:rPr>
        <w:t xml:space="preserve"> Disclosure. For example, it may be related on stored data and associated optional meta data (when the data were modified from which IP address…) of an individual to let fulfil such regulation. Such stored data may help later decision on LI of such individual.</w:t>
      </w:r>
    </w:p>
    <w:p>
      <w:pPr>
        <w:pStyle w:val="Paragraphedeliste"/>
        <w:numPr>
          <w:ilvl w:val="0"/>
          <w:numId w:val="20"/>
        </w:numPr>
      </w:pPr>
      <w:r>
        <w:rPr>
          <w:rFonts w:ascii="Arial" w:eastAsia="MS Mincho" w:hAnsi="Arial"/>
          <w:b/>
          <w:lang w:eastAsia="ja-JP"/>
        </w:rPr>
        <w:t xml:space="preserve">Proposal </w:t>
      </w:r>
    </w:p>
    <w:p>
      <w:pPr>
        <w:rPr>
          <w:rFonts w:ascii="Arial" w:eastAsia="MS Mincho" w:hAnsi="Arial"/>
          <w:bCs/>
          <w:lang w:eastAsia="ja-JP"/>
        </w:rPr>
      </w:pPr>
      <w:r>
        <w:rPr>
          <w:rFonts w:ascii="Arial" w:eastAsia="MS Mincho" w:hAnsi="Arial"/>
          <w:bCs/>
          <w:lang w:eastAsia="ja-JP"/>
        </w:rPr>
        <w:t>Require guidance from SA3LI and</w:t>
      </w:r>
      <w:r>
        <w:rPr>
          <w:rFonts w:ascii="Arial" w:eastAsia="MS Mincho" w:hAnsi="Arial"/>
          <w:bCs/>
          <w:lang w:eastAsia="ja-JP"/>
        </w:rPr>
        <w:t xml:space="preserve"> if agreed later by</w:t>
      </w:r>
      <w:r>
        <w:rPr>
          <w:rFonts w:ascii="Arial" w:eastAsia="MS Mincho" w:hAnsi="Arial"/>
          <w:bCs/>
          <w:lang w:eastAsia="ja-JP"/>
        </w:rPr>
        <w:t xml:space="preserve"> SA3.</w:t>
      </w:r>
      <w:r>
        <w:rPr>
          <w:rFonts w:ascii="Arial" w:eastAsia="MS Mincho" w:hAnsi="Arial"/>
          <w:bCs/>
          <w:lang w:eastAsia="ja-JP"/>
        </w:rPr>
        <w:t xml:space="preserve"> See below the draft </w:t>
      </w:r>
      <w:proofErr w:type="spellStart"/>
      <w:r>
        <w:rPr>
          <w:rFonts w:ascii="Arial" w:eastAsia="MS Mincho" w:hAnsi="Arial"/>
          <w:bCs/>
          <w:lang w:eastAsia="ja-JP"/>
        </w:rPr>
        <w:t>ToR</w:t>
      </w:r>
      <w:proofErr w:type="spellEnd"/>
      <w:r>
        <w:rPr>
          <w:rFonts w:ascii="Arial" w:eastAsia="MS Mincho" w:hAnsi="Arial"/>
          <w:bCs/>
          <w:lang w:eastAsia="ja-JP"/>
        </w:rPr>
        <w:t xml:space="preserve"> of SA3 in revised mode:</w:t>
      </w:r>
    </w:p>
    <w:p>
      <w:pPr>
        <w:spacing w:after="0"/>
        <w:rPr>
          <w:rFonts w:ascii="Arial" w:hAnsi="Arial"/>
          <w:b/>
          <w:noProof/>
          <w:sz w:val="24"/>
          <w:lang w:val="sv-SE"/>
        </w:rPr>
      </w:pPr>
      <w:r>
        <w:rPr>
          <w:b/>
          <w:noProof/>
          <w:sz w:val="24"/>
          <w:lang w:val="sv-SE"/>
        </w:rPr>
        <w:br w:type="page"/>
      </w:r>
    </w:p>
    <w:p>
      <w:pPr>
        <w:pStyle w:val="CRCoverPage"/>
        <w:tabs>
          <w:tab w:val="right" w:pos="9639"/>
        </w:tabs>
        <w:spacing w:after="0"/>
        <w:rPr>
          <w:b/>
          <w:noProof/>
          <w:sz w:val="24"/>
          <w:lang w:val="sv-SE"/>
        </w:rPr>
      </w:pPr>
    </w:p>
    <w:p>
      <w:pPr>
        <w:pStyle w:val="CRCoverPage"/>
        <w:tabs>
          <w:tab w:val="right" w:pos="9639"/>
        </w:tabs>
        <w:spacing w:after="0"/>
        <w:rPr>
          <w:b/>
          <w:noProof/>
          <w:color w:val="FF0000"/>
          <w:sz w:val="24"/>
          <w:lang w:val="sv-SE"/>
        </w:rPr>
      </w:pPr>
      <w:r>
        <w:rPr>
          <w:b/>
          <w:noProof/>
          <w:color w:val="FF0000"/>
          <w:sz w:val="24"/>
          <w:lang w:val="sv-SE"/>
        </w:rPr>
        <w:t>Revised ToR of SA3 to be proposed to SA3 and SA related to 6G development:</w:t>
      </w:r>
    </w:p>
    <w:p>
      <w:pPr>
        <w:pStyle w:val="CRCoverPage"/>
        <w:tabs>
          <w:tab w:val="right" w:pos="9639"/>
        </w:tabs>
        <w:spacing w:after="0"/>
        <w:rPr>
          <w:b/>
          <w:noProof/>
          <w:color w:val="FF0000"/>
          <w:sz w:val="24"/>
          <w:lang w:val="sv-SE"/>
        </w:rPr>
      </w:pPr>
    </w:p>
    <w:p>
      <w:pPr>
        <w:pStyle w:val="CRCoverPage"/>
        <w:tabs>
          <w:tab w:val="right" w:pos="9639"/>
        </w:tabs>
        <w:spacing w:after="0"/>
        <w:rPr>
          <w:b/>
          <w:i/>
          <w:noProof/>
          <w:sz w:val="28"/>
          <w:lang w:val="sv-SE"/>
        </w:rPr>
      </w:pPr>
      <w:r>
        <w:rPr>
          <w:b/>
          <w:noProof/>
          <w:sz w:val="24"/>
          <w:lang w:val="sv-SE"/>
        </w:rPr>
        <w:t>3GPP TSG-SA Meeting #90-e</w:t>
      </w:r>
      <w:r>
        <w:rPr>
          <w:b/>
          <w:i/>
          <w:noProof/>
          <w:sz w:val="28"/>
          <w:lang w:val="sv-SE"/>
        </w:rPr>
        <w:tab/>
      </w:r>
      <w:r>
        <w:rPr>
          <w:b/>
          <w:noProof/>
          <w:sz w:val="24"/>
          <w:lang w:val="sv-SE"/>
        </w:rPr>
        <w:t>SP-201085</w:t>
      </w:r>
    </w:p>
    <w:p>
      <w:pPr>
        <w:pStyle w:val="CRCoverPage"/>
        <w:outlineLvl w:val="0"/>
        <w:rPr>
          <w:b/>
          <w:noProof/>
          <w:sz w:val="24"/>
        </w:rPr>
      </w:pPr>
      <w:r>
        <w:rPr>
          <w:b/>
          <w:bCs/>
          <w:noProof/>
          <w:sz w:val="24"/>
          <w:lang w:val="en-US"/>
        </w:rPr>
        <w:t>Online – 8</w:t>
      </w:r>
      <w:r>
        <w:rPr>
          <w:b/>
          <w:bCs/>
          <w:noProof/>
          <w:sz w:val="24"/>
          <w:vertAlign w:val="superscript"/>
          <w:lang w:val="en-US"/>
        </w:rPr>
        <w:t>th</w:t>
      </w:r>
      <w:r>
        <w:rPr>
          <w:b/>
          <w:bCs/>
          <w:noProof/>
          <w:sz w:val="24"/>
          <w:lang w:val="en-US"/>
        </w:rPr>
        <w:t xml:space="preserve"> – 11</w:t>
      </w:r>
      <w:r>
        <w:rPr>
          <w:b/>
          <w:bCs/>
          <w:noProof/>
          <w:sz w:val="24"/>
          <w:vertAlign w:val="superscript"/>
          <w:lang w:val="en-US"/>
        </w:rPr>
        <w:t>th</w:t>
      </w:r>
      <w:r>
        <w:rPr>
          <w:b/>
          <w:bCs/>
          <w:noProof/>
          <w:sz w:val="24"/>
          <w:lang w:val="en-US"/>
        </w:rPr>
        <w:t xml:space="preserve"> </w:t>
      </w:r>
      <w:r>
        <w:rPr>
          <w:b/>
          <w:noProof/>
          <w:sz w:val="24"/>
        </w:rPr>
        <w:t>December 2020</w:t>
      </w:r>
    </w:p>
    <w:p>
      <w:pPr>
        <w:spacing w:after="120"/>
        <w:ind w:left="1985" w:hanging="1985"/>
        <w:rPr>
          <w:rFonts w:ascii="Arial" w:hAnsi="Arial" w:cs="Arial"/>
          <w:b/>
          <w:bC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TSG SA WG3 Chair</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val="en-US"/>
        </w:rPr>
        <w:t>Terms of Reference (</w:t>
      </w:r>
      <w:proofErr w:type="spellStart"/>
      <w:r>
        <w:rPr>
          <w:rFonts w:ascii="Arial" w:hAnsi="Arial" w:cs="Arial"/>
          <w:b/>
          <w:bCs/>
          <w:lang w:val="en-US"/>
        </w:rPr>
        <w:t>ToR</w:t>
      </w:r>
      <w:proofErr w:type="spellEnd"/>
      <w:r>
        <w:rPr>
          <w:rFonts w:ascii="Arial" w:hAnsi="Arial" w:cs="Arial"/>
          <w:b/>
          <w:bCs/>
          <w:lang w:val="en-US"/>
        </w:rPr>
        <w:t>) for 3GPP TSG SA WG3 (SA3)</w:t>
      </w:r>
    </w:p>
    <w:p>
      <w:pPr>
        <w:spacing w:after="120"/>
        <w:ind w:left="1985" w:hanging="1985"/>
        <w:rPr>
          <w:rFonts w:ascii="Arial" w:hAnsi="Arial" w:cs="Arial"/>
          <w:b/>
          <w:bCs/>
        </w:rPr>
      </w:pPr>
      <w:r>
        <w:rPr>
          <w:rFonts w:ascii="Arial" w:hAnsi="Arial" w:cs="Arial"/>
          <w:b/>
          <w:bCs/>
        </w:rPr>
        <w:t>Agenda item:</w:t>
      </w:r>
      <w:r>
        <w:rPr>
          <w:rFonts w:ascii="Arial" w:hAnsi="Arial" w:cs="Arial"/>
          <w:b/>
          <w:bCs/>
        </w:rPr>
        <w:tab/>
        <w:t>4.3</w:t>
      </w:r>
    </w:p>
    <w:p>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pPr>
        <w:pBdr>
          <w:bottom w:val="single" w:sz="4" w:space="1" w:color="auto"/>
        </w:pBdr>
        <w:rPr>
          <w:rFonts w:ascii="Arial" w:hAnsi="Arial" w:cs="Arial"/>
          <w:b/>
          <w:bCs/>
        </w:rPr>
      </w:pPr>
    </w:p>
    <w:p>
      <w:pPr>
        <w:pStyle w:val="Titre1"/>
        <w:rPr>
          <w:rFonts w:cs="Arial"/>
          <w:b/>
          <w:lang w:val="en-US"/>
        </w:rPr>
      </w:pPr>
      <w:r>
        <w:rPr>
          <w:rFonts w:cs="Arial"/>
          <w:lang w:val="en-US"/>
        </w:rPr>
        <w:t>Name</w:t>
      </w:r>
    </w:p>
    <w:p>
      <w:pPr>
        <w:rPr>
          <w:bCs/>
          <w:sz w:val="24"/>
          <w:szCs w:val="24"/>
          <w:lang w:val="en-US"/>
        </w:rPr>
      </w:pPr>
      <w:r>
        <w:rPr>
          <w:bCs/>
          <w:sz w:val="24"/>
          <w:szCs w:val="24"/>
          <w:lang w:val="en-US"/>
        </w:rPr>
        <w:t>Full Name:</w:t>
      </w:r>
      <w:r>
        <w:rPr>
          <w:bCs/>
          <w:sz w:val="24"/>
          <w:szCs w:val="24"/>
          <w:lang w:val="en-US"/>
        </w:rPr>
        <w:tab/>
        <w:t>3GPP TSG SA WG3</w:t>
      </w:r>
    </w:p>
    <w:p>
      <w:pPr>
        <w:rPr>
          <w:bCs/>
          <w:sz w:val="24"/>
          <w:szCs w:val="24"/>
          <w:lang w:val="en-US"/>
        </w:rPr>
      </w:pPr>
      <w:r>
        <w:rPr>
          <w:bCs/>
          <w:sz w:val="24"/>
          <w:szCs w:val="24"/>
          <w:lang w:val="en-US"/>
        </w:rPr>
        <w:t>Acronym:</w:t>
      </w:r>
      <w:r>
        <w:rPr>
          <w:bCs/>
          <w:sz w:val="24"/>
          <w:szCs w:val="24"/>
          <w:lang w:val="en-US"/>
        </w:rPr>
        <w:tab/>
        <w:t>SA3</w:t>
      </w:r>
    </w:p>
    <w:p>
      <w:pPr>
        <w:rPr>
          <w:bCs/>
          <w:sz w:val="24"/>
          <w:szCs w:val="24"/>
          <w:lang w:val="en-US"/>
        </w:rPr>
      </w:pPr>
      <w:r>
        <w:rPr>
          <w:bCs/>
          <w:sz w:val="24"/>
          <w:szCs w:val="24"/>
          <w:lang w:val="en-US"/>
        </w:rPr>
        <w:t>Label:</w:t>
      </w:r>
      <w:r>
        <w:rPr>
          <w:bCs/>
          <w:sz w:val="24"/>
          <w:szCs w:val="24"/>
          <w:lang w:val="en-US"/>
        </w:rPr>
        <w:tab/>
      </w:r>
      <w:r>
        <w:rPr>
          <w:bCs/>
          <w:sz w:val="24"/>
          <w:szCs w:val="24"/>
          <w:lang w:val="en-US"/>
        </w:rPr>
        <w:tab/>
        <w:t>Security and Privacy</w:t>
      </w:r>
    </w:p>
    <w:p>
      <w:pPr>
        <w:pStyle w:val="Titre1"/>
        <w:rPr>
          <w:rFonts w:cs="Arial"/>
          <w:lang w:val="en-US"/>
        </w:rPr>
      </w:pPr>
      <w:r>
        <w:rPr>
          <w:rFonts w:cs="Arial"/>
          <w:lang w:val="en-US"/>
        </w:rPr>
        <w:t>Overview</w:t>
      </w:r>
    </w:p>
    <w:p>
      <w:pPr>
        <w:rPr>
          <w:lang w:val="en-US"/>
        </w:rPr>
      </w:pPr>
      <w:bookmarkStart w:id="0" w:name="_Hlk57386651"/>
      <w:r>
        <w:rPr>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Within SA3, the </w:t>
      </w:r>
      <w:proofErr w:type="spellStart"/>
      <w:r>
        <w:rPr>
          <w:lang w:val="en-US"/>
        </w:rPr>
        <w:t>subworking</w:t>
      </w:r>
      <w:proofErr w:type="spellEnd"/>
      <w:r>
        <w:rPr>
          <w:lang w:val="en-US"/>
        </w:rPr>
        <w:t xml:space="preserve"> group SA3-LI provides the requirements and specifications for lawful interception</w:t>
      </w:r>
      <w:ins w:id="1" w:author="COURBON Pierre" w:date="2025-07-28T16:01:00Z">
        <w:r>
          <w:rPr>
            <w:lang w:val="en-US"/>
          </w:rPr>
          <w:t xml:space="preserve"> and related </w:t>
        </w:r>
      </w:ins>
      <w:proofErr w:type="spellStart"/>
      <w:ins w:id="2" w:author="COURBON Pierre" w:date="2025-07-28T16:03:00Z">
        <w:r>
          <w:rPr>
            <w:lang w:val="en-US"/>
          </w:rPr>
          <w:t>lawfull</w:t>
        </w:r>
        <w:proofErr w:type="spellEnd"/>
        <w:r>
          <w:rPr>
            <w:lang w:val="en-US"/>
          </w:rPr>
          <w:t xml:space="preserve"> </w:t>
        </w:r>
      </w:ins>
      <w:ins w:id="3" w:author="COURBON Pierre" w:date="2025-07-28T16:01:00Z">
        <w:r>
          <w:rPr>
            <w:lang w:val="en-US"/>
          </w:rPr>
          <w:t>services</w:t>
        </w:r>
      </w:ins>
      <w:r>
        <w:rPr>
          <w:lang w:val="en-US"/>
        </w:rPr>
        <w:t xml:space="preserve"> in 3GPP systems.</w:t>
      </w:r>
    </w:p>
    <w:p>
      <w:pPr>
        <w:rPr>
          <w:lang w:val="en-US"/>
        </w:rPr>
      </w:pPr>
      <w:r>
        <w:rPr>
          <w:lang w:val="en-US"/>
        </w:rPr>
        <w:t>SA3 is currently responsible for security in the 5G</w:t>
      </w:r>
      <w:ins w:id="4" w:author="COURBON Pierre" w:date="2025-07-28T16:01:00Z">
        <w:r>
          <w:rPr>
            <w:lang w:val="en-US"/>
          </w:rPr>
          <w:t xml:space="preserve"> and 6G</w:t>
        </w:r>
      </w:ins>
      <w:r>
        <w:rPr>
          <w:lang w:val="en-US"/>
        </w:rPr>
        <w:t xml:space="preserve"> System including the 3GPP enhancements for IoT and vertical industries. Furthermore, </w:t>
      </w:r>
      <w:del w:id="5" w:author="COURBON Pierre" w:date="2025-07-28T16:02:00Z">
        <w:r>
          <w:rPr>
            <w:lang w:val="en-US"/>
          </w:rPr>
          <w:delText>since the introduction of the 5G System</w:delText>
        </w:r>
      </w:del>
      <w:r>
        <w:rPr>
          <w:lang w:val="en-US"/>
        </w:rPr>
        <w:t>, SA3 has been developing the security requirements and test cases for network equipment implementing any of the new 5G</w:t>
      </w:r>
      <w:ins w:id="6" w:author="COURBON Pierre" w:date="2025-07-28T16:02:00Z">
        <w:r>
          <w:rPr>
            <w:lang w:val="en-US"/>
          </w:rPr>
          <w:t>/6G</w:t>
        </w:r>
      </w:ins>
      <w:r>
        <w:rPr>
          <w:lang w:val="en-US"/>
        </w:rPr>
        <w:t xml:space="preserve"> Network Functions.</w:t>
      </w:r>
    </w:p>
    <w:bookmarkEnd w:id="0"/>
    <w:p>
      <w:pPr>
        <w:pStyle w:val="Titre1"/>
        <w:rPr>
          <w:rFonts w:cs="Arial"/>
          <w:sz w:val="24"/>
          <w:lang w:val="en-US"/>
        </w:rPr>
      </w:pPr>
      <w:r>
        <w:rPr>
          <w:rFonts w:cs="Arial"/>
          <w:lang w:val="en-US"/>
        </w:rPr>
        <w:t>Scope of Responsibilities</w:t>
      </w:r>
    </w:p>
    <w:p>
      <w:pPr>
        <w:rPr>
          <w:lang w:val="en-US"/>
        </w:rPr>
      </w:pPr>
      <w:r>
        <w:rPr>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pPr>
        <w:rPr>
          <w:lang w:val="en-US"/>
        </w:rPr>
      </w:pPr>
      <w:r>
        <w:rPr>
          <w:lang w:val="en-US"/>
        </w:rPr>
        <w:t xml:space="preserve">The </w:t>
      </w:r>
      <w:proofErr w:type="spellStart"/>
      <w:r>
        <w:rPr>
          <w:lang w:val="en-US"/>
        </w:rPr>
        <w:t>subworking</w:t>
      </w:r>
      <w:proofErr w:type="spellEnd"/>
      <w:r>
        <w:rPr>
          <w:lang w:val="en-US"/>
        </w:rPr>
        <w:t xml:space="preserve"> group SA WG3-LI will detail the requirements for lawful </w:t>
      </w:r>
      <w:del w:id="7" w:author="COURBON Pierre" w:date="2025-07-28T16:02:00Z">
        <w:r>
          <w:rPr>
            <w:lang w:val="en-US"/>
          </w:rPr>
          <w:delText xml:space="preserve">interception </w:delText>
        </w:r>
      </w:del>
      <w:ins w:id="8" w:author="COURBON Pierre" w:date="2025-07-28T16:02:00Z">
        <w:r>
          <w:rPr>
            <w:lang w:val="en-US"/>
          </w:rPr>
          <w:t>interception</w:t>
        </w:r>
        <w:r>
          <w:rPr>
            <w:lang w:val="en-US"/>
          </w:rPr>
          <w:t xml:space="preserve"> and relate</w:t>
        </w:r>
      </w:ins>
      <w:ins w:id="9" w:author="COURBON Pierre" w:date="2025-07-28T16:03:00Z">
        <w:r>
          <w:rPr>
            <w:lang w:val="en-US"/>
          </w:rPr>
          <w:t>d</w:t>
        </w:r>
      </w:ins>
      <w:ins w:id="10" w:author="COURBON Pierre" w:date="2025-07-28T16:02:00Z">
        <w:r>
          <w:rPr>
            <w:lang w:val="en-US"/>
          </w:rPr>
          <w:t xml:space="preserve"> </w:t>
        </w:r>
      </w:ins>
      <w:proofErr w:type="spellStart"/>
      <w:ins w:id="11" w:author="COURBON Pierre" w:date="2025-07-28T16:03:00Z">
        <w:r>
          <w:rPr>
            <w:lang w:val="en-US"/>
          </w:rPr>
          <w:t>lawfull</w:t>
        </w:r>
        <w:proofErr w:type="spellEnd"/>
        <w:r>
          <w:rPr>
            <w:lang w:val="en-US"/>
          </w:rPr>
          <w:t xml:space="preserve"> </w:t>
        </w:r>
      </w:ins>
      <w:ins w:id="12" w:author="COURBON Pierre" w:date="2025-07-28T16:02:00Z">
        <w:r>
          <w:rPr>
            <w:lang w:val="en-US"/>
          </w:rPr>
          <w:t xml:space="preserve">services </w:t>
        </w:r>
      </w:ins>
      <w:r>
        <w:rPr>
          <w:lang w:val="en-US"/>
        </w:rPr>
        <w:t>in 3GPP systems, and produce all specifications needed to meet those requirements. This work shall be performed in conjunction with the regional standards bodies.</w:t>
      </w:r>
    </w:p>
    <w:p>
      <w:pPr>
        <w:pStyle w:val="Titre1"/>
        <w:rPr>
          <w:rFonts w:cs="Arial"/>
          <w:sz w:val="24"/>
          <w:lang w:val="en-US"/>
        </w:rPr>
      </w:pPr>
      <w:r>
        <w:rPr>
          <w:rFonts w:cs="Arial"/>
          <w:lang w:val="en-US"/>
        </w:rPr>
        <w:t>Annex (informative):</w:t>
      </w:r>
    </w:p>
    <w:p>
      <w:pPr>
        <w:rPr>
          <w:lang w:val="en-US"/>
        </w:rPr>
      </w:pPr>
      <w:r>
        <w:rPr>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Pr>
          <w:lang w:val="en-US"/>
        </w:rPr>
        <w:t>SCASes</w:t>
      </w:r>
      <w:proofErr w:type="spellEnd"/>
      <w:r>
        <w:rPr>
          <w:lang w:val="en-US"/>
        </w:rPr>
        <w:t xml:space="preserve"> are the main inputs to the Network Equipment Security Assurance Scheme (NESAS), jointly defined by 3GPP and GSMA. </w:t>
      </w:r>
    </w:p>
    <w:p>
      <w:pPr>
        <w:rPr>
          <w:lang w:val="en-US"/>
        </w:rPr>
      </w:pPr>
      <w:r>
        <w:rPr>
          <w:lang w:val="en-US"/>
        </w:rPr>
        <w:t>SA3 collaborates with ETSI SAGE for the development of the cryptographic algorithms and primitives used in 3GPP specifications.</w:t>
      </w:r>
    </w:p>
    <w:p>
      <w:pPr>
        <w:rPr>
          <w:lang w:val="en-US"/>
        </w:rPr>
      </w:pPr>
      <w:r>
        <w:rPr>
          <w:lang w:val="en-US"/>
        </w:rPr>
        <w:t xml:space="preserve">SA3 is responsible for handling the submissions to the </w:t>
      </w:r>
      <w:hyperlink r:id="rId12" w:history="1">
        <w:r>
          <w:rPr>
            <w:rStyle w:val="Lienhypertexte"/>
            <w:lang w:val="en-US"/>
          </w:rPr>
          <w:t>3GPP CVD program</w:t>
        </w:r>
      </w:hyperlink>
      <w:r>
        <w:rPr>
          <w:lang w:val="en-US"/>
        </w:rPr>
        <w:t>.</w:t>
      </w:r>
    </w:p>
    <w:p>
      <w:pPr>
        <w:rPr>
          <w:lang w:val="en-US"/>
        </w:rPr>
      </w:pPr>
      <w:r>
        <w:rPr>
          <w:lang w:val="en-US"/>
        </w:rPr>
        <w:lastRenderedPageBreak/>
        <w:br w:type="page"/>
      </w:r>
    </w:p>
    <w:p>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lastRenderedPageBreak/>
        <w:t>The following is what will be shown in the group webpage and is included only for illustration.</w:t>
      </w:r>
    </w:p>
    <w:p>
      <w:pPr>
        <w:rPr>
          <w:rFonts w:ascii="Calibri Light" w:hAnsi="Calibri Light" w:cs="Calibri Light"/>
          <w:b/>
          <w:color w:val="70AD47"/>
          <w:sz w:val="36"/>
        </w:rPr>
      </w:pPr>
      <w:r>
        <w:rPr>
          <w:rFonts w:ascii="Calibri Light" w:hAnsi="Calibri Light" w:cs="Calibri Light"/>
          <w:b/>
          <w:color w:val="70AD47"/>
          <w:sz w:val="36"/>
        </w:rPr>
        <w:t>Home</w:t>
      </w:r>
    </w:p>
    <w:p>
      <w:pPr>
        <w:rPr>
          <w:rFonts w:ascii="Calibri Light" w:hAnsi="Calibri Light" w:cs="Calibri Light"/>
          <w:lang w:val="en-US"/>
        </w:rPr>
      </w:pPr>
      <w:r>
        <w:rPr>
          <w:rFonts w:ascii="Calibri Light" w:hAnsi="Calibri Light" w:cs="Calibri Light"/>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Within SA3, the </w:t>
      </w:r>
      <w:proofErr w:type="spellStart"/>
      <w:r>
        <w:rPr>
          <w:rFonts w:ascii="Calibri Light" w:hAnsi="Calibri Light" w:cs="Calibri Light"/>
          <w:lang w:val="en-US"/>
        </w:rPr>
        <w:t>subworking</w:t>
      </w:r>
      <w:proofErr w:type="spellEnd"/>
      <w:r>
        <w:rPr>
          <w:rFonts w:ascii="Calibri Light" w:hAnsi="Calibri Light" w:cs="Calibri Light"/>
          <w:lang w:val="en-US"/>
        </w:rPr>
        <w:t xml:space="preserve"> group SA3-LI provides the requirements and specifications for lawful interception</w:t>
      </w:r>
      <w:ins w:id="13" w:author="COURBON Pierre" w:date="2025-07-28T16:03:00Z">
        <w:r>
          <w:rPr>
            <w:rFonts w:ascii="Calibri Light" w:hAnsi="Calibri Light" w:cs="Calibri Light"/>
            <w:lang w:val="en-US"/>
          </w:rPr>
          <w:t xml:space="preserve"> and related </w:t>
        </w:r>
        <w:proofErr w:type="spellStart"/>
        <w:r>
          <w:rPr>
            <w:rFonts w:ascii="Calibri Light" w:hAnsi="Calibri Light" w:cs="Calibri Light"/>
            <w:lang w:val="en-US"/>
          </w:rPr>
          <w:t>lawfull</w:t>
        </w:r>
        <w:proofErr w:type="spellEnd"/>
        <w:r>
          <w:rPr>
            <w:rFonts w:ascii="Calibri Light" w:hAnsi="Calibri Light" w:cs="Calibri Light"/>
            <w:lang w:val="en-US"/>
          </w:rPr>
          <w:t xml:space="preserve"> services</w:t>
        </w:r>
      </w:ins>
      <w:r>
        <w:rPr>
          <w:rFonts w:ascii="Calibri Light" w:hAnsi="Calibri Light" w:cs="Calibri Light"/>
          <w:lang w:val="en-US"/>
        </w:rPr>
        <w:t xml:space="preserve"> in 3GPP systems.</w:t>
      </w:r>
    </w:p>
    <w:p>
      <w:pPr>
        <w:rPr>
          <w:rFonts w:ascii="Calibri Light" w:hAnsi="Calibri Light" w:cs="Calibri Light"/>
          <w:lang w:val="en-US"/>
        </w:rPr>
      </w:pPr>
      <w:r>
        <w:rPr>
          <w:rFonts w:ascii="Calibri Light" w:hAnsi="Calibri Light" w:cs="Calibri Light"/>
          <w:lang w:val="en-US"/>
        </w:rPr>
        <w:t>SA3 is currently responsible for security in the 5G System including the 3GPP enhancements for IoT and vertical industries. Furthermore, since the introduction of the 5G System, SA3 has been developing the security requirements and test cases for network equipment implementing any of the new 5G Network Functions.</w:t>
      </w:r>
    </w:p>
    <w:p>
      <w:pPr>
        <w:rPr>
          <w:rFonts w:ascii="Calibri Light" w:hAnsi="Calibri Light" w:cs="Calibri Light"/>
          <w:b/>
          <w:color w:val="70AD47"/>
          <w:sz w:val="36"/>
        </w:rPr>
      </w:pPr>
      <w:r>
        <w:rPr>
          <w:rFonts w:ascii="Calibri Light" w:hAnsi="Calibri Light" w:cs="Calibri Light"/>
          <w:b/>
          <w:color w:val="70AD47"/>
          <w:sz w:val="36"/>
        </w:rPr>
        <w:t>Terms of Reference</w:t>
      </w:r>
    </w:p>
    <w:p>
      <w:pPr>
        <w:rPr>
          <w:rFonts w:ascii="Calibri Light" w:hAnsi="Calibri Light" w:cs="Calibri Light"/>
          <w:lang w:val="en-US"/>
        </w:rPr>
      </w:pPr>
      <w:r>
        <w:rPr>
          <w:rFonts w:ascii="Calibri Light" w:hAnsi="Calibri Light" w:cs="Calibri Light"/>
          <w:lang w:val="en-US"/>
        </w:rPr>
        <w:t xml:space="preserve">The latest terms of reference were approved at </w:t>
      </w:r>
      <w:hyperlink r:id="rId13" w:anchor="90-e folder" w:history="1">
        <w:r>
          <w:rPr>
            <w:rStyle w:val="Lienhypertexte"/>
            <w:rFonts w:ascii="Calibri Light" w:hAnsi="Calibri Light" w:cs="Calibri Light"/>
            <w:lang w:val="en-US"/>
          </w:rPr>
          <w:t>SA#90-e</w:t>
        </w:r>
      </w:hyperlink>
      <w:r>
        <w:rPr>
          <w:rFonts w:ascii="Calibri Light" w:hAnsi="Calibri Light" w:cs="Calibri Light"/>
          <w:lang w:val="en-US"/>
        </w:rPr>
        <w:t xml:space="preserve"> in document </w:t>
      </w:r>
      <w:hyperlink r:id="rId14" w:history="1">
        <w:r>
          <w:rPr>
            <w:rStyle w:val="Lienhypertexte"/>
            <w:rFonts w:ascii="Calibri Light" w:hAnsi="Calibri Light" w:cs="Calibri Light"/>
            <w:lang w:val="en-US"/>
          </w:rPr>
          <w:t>SP-20abcd</w:t>
        </w:r>
      </w:hyperlink>
      <w:r>
        <w:rPr>
          <w:rFonts w:ascii="Calibri Light" w:hAnsi="Calibri Light" w:cs="Calibri Light"/>
          <w:lang w:val="en-US"/>
        </w:rPr>
        <w:t>.</w:t>
      </w:r>
    </w:p>
    <w:p>
      <w:pPr>
        <w:rPr>
          <w:rFonts w:ascii="Arial" w:eastAsia="MS Mincho" w:hAnsi="Arial"/>
          <w:bCs/>
          <w:lang w:val="en-US" w:eastAsia="ja-JP"/>
        </w:rPr>
      </w:pPr>
    </w:p>
    <w:sectPr>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EC2E84"/>
    <w:multiLevelType w:val="hybridMultilevel"/>
    <w:tmpl w:val="82EE7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6452E3E"/>
    <w:multiLevelType w:val="hybridMultilevel"/>
    <w:tmpl w:val="FB5451EA"/>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1C6107"/>
    <w:multiLevelType w:val="hybridMultilevel"/>
    <w:tmpl w:val="1B9CAFB2"/>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styleId="Paragraphedeliste">
    <w:name w:val="List Paragraph"/>
    <w:basedOn w:val="Normal"/>
    <w:uiPriority w:val="34"/>
    <w:qFormat/>
    <w:pPr>
      <w:ind w:left="720"/>
      <w:contextualSpacing/>
    </w:p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7568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courbon-adc\AppData\Local\Temp\45243def-8013-4ecc-984f-d414df9f7916_SP-201085%20(1).zip.SP-201085%20(1).zip\link%20to%20SA"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oordinated-vulnerability-disclosure-cv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TSG_SA/TSGs_90E_Electronic/Docs/SP-20108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file:///C:\Users\pcourbon-adc\AppData\Local\Temp\45243def-8013-4ecc-984f-d414df9f7916_SP-201085%20(1).zip.SP-201085%20(1).zip\link%20to%20approved%20docu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1158</Words>
  <Characters>6604</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COURBON Pierre</cp:lastModifiedBy>
  <cp:revision>3</cp:revision>
  <cp:lastPrinted>1899-12-31T23:00:00Z</cp:lastPrinted>
  <dcterms:created xsi:type="dcterms:W3CDTF">2025-07-28T14:49:00Z</dcterms:created>
  <dcterms:modified xsi:type="dcterms:W3CDTF">2025-07-28T14:52:00Z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