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A7" w:rsidRDefault="00DE79A7" w:rsidP="00DE79A7">
      <w:pPr>
        <w:pStyle w:val="a3"/>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tblPr>
      <w:tblGrid>
        <w:gridCol w:w="1555"/>
        <w:gridCol w:w="7507"/>
      </w:tblGrid>
      <w:tr w:rsidR="00DE79A7" w:rsidTr="00DE79A7">
        <w:tc>
          <w:tcPr>
            <w:tcW w:w="1555" w:type="dxa"/>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rsidTr="00DE79A7">
        <w:tc>
          <w:tcPr>
            <w:tcW w:w="1555" w:type="dxa"/>
          </w:tcPr>
          <w:p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rsidR="00DE79A7" w:rsidRDefault="00DE79A7">
            <w:pPr>
              <w:rPr>
                <w:rFonts w:ascii="Calibri" w:hAnsi="Calibri" w:cs="Calibri"/>
                <w:color w:val="1F497D"/>
                <w:sz w:val="21"/>
                <w:szCs w:val="21"/>
                <w:lang w:val="en-US" w:eastAsia="zh-CN"/>
              </w:rPr>
            </w:pPr>
          </w:p>
        </w:tc>
      </w:tr>
      <w:tr w:rsidR="00DE79A7" w:rsidTr="00DE79A7">
        <w:tc>
          <w:tcPr>
            <w:tcW w:w="1555" w:type="dxa"/>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rsidTr="00DE79A7">
        <w:tc>
          <w:tcPr>
            <w:tcW w:w="1555" w:type="dxa"/>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For EDI, 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w:t>
            </w:r>
            <w:proofErr w:type="spellStart"/>
            <w:r w:rsidR="0023321F">
              <w:rPr>
                <w:rFonts w:ascii="Calibri" w:hAnsi="Calibri" w:cs="Calibri"/>
                <w:color w:val="1F497D"/>
                <w:sz w:val="21"/>
                <w:szCs w:val="21"/>
                <w:lang w:val="en-US" w:eastAsia="zh-CN"/>
              </w:rPr>
              <w:t>Nnef</w:t>
            </w:r>
            <w:proofErr w:type="spellEnd"/>
            <w:r w:rsidR="0023321F">
              <w:rPr>
                <w:rFonts w:ascii="Calibri" w:hAnsi="Calibri" w:cs="Calibri"/>
                <w:color w:val="1F497D"/>
                <w:sz w:val="21"/>
                <w:szCs w:val="21"/>
                <w:lang w:val="en-US" w:eastAsia="zh-CN"/>
              </w:rPr>
              <w:t>-traffic Influence)</w:t>
            </w:r>
            <w:r>
              <w:rPr>
                <w:rFonts w:ascii="Calibri" w:hAnsi="Calibri" w:cs="Calibri"/>
                <w:color w:val="1F497D"/>
                <w:sz w:val="21"/>
                <w:szCs w:val="21"/>
                <w:lang w:val="en-US" w:eastAsia="zh-CN"/>
              </w:rPr>
              <w:t xml:space="preserve">. </w:t>
            </w:r>
          </w:p>
        </w:tc>
      </w:tr>
      <w:tr w:rsidR="00DE79A7" w:rsidTr="00DE79A7">
        <w:tc>
          <w:tcPr>
            <w:tcW w:w="1555" w:type="dxa"/>
          </w:tcPr>
          <w:p w:rsidR="00DE79A7" w:rsidRPr="00167531" w:rsidRDefault="00167531">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rsidR="00DE79A7" w:rsidRDefault="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DE79A7" w:rsidTr="00DE79A7">
        <w:tc>
          <w:tcPr>
            <w:tcW w:w="1555" w:type="dxa"/>
          </w:tcPr>
          <w:p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rsidR="00316C2E" w:rsidRDefault="00316C2E">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rsidR="00DE79A7" w:rsidRDefault="00316C2E">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DE79A7" w:rsidTr="00DE79A7">
        <w:tc>
          <w:tcPr>
            <w:tcW w:w="1555" w:type="dxa"/>
          </w:tcPr>
          <w:p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rsidR="00DE79A7" w:rsidRDefault="004833F8">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es. Some specific UEs, e.g., VIP users, may have different rules. So we prefer to have the node</w:t>
            </w:r>
            <w:r w:rsidR="00F60DBA">
              <w:rPr>
                <w:rFonts w:ascii="Calibri" w:hAnsi="Calibri" w:cs="Calibri"/>
                <w:color w:val="1F497D"/>
                <w:sz w:val="21"/>
                <w:szCs w:val="21"/>
                <w:lang w:val="en-US" w:eastAsia="zh-CN"/>
              </w:rPr>
              <w:t>/session</w:t>
            </w:r>
            <w:r>
              <w:rPr>
                <w:rFonts w:ascii="Calibri" w:hAnsi="Calibri" w:cs="Calibri"/>
                <w:color w:val="1F497D"/>
                <w:sz w:val="21"/>
                <w:szCs w:val="21"/>
                <w:lang w:val="en-US" w:eastAsia="zh-CN"/>
              </w:rPr>
              <w:t xml:space="preserve"> level </w:t>
            </w:r>
            <w:r w:rsidR="00F60DBA">
              <w:rPr>
                <w:rFonts w:ascii="Calibri" w:hAnsi="Calibri" w:cs="Calibri"/>
                <w:color w:val="1F497D"/>
                <w:sz w:val="21"/>
                <w:szCs w:val="21"/>
                <w:lang w:val="en-US" w:eastAsia="zh-CN"/>
              </w:rPr>
              <w:t xml:space="preserve">EDI to </w:t>
            </w:r>
            <w:r w:rsidR="00C603CB">
              <w:rPr>
                <w:rFonts w:ascii="Calibri" w:hAnsi="Calibri" w:cs="Calibri"/>
                <w:color w:val="1F497D"/>
                <w:sz w:val="21"/>
                <w:szCs w:val="21"/>
                <w:lang w:val="en-US" w:eastAsia="zh-CN"/>
              </w:rPr>
              <w:t>support</w:t>
            </w:r>
            <w:r w:rsidR="00F60DBA">
              <w:rPr>
                <w:rFonts w:ascii="Calibri" w:hAnsi="Calibri" w:cs="Calibri"/>
                <w:color w:val="1F497D"/>
                <w:sz w:val="21"/>
                <w:szCs w:val="21"/>
                <w:lang w:val="en-US" w:eastAsia="zh-CN"/>
              </w:rPr>
              <w:t xml:space="preserve"> the node/</w:t>
            </w:r>
            <w:r>
              <w:rPr>
                <w:rFonts w:ascii="Calibri" w:hAnsi="Calibri" w:cs="Calibri"/>
                <w:color w:val="1F497D"/>
                <w:sz w:val="21"/>
                <w:szCs w:val="21"/>
                <w:lang w:val="en-US" w:eastAsia="zh-CN"/>
              </w:rPr>
              <w:t>session level rules.</w:t>
            </w:r>
            <w:r w:rsidR="00F60DBA">
              <w:rPr>
                <w:rFonts w:ascii="Calibri" w:hAnsi="Calibri" w:cs="Calibri"/>
                <w:color w:val="1F497D"/>
                <w:sz w:val="21"/>
                <w:szCs w:val="21"/>
                <w:lang w:val="en-US" w:eastAsia="zh-CN"/>
              </w:rPr>
              <w:t xml:space="preserve"> </w:t>
            </w:r>
          </w:p>
        </w:tc>
      </w:tr>
      <w:tr w:rsidR="003C33EC" w:rsidTr="00814F4D">
        <w:tc>
          <w:tcPr>
            <w:tcW w:w="1555" w:type="dxa"/>
          </w:tcPr>
          <w:p w:rsidR="003C33EC" w:rsidRDefault="003C33EC" w:rsidP="00814F4D">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rsidR="003C33EC" w:rsidRDefault="003C33EC" w:rsidP="00814F4D">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 xml:space="preserve">Yes, we think it is possible required for the AF </w:t>
            </w:r>
            <w:r>
              <w:rPr>
                <w:rFonts w:ascii="Calibri" w:hAnsi="Calibri" w:cs="Calibri"/>
                <w:color w:val="1F497D"/>
                <w:sz w:val="21"/>
                <w:szCs w:val="21"/>
                <w:lang w:val="en-US" w:eastAsia="zh-CN"/>
              </w:rPr>
              <w:t>control</w:t>
            </w:r>
            <w:r>
              <w:rPr>
                <w:rFonts w:ascii="Calibri" w:hAnsi="Calibri" w:cs="Calibri" w:hint="eastAsia"/>
                <w:color w:val="1F497D"/>
                <w:sz w:val="21"/>
                <w:szCs w:val="21"/>
                <w:lang w:val="en-US" w:eastAsia="zh-CN"/>
              </w:rPr>
              <w:t xml:space="preserve"> EDI per UE/per session. Two UEs in the same factory with different S-NSSAI and same DNN may need to access to different DNS server.</w:t>
            </w:r>
          </w:p>
        </w:tc>
      </w:tr>
      <w:tr w:rsidR="00DE79A7" w:rsidTr="00DE79A7">
        <w:tc>
          <w:tcPr>
            <w:tcW w:w="1555" w:type="dxa"/>
          </w:tcPr>
          <w:p w:rsidR="00DE79A7" w:rsidRPr="003C33EC" w:rsidRDefault="00DE79A7">
            <w:pPr>
              <w:rPr>
                <w:rFonts w:ascii="Calibri" w:hAnsi="Calibri" w:cs="Calibri"/>
                <w:color w:val="1F497D"/>
                <w:sz w:val="21"/>
                <w:szCs w:val="21"/>
                <w:lang w:eastAsia="zh-CN"/>
              </w:rPr>
            </w:pPr>
          </w:p>
        </w:tc>
        <w:tc>
          <w:tcPr>
            <w:tcW w:w="7507" w:type="dxa"/>
          </w:tcPr>
          <w:p w:rsidR="00DE79A7" w:rsidRDefault="00DE79A7">
            <w:pPr>
              <w:rPr>
                <w:rFonts w:ascii="Calibri" w:hAnsi="Calibri" w:cs="Calibri"/>
                <w:color w:val="1F497D"/>
                <w:sz w:val="21"/>
                <w:szCs w:val="21"/>
                <w:lang w:val="en-US" w:eastAsia="zh-CN"/>
              </w:rPr>
            </w:pPr>
          </w:p>
        </w:tc>
      </w:tr>
    </w:tbl>
    <w:p w:rsidR="003132B6" w:rsidRDefault="003132B6">
      <w:pPr>
        <w:rPr>
          <w:rFonts w:ascii="Calibri" w:hAnsi="Calibri" w:cs="Calibri"/>
          <w:color w:val="1F497D"/>
          <w:sz w:val="21"/>
          <w:szCs w:val="21"/>
          <w:lang w:val="en-US" w:eastAsia="zh-CN"/>
        </w:rPr>
      </w:pPr>
    </w:p>
    <w:p w:rsidR="003132B6" w:rsidRPr="00F60DBA" w:rsidRDefault="003132B6">
      <w:pPr>
        <w:rPr>
          <w:rFonts w:ascii="Calibri" w:hAnsi="Calibri" w:cs="Calibri"/>
          <w:color w:val="1F497D"/>
          <w:sz w:val="21"/>
          <w:szCs w:val="21"/>
          <w:lang w:val="en-US" w:eastAsia="zh-CN"/>
        </w:rPr>
      </w:pPr>
    </w:p>
    <w:p w:rsidR="003132B6" w:rsidRDefault="003132B6" w:rsidP="003132B6"/>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rsidR="00DE79A7" w:rsidRDefault="00DE79A7" w:rsidP="00DE79A7">
      <w:pPr>
        <w:pStyle w:val="a3"/>
        <w:ind w:left="360" w:firstLine="0"/>
        <w:rPr>
          <w:rFonts w:ascii="Calibri" w:hAnsi="Calibri" w:cs="Calibri"/>
          <w:color w:val="1F497D"/>
          <w:sz w:val="21"/>
          <w:szCs w:val="21"/>
          <w:lang w:val="en-US" w:eastAsia="zh-CN"/>
        </w:rPr>
      </w:pPr>
    </w:p>
    <w:p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tblPr>
      <w:tblGrid>
        <w:gridCol w:w="5053"/>
        <w:gridCol w:w="4235"/>
      </w:tblGrid>
      <w:tr w:rsidR="00DE79A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5503(Ericsson): EDI is delivered via AF-NEF-UDR, and only </w:t>
            </w:r>
            <w:proofErr w:type="gramStart"/>
            <w:r>
              <w:rPr>
                <w:rFonts w:ascii="Calibri" w:hAnsi="Calibri" w:cs="Calibri"/>
                <w:color w:val="1F497D"/>
                <w:sz w:val="21"/>
                <w:szCs w:val="21"/>
                <w:lang w:val="en-US" w:eastAsia="zh-CN"/>
              </w:rPr>
              <w:t>pushed  to</w:t>
            </w:r>
            <w:proofErr w:type="gramEnd"/>
            <w:r>
              <w:rPr>
                <w:rFonts w:ascii="Calibri" w:hAnsi="Calibri" w:cs="Calibri"/>
                <w:color w:val="1F497D"/>
                <w:sz w:val="21"/>
                <w:szCs w:val="21"/>
                <w:lang w:val="en-US" w:eastAsia="zh-CN"/>
              </w:rPr>
              <w:t xml:space="preserve"> SMF based on the subscription triggered by App activation in the SMF.</w:t>
            </w:r>
          </w:p>
          <w:p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宋体" w:eastAsia="宋体" w:hAnsi="宋体"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Option B: Reuse the existing </w:t>
            </w:r>
            <w:proofErr w:type="spellStart"/>
            <w:r>
              <w:rPr>
                <w:rFonts w:ascii="Calibri" w:hAnsi="Calibri" w:cs="Calibri"/>
                <w:color w:val="1F497D"/>
                <w:sz w:val="21"/>
                <w:szCs w:val="21"/>
                <w:lang w:val="en-US" w:eastAsia="zh-CN"/>
              </w:rPr>
              <w:t>Nnef_TrafficInfluence</w:t>
            </w:r>
            <w:proofErr w:type="spellEnd"/>
            <w:r>
              <w:rPr>
                <w:rFonts w:ascii="Calibri" w:hAnsi="Calibri" w:cs="Calibri"/>
                <w:color w:val="1F497D"/>
                <w:sz w:val="21"/>
                <w:szCs w:val="21"/>
                <w:lang w:val="en-US" w:eastAsia="zh-CN"/>
              </w:rPr>
              <w:t xml:space="preserv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OptionC</w:t>
            </w:r>
            <w:proofErr w:type="spellEnd"/>
            <w:r>
              <w:rPr>
                <w:rFonts w:ascii="Calibri" w:hAnsi="Calibri" w:cs="Calibri"/>
                <w:color w:val="1F497D"/>
                <w:sz w:val="21"/>
                <w:szCs w:val="21"/>
                <w:lang w:val="en-US" w:eastAsia="zh-CN"/>
              </w:rPr>
              <w:t>: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p>
        </w:tc>
      </w:tr>
    </w:tbl>
    <w:p w:rsidR="00DE79A7" w:rsidRDefault="00DE79A7" w:rsidP="00DE79A7">
      <w:pPr>
        <w:rPr>
          <w:rFonts w:ascii="Calibri" w:hAnsi="Calibri" w:cs="Calibri"/>
          <w:color w:val="1F497D"/>
          <w:sz w:val="21"/>
          <w:szCs w:val="21"/>
          <w:lang w:val="en-US" w:eastAsia="zh-CN"/>
        </w:rPr>
      </w:pPr>
    </w:p>
    <w:p w:rsidR="00DE79A7" w:rsidRDefault="00DE79A7" w:rsidP="00DE79A7">
      <w:pPr>
        <w:rPr>
          <w:rFonts w:ascii="Calibri" w:hAnsi="Calibri" w:cs="Calibri"/>
          <w:color w:val="1F497D"/>
          <w:sz w:val="21"/>
          <w:szCs w:val="21"/>
          <w:lang w:val="en-US" w:eastAsia="zh-CN"/>
        </w:rPr>
      </w:pPr>
    </w:p>
    <w:p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tblPr>
      <w:tblGrid>
        <w:gridCol w:w="1555"/>
        <w:gridCol w:w="7507"/>
      </w:tblGrid>
      <w:tr w:rsidR="00DE79A7" w:rsidTr="00167531">
        <w:tc>
          <w:tcPr>
            <w:tcW w:w="1555" w:type="dxa"/>
          </w:tcPr>
          <w:p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rsidTr="00167531">
        <w:tc>
          <w:tcPr>
            <w:tcW w:w="1555" w:type="dxa"/>
          </w:tcPr>
          <w:p w:rsidR="00DE79A7" w:rsidRDefault="00DE79A7"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rsidR="00DE79A7" w:rsidRDefault="00DE79A7" w:rsidP="00167531">
            <w:pPr>
              <w:rPr>
                <w:rFonts w:ascii="Calibri" w:hAnsi="Calibri" w:cs="Calibri"/>
                <w:color w:val="1F497D"/>
                <w:sz w:val="21"/>
                <w:szCs w:val="21"/>
                <w:lang w:val="en-US" w:eastAsia="zh-CN"/>
              </w:rPr>
            </w:pPr>
          </w:p>
        </w:tc>
      </w:tr>
      <w:tr w:rsidR="00DE79A7" w:rsidTr="00167531">
        <w:tc>
          <w:tcPr>
            <w:tcW w:w="1555" w:type="dxa"/>
          </w:tcPr>
          <w:p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rsidTr="00167531">
        <w:tc>
          <w:tcPr>
            <w:tcW w:w="1555" w:type="dxa"/>
          </w:tcPr>
          <w:p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rsidTr="00167531">
        <w:tc>
          <w:tcPr>
            <w:tcW w:w="1555" w:type="dxa"/>
          </w:tcPr>
          <w:p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rsidTr="00167531">
        <w:tc>
          <w:tcPr>
            <w:tcW w:w="1555" w:type="dxa"/>
          </w:tcPr>
          <w:p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rsidTr="00167531">
        <w:tc>
          <w:tcPr>
            <w:tcW w:w="1555" w:type="dxa"/>
          </w:tcPr>
          <w:p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3C33EC" w:rsidTr="00814F4D">
        <w:tc>
          <w:tcPr>
            <w:tcW w:w="1555" w:type="dxa"/>
          </w:tcPr>
          <w:p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bookmarkStart w:id="0" w:name="_GoBack"/>
            <w:bookmarkEnd w:id="0"/>
            <w:r>
              <w:rPr>
                <w:rFonts w:ascii="Calibri" w:hAnsi="Calibri" w:cs="Calibri" w:hint="eastAsia"/>
                <w:color w:val="1F497D"/>
                <w:sz w:val="21"/>
                <w:szCs w:val="21"/>
                <w:lang w:val="en-US" w:eastAsia="zh-CN"/>
              </w:rPr>
              <w:t>Support following PFD management procedure.</w:t>
            </w:r>
          </w:p>
        </w:tc>
      </w:tr>
      <w:tr w:rsidR="00DE79A7" w:rsidTr="00167531">
        <w:tc>
          <w:tcPr>
            <w:tcW w:w="1555" w:type="dxa"/>
          </w:tcPr>
          <w:p w:rsidR="00DE79A7" w:rsidRPr="003C33EC" w:rsidRDefault="00DE79A7" w:rsidP="00167531">
            <w:pPr>
              <w:rPr>
                <w:rFonts w:ascii="Calibri" w:hAnsi="Calibri" w:cs="Calibri"/>
                <w:color w:val="1F497D"/>
                <w:sz w:val="21"/>
                <w:szCs w:val="21"/>
                <w:lang w:eastAsia="zh-CN"/>
              </w:rPr>
            </w:pPr>
          </w:p>
        </w:tc>
        <w:tc>
          <w:tcPr>
            <w:tcW w:w="7507" w:type="dxa"/>
          </w:tcPr>
          <w:p w:rsidR="00DE79A7" w:rsidRPr="00C603CB" w:rsidRDefault="00DE79A7" w:rsidP="00167531">
            <w:pPr>
              <w:rPr>
                <w:rFonts w:ascii="Calibri" w:hAnsi="Calibri" w:cs="Calibri"/>
                <w:color w:val="1F497D"/>
                <w:sz w:val="21"/>
                <w:szCs w:val="21"/>
                <w:lang w:val="en-US" w:eastAsia="zh-CN"/>
              </w:rPr>
            </w:pPr>
          </w:p>
        </w:tc>
      </w:tr>
    </w:tbl>
    <w:p w:rsidR="00DE79A7" w:rsidRDefault="00DE79A7" w:rsidP="00DE79A7">
      <w:pPr>
        <w:rPr>
          <w:rFonts w:ascii="Calibri" w:hAnsi="Calibri" w:cs="Calibri"/>
          <w:color w:val="1F497D"/>
          <w:sz w:val="21"/>
          <w:szCs w:val="21"/>
          <w:lang w:val="en-US" w:eastAsia="zh-CN"/>
        </w:rPr>
      </w:pPr>
    </w:p>
    <w:p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lastRenderedPageBreak/>
        <w:br w:type="page"/>
      </w:r>
    </w:p>
    <w:p w:rsidR="00DE79A7" w:rsidRDefault="00DE79A7" w:rsidP="00DE79A7">
      <w:pPr>
        <w:rPr>
          <w:rFonts w:ascii="Calibri" w:hAnsi="Calibri" w:cs="Calibri"/>
          <w:color w:val="1F497D"/>
          <w:sz w:val="21"/>
          <w:szCs w:val="21"/>
          <w:lang w:val="en-US" w:eastAsia="zh-CN"/>
        </w:rPr>
      </w:pPr>
    </w:p>
    <w:p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tblPr>
      <w:tblGrid>
        <w:gridCol w:w="5275"/>
        <w:gridCol w:w="3777"/>
      </w:tblGrid>
      <w:tr w:rsidR="00DE79A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proofErr w:type="gramStart"/>
            <w:r>
              <w:rPr>
                <w:rFonts w:ascii="Calibri" w:hAnsi="Calibri" w:cs="Calibri"/>
                <w:color w:val="1F497D"/>
                <w:sz w:val="21"/>
                <w:szCs w:val="21"/>
                <w:lang w:val="en-US" w:eastAsia="zh-CN"/>
              </w:rPr>
              <w:t>,  EASDF</w:t>
            </w:r>
            <w:proofErr w:type="gramEnd"/>
            <w:r>
              <w:rPr>
                <w:rFonts w:ascii="Calibri" w:hAnsi="Calibri" w:cs="Calibri"/>
                <w:color w:val="1F497D"/>
                <w:sz w:val="21"/>
                <w:szCs w:val="21"/>
                <w:lang w:val="en-US" w:eastAsia="zh-CN"/>
              </w:rPr>
              <w:t xml:space="preserve">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rsidR="00DE79A7" w:rsidRDefault="00DE79A7" w:rsidP="00DE79A7">
      <w:pPr>
        <w:rPr>
          <w:rFonts w:ascii="Calibri" w:hAnsi="Calibri" w:cs="Calibri"/>
          <w:color w:val="1F497D"/>
          <w:sz w:val="21"/>
          <w:szCs w:val="21"/>
          <w:lang w:val="en-US" w:eastAsia="zh-CN"/>
        </w:rPr>
      </w:pPr>
    </w:p>
    <w:p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tblPr>
      <w:tblGrid>
        <w:gridCol w:w="1555"/>
        <w:gridCol w:w="7507"/>
      </w:tblGrid>
      <w:tr w:rsidR="003132B6" w:rsidTr="00167531">
        <w:tc>
          <w:tcPr>
            <w:tcW w:w="1555" w:type="dxa"/>
          </w:tcPr>
          <w:p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rsidTr="00167531">
        <w:tc>
          <w:tcPr>
            <w:tcW w:w="1555" w:type="dxa"/>
          </w:tcPr>
          <w:p w:rsidR="003132B6" w:rsidRDefault="003132B6"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rsidR="003132B6" w:rsidRDefault="003132B6" w:rsidP="00167531">
            <w:pPr>
              <w:rPr>
                <w:rFonts w:ascii="Calibri" w:hAnsi="Calibri" w:cs="Calibri"/>
                <w:color w:val="1F497D"/>
                <w:sz w:val="21"/>
                <w:szCs w:val="21"/>
                <w:lang w:val="en-US" w:eastAsia="zh-CN"/>
              </w:rPr>
            </w:pPr>
          </w:p>
        </w:tc>
      </w:tr>
      <w:tr w:rsidR="003132B6" w:rsidTr="00167531">
        <w:tc>
          <w:tcPr>
            <w:tcW w:w="1555" w:type="dxa"/>
          </w:tcPr>
          <w:p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rsidTr="00167531">
        <w:tc>
          <w:tcPr>
            <w:tcW w:w="1555" w:type="dxa"/>
          </w:tcPr>
          <w:p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SMF provide node level information to EASDF. This keeps SMF as the controlling node for the feature and allows some EDI information to be used at SMF level (e.g. DNS address to use to configure the </w:t>
            </w:r>
            <w:proofErr w:type="spellStart"/>
            <w:r>
              <w:rPr>
                <w:rFonts w:ascii="Calibri" w:hAnsi="Calibri" w:cs="Calibri"/>
                <w:color w:val="1F497D"/>
                <w:sz w:val="21"/>
                <w:szCs w:val="21"/>
                <w:lang w:val="en-US" w:eastAsia="zh-CN"/>
              </w:rPr>
              <w:t>Ue</w:t>
            </w:r>
            <w:proofErr w:type="spellEnd"/>
            <w:r>
              <w:rPr>
                <w:rFonts w:ascii="Calibri" w:hAnsi="Calibri" w:cs="Calibri"/>
                <w:color w:val="1F497D"/>
                <w:sz w:val="21"/>
                <w:szCs w:val="21"/>
                <w:lang w:val="en-US" w:eastAsia="zh-CN"/>
              </w:rPr>
              <w:t xml:space="preserve"> in option C)</w:t>
            </w:r>
          </w:p>
        </w:tc>
      </w:tr>
      <w:tr w:rsidR="003132B6" w:rsidTr="00167531">
        <w:tc>
          <w:tcPr>
            <w:tcW w:w="1555" w:type="dxa"/>
          </w:tcPr>
          <w:p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rsidTr="00167531">
        <w:tc>
          <w:tcPr>
            <w:tcW w:w="1555" w:type="dxa"/>
          </w:tcPr>
          <w:p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rsidTr="00167531">
        <w:tc>
          <w:tcPr>
            <w:tcW w:w="1555" w:type="dxa"/>
          </w:tcPr>
          <w:p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A. SMF provides node level information to EASDF and could also guarantee the consistency of the rules.</w:t>
            </w:r>
          </w:p>
        </w:tc>
      </w:tr>
      <w:tr w:rsidR="003C33EC" w:rsidTr="00814F4D">
        <w:tc>
          <w:tcPr>
            <w:tcW w:w="1555" w:type="dxa"/>
          </w:tcPr>
          <w:p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rsidR="003C33EC" w:rsidRDefault="003C33EC" w:rsidP="003C33E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p>
        </w:tc>
      </w:tr>
      <w:tr w:rsidR="003132B6" w:rsidTr="00167531">
        <w:tc>
          <w:tcPr>
            <w:tcW w:w="1555" w:type="dxa"/>
          </w:tcPr>
          <w:p w:rsidR="003132B6" w:rsidRPr="003C33EC" w:rsidRDefault="003132B6" w:rsidP="00167531">
            <w:pPr>
              <w:rPr>
                <w:rFonts w:ascii="Calibri" w:hAnsi="Calibri" w:cs="Calibri"/>
                <w:color w:val="1F497D"/>
                <w:sz w:val="21"/>
                <w:szCs w:val="21"/>
                <w:lang w:eastAsia="zh-CN"/>
              </w:rPr>
            </w:pPr>
          </w:p>
        </w:tc>
        <w:tc>
          <w:tcPr>
            <w:tcW w:w="7507" w:type="dxa"/>
          </w:tcPr>
          <w:p w:rsidR="003132B6" w:rsidRDefault="003132B6" w:rsidP="00167531">
            <w:pPr>
              <w:rPr>
                <w:rFonts w:ascii="Calibri" w:hAnsi="Calibri" w:cs="Calibri"/>
                <w:color w:val="1F497D"/>
                <w:sz w:val="21"/>
                <w:szCs w:val="21"/>
                <w:lang w:val="en-US" w:eastAsia="zh-CN"/>
              </w:rPr>
            </w:pPr>
          </w:p>
        </w:tc>
      </w:tr>
    </w:tbl>
    <w:p w:rsidR="0023321F" w:rsidRDefault="0023321F">
      <w:pPr>
        <w:rPr>
          <w:rFonts w:ascii="Calibri" w:hAnsi="Calibri" w:cs="Calibri"/>
          <w:color w:val="1F497D"/>
          <w:sz w:val="21"/>
          <w:szCs w:val="21"/>
          <w:lang w:val="en-US" w:eastAsia="zh-CN"/>
        </w:rPr>
      </w:pPr>
    </w:p>
    <w:p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tblPr>
      <w:tblGrid>
        <w:gridCol w:w="5174"/>
        <w:gridCol w:w="3878"/>
      </w:tblGrid>
      <w:tr w:rsidR="00DE79A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rsidR="00DE79A7" w:rsidRDefault="00DE79A7" w:rsidP="00DE79A7">
      <w:pPr>
        <w:rPr>
          <w:rFonts w:ascii="Calibri" w:hAnsi="Calibri" w:cs="Calibri"/>
          <w:color w:val="1F497D"/>
          <w:sz w:val="21"/>
          <w:szCs w:val="21"/>
          <w:lang w:val="en-US" w:eastAsia="zh-CN"/>
        </w:rPr>
      </w:pPr>
    </w:p>
    <w:p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tblPr>
      <w:tblGrid>
        <w:gridCol w:w="1555"/>
        <w:gridCol w:w="7507"/>
      </w:tblGrid>
      <w:tr w:rsidR="003132B6" w:rsidTr="00167531">
        <w:tc>
          <w:tcPr>
            <w:tcW w:w="1555" w:type="dxa"/>
          </w:tcPr>
          <w:p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rsidR="003132B6" w:rsidRDefault="0023321F" w:rsidP="00167531">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Perfer</w:t>
            </w:r>
            <w:proofErr w:type="spellEnd"/>
            <w:r>
              <w:rPr>
                <w:rFonts w:ascii="Calibri" w:hAnsi="Calibri" w:cs="Calibri"/>
                <w:color w:val="1F497D"/>
                <w:sz w:val="21"/>
                <w:szCs w:val="21"/>
                <w:lang w:val="en-US" w:eastAsia="zh-CN"/>
              </w:rPr>
              <w:t xml:space="preserve">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rsidTr="00167531">
        <w:tc>
          <w:tcPr>
            <w:tcW w:w="1555" w:type="dxa"/>
          </w:tcPr>
          <w:p w:rsidR="0023321F" w:rsidRDefault="0023321F" w:rsidP="0023321F">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rsidTr="00167531">
        <w:tc>
          <w:tcPr>
            <w:tcW w:w="1555" w:type="dxa"/>
          </w:tcPr>
          <w:p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rsidTr="00167531">
        <w:tc>
          <w:tcPr>
            <w:tcW w:w="1555" w:type="dxa"/>
          </w:tcPr>
          <w:p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rsidTr="00167531">
        <w:tc>
          <w:tcPr>
            <w:tcW w:w="1555" w:type="dxa"/>
          </w:tcPr>
          <w:p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rsidTr="00167531">
        <w:tc>
          <w:tcPr>
            <w:tcW w:w="1555" w:type="dxa"/>
          </w:tcPr>
          <w:p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w:t>
            </w:r>
            <w:proofErr w:type="gramStart"/>
            <w:r>
              <w:rPr>
                <w:rFonts w:ascii="Calibri" w:hAnsi="Calibri" w:cs="Calibri"/>
                <w:color w:val="1F497D"/>
                <w:sz w:val="21"/>
                <w:szCs w:val="21"/>
                <w:lang w:val="en-US" w:eastAsia="zh-CN"/>
              </w:rPr>
              <w:t>DNS  server</w:t>
            </w:r>
            <w:proofErr w:type="gramEnd"/>
            <w:r>
              <w:rPr>
                <w:rFonts w:ascii="Calibri" w:hAnsi="Calibri" w:cs="Calibri"/>
                <w:color w:val="1F497D"/>
                <w:sz w:val="21"/>
                <w:szCs w:val="21"/>
                <w:lang w:val="en-US" w:eastAsia="zh-CN"/>
              </w:rPr>
              <w:t xml:space="preserve"> IP and per DNAI information. These node level information can also impact to SMF to trigger user plane configuration, and there don’t see any issues that design a new one. </w:t>
            </w:r>
          </w:p>
        </w:tc>
      </w:tr>
      <w:tr w:rsidR="0023321F" w:rsidTr="00167531">
        <w:tc>
          <w:tcPr>
            <w:tcW w:w="1555" w:type="dxa"/>
          </w:tcPr>
          <w:p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rsidTr="00167531">
        <w:tc>
          <w:tcPr>
            <w:tcW w:w="1555" w:type="dxa"/>
          </w:tcPr>
          <w:p w:rsidR="0023321F" w:rsidRDefault="0023321F" w:rsidP="0023321F">
            <w:pPr>
              <w:rPr>
                <w:rFonts w:ascii="Calibri" w:hAnsi="Calibri" w:cs="Calibri"/>
                <w:color w:val="1F497D"/>
                <w:sz w:val="21"/>
                <w:szCs w:val="21"/>
                <w:lang w:val="en-US" w:eastAsia="zh-CN"/>
              </w:rPr>
            </w:pPr>
          </w:p>
        </w:tc>
        <w:tc>
          <w:tcPr>
            <w:tcW w:w="7507" w:type="dxa"/>
          </w:tcPr>
          <w:p w:rsidR="0023321F" w:rsidRDefault="0023321F" w:rsidP="0023321F">
            <w:pPr>
              <w:rPr>
                <w:rFonts w:ascii="Calibri" w:hAnsi="Calibri" w:cs="Calibri"/>
                <w:color w:val="1F497D"/>
                <w:sz w:val="21"/>
                <w:szCs w:val="21"/>
                <w:lang w:val="en-US" w:eastAsia="zh-CN"/>
              </w:rPr>
            </w:pPr>
          </w:p>
        </w:tc>
      </w:tr>
    </w:tbl>
    <w:p w:rsidR="00DE79A7" w:rsidRDefault="00DE79A7"/>
    <w:p w:rsidR="00DE79A7" w:rsidRDefault="00DE79A7" w:rsidP="00DE79A7">
      <w:pPr>
        <w:rPr>
          <w:rFonts w:ascii="等线" w:eastAsia="等线" w:hAnsi="等线"/>
          <w:sz w:val="21"/>
          <w:szCs w:val="21"/>
          <w:lang w:val="en-US" w:eastAsia="zh-CN"/>
        </w:rPr>
      </w:pPr>
    </w:p>
    <w:sectPr w:rsidR="00DE79A7" w:rsidSect="00A4497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A5A" w:rsidRDefault="00635A5A" w:rsidP="003C33EC">
      <w:pPr>
        <w:spacing w:after="0" w:line="240" w:lineRule="auto"/>
      </w:pPr>
      <w:r>
        <w:separator/>
      </w:r>
    </w:p>
  </w:endnote>
  <w:endnote w:type="continuationSeparator" w:id="0">
    <w:p w:rsidR="00635A5A" w:rsidRDefault="00635A5A" w:rsidP="003C3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A5A" w:rsidRDefault="00635A5A" w:rsidP="003C33EC">
      <w:pPr>
        <w:spacing w:after="0" w:line="240" w:lineRule="auto"/>
      </w:pPr>
      <w:r>
        <w:separator/>
      </w:r>
    </w:p>
  </w:footnote>
  <w:footnote w:type="continuationSeparator" w:id="0">
    <w:p w:rsidR="00635A5A" w:rsidRDefault="00635A5A" w:rsidP="003C33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DE79A7"/>
    <w:rsid w:val="00167531"/>
    <w:rsid w:val="001D1A5C"/>
    <w:rsid w:val="0023321F"/>
    <w:rsid w:val="003132B6"/>
    <w:rsid w:val="00316C2E"/>
    <w:rsid w:val="00361820"/>
    <w:rsid w:val="003B3BAF"/>
    <w:rsid w:val="003C33EC"/>
    <w:rsid w:val="004833F8"/>
    <w:rsid w:val="00635A5A"/>
    <w:rsid w:val="00775BF6"/>
    <w:rsid w:val="009C073F"/>
    <w:rsid w:val="00A44977"/>
    <w:rsid w:val="00A700EC"/>
    <w:rsid w:val="00C603CB"/>
    <w:rsid w:val="00C64740"/>
    <w:rsid w:val="00CC13EB"/>
    <w:rsid w:val="00D85A63"/>
    <w:rsid w:val="00DE79A7"/>
    <w:rsid w:val="00F170AC"/>
    <w:rsid w:val="00F60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9A7"/>
    <w:pPr>
      <w:spacing w:after="0" w:line="240" w:lineRule="auto"/>
      <w:ind w:firstLine="420"/>
    </w:pPr>
    <w:rPr>
      <w:rFonts w:ascii="Arial" w:hAnsi="Arial" w:cs="Arial"/>
      <w:sz w:val="18"/>
      <w:szCs w:val="18"/>
      <w:lang w:eastAsia="ar-SA"/>
    </w:rPr>
  </w:style>
  <w:style w:type="table" w:styleId="a4">
    <w:name w:val="Table Grid"/>
    <w:basedOn w:val="a1"/>
    <w:uiPriority w:val="39"/>
    <w:rsid w:val="00DE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link w:val="Char"/>
    <w:uiPriority w:val="99"/>
    <w:semiHidden/>
    <w:unhideWhenUsed/>
    <w:rsid w:val="003C33EC"/>
    <w:rPr>
      <w:rFonts w:ascii="宋体" w:eastAsia="宋体"/>
      <w:sz w:val="18"/>
      <w:szCs w:val="18"/>
    </w:rPr>
  </w:style>
  <w:style w:type="character" w:customStyle="1" w:styleId="Char">
    <w:name w:val="文档结构图 Char"/>
    <w:basedOn w:val="a0"/>
    <w:link w:val="a5"/>
    <w:uiPriority w:val="99"/>
    <w:semiHidden/>
    <w:rsid w:val="003C33EC"/>
    <w:rPr>
      <w:rFonts w:ascii="宋体" w:eastAsia="宋体"/>
      <w:sz w:val="18"/>
      <w:szCs w:val="18"/>
    </w:rPr>
  </w:style>
  <w:style w:type="paragraph" w:styleId="a6">
    <w:name w:val="header"/>
    <w:basedOn w:val="a"/>
    <w:link w:val="Char0"/>
    <w:uiPriority w:val="99"/>
    <w:semiHidden/>
    <w:unhideWhenUsed/>
    <w:rsid w:val="003C33E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3C33EC"/>
    <w:rPr>
      <w:sz w:val="18"/>
      <w:szCs w:val="18"/>
    </w:rPr>
  </w:style>
  <w:style w:type="paragraph" w:styleId="a7">
    <w:name w:val="footer"/>
    <w:basedOn w:val="a"/>
    <w:link w:val="Char1"/>
    <w:uiPriority w:val="99"/>
    <w:semiHidden/>
    <w:unhideWhenUsed/>
    <w:rsid w:val="003C33EC"/>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semiHidden/>
    <w:rsid w:val="003C33EC"/>
    <w:rPr>
      <w:sz w:val="18"/>
      <w:szCs w:val="18"/>
    </w:rPr>
  </w:style>
</w:styles>
</file>

<file path=word/webSettings.xml><?xml version="1.0" encoding="utf-8"?>
<w:webSettings xmlns:r="http://schemas.openxmlformats.org/officeDocument/2006/relationships" xmlns:w="http://schemas.openxmlformats.org/wordprocessingml/2006/main">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LTHM1</dc:creator>
  <cp:lastModifiedBy>cmcc-wd</cp:lastModifiedBy>
  <cp:revision>2</cp:revision>
  <dcterms:created xsi:type="dcterms:W3CDTF">2021-08-17T10:11:00Z</dcterms:created>
  <dcterms:modified xsi:type="dcterms:W3CDTF">2021-08-17T10:11:00Z</dcterms:modified>
</cp:coreProperties>
</file>