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596C3" w14:textId="77777777" w:rsidR="00DE79A7" w:rsidRDefault="00DE79A7" w:rsidP="00DE79A7">
      <w:pPr>
        <w:pStyle w:val="a3"/>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14:paraId="0685B326" w14:textId="77777777"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DE79A7" w14:paraId="12A1862A" w14:textId="77777777" w:rsidTr="00DE79A7">
        <w:tc>
          <w:tcPr>
            <w:tcW w:w="1555" w:type="dxa"/>
          </w:tcPr>
          <w:p w14:paraId="52367978"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0EDEC112" w14:textId="77777777"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AF33F0" w14:paraId="18811332" w14:textId="77777777" w:rsidTr="00DE79A7">
        <w:tc>
          <w:tcPr>
            <w:tcW w:w="1555" w:type="dxa"/>
          </w:tcPr>
          <w:p w14:paraId="59A4BCB1"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1FE7BE6D" w14:textId="2F603C46"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is enough</w:t>
            </w:r>
          </w:p>
        </w:tc>
      </w:tr>
      <w:tr w:rsidR="00AF33F0" w14:paraId="2A879A20" w14:textId="77777777" w:rsidTr="00DE79A7">
        <w:tc>
          <w:tcPr>
            <w:tcW w:w="1555" w:type="dxa"/>
          </w:tcPr>
          <w:p w14:paraId="2ACA3676"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2A9829C8"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if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AF33F0" w14:paraId="57013998" w14:textId="77777777" w:rsidTr="00DE79A7">
        <w:tc>
          <w:tcPr>
            <w:tcW w:w="1555" w:type="dxa"/>
          </w:tcPr>
          <w:p w14:paraId="2F308781"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73CB3D72"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For EDI, Node level EDI provided to SMF is enough in terms of EDI configuration. Then the SMF provides DNS handling rules that are per PDU Session (and derived from PCC rules that themselves are derived from Nnef-traffic Influence). </w:t>
            </w:r>
          </w:p>
        </w:tc>
      </w:tr>
      <w:tr w:rsidR="00AF33F0" w14:paraId="295FE71A" w14:textId="77777777" w:rsidTr="00DE79A7">
        <w:tc>
          <w:tcPr>
            <w:tcW w:w="1555" w:type="dxa"/>
          </w:tcPr>
          <w:p w14:paraId="650B6DBC" w14:textId="77777777" w:rsidR="00AF33F0" w:rsidRPr="00167531" w:rsidRDefault="00AF33F0" w:rsidP="00AF33F0">
            <w:pPr>
              <w:rPr>
                <w:rFonts w:ascii="Calibri" w:hAnsi="Calibri" w:cs="Calibri"/>
                <w:color w:val="1F497D"/>
                <w:sz w:val="21"/>
                <w:szCs w:val="21"/>
                <w:lang w:eastAsia="zh-CN"/>
              </w:rPr>
            </w:pPr>
            <w:r>
              <w:rPr>
                <w:rFonts w:ascii="Calibri" w:hAnsi="Calibri" w:cs="Calibri" w:hint="eastAsia"/>
                <w:color w:val="1F497D"/>
                <w:sz w:val="21"/>
                <w:szCs w:val="21"/>
                <w:lang w:eastAsia="zh-CN"/>
              </w:rPr>
              <w:t>ZTE</w:t>
            </w:r>
          </w:p>
        </w:tc>
        <w:tc>
          <w:tcPr>
            <w:tcW w:w="7507" w:type="dxa"/>
          </w:tcPr>
          <w:p w14:paraId="027DA642"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Yes. It should be possible to provide session level EDI so the AF can control the EDI per UE/session basis</w:t>
            </w:r>
          </w:p>
        </w:tc>
      </w:tr>
      <w:tr w:rsidR="00AF33F0" w14:paraId="15B3CCF5" w14:textId="77777777" w:rsidTr="00DE79A7">
        <w:tc>
          <w:tcPr>
            <w:tcW w:w="1555" w:type="dxa"/>
          </w:tcPr>
          <w:p w14:paraId="5F31A1F8"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V</w:t>
            </w:r>
            <w:r>
              <w:rPr>
                <w:rFonts w:ascii="Calibri" w:hAnsi="Calibri" w:cs="Calibri" w:hint="eastAsia"/>
                <w:color w:val="1F497D"/>
                <w:sz w:val="21"/>
                <w:szCs w:val="21"/>
                <w:lang w:val="en-US" w:eastAsia="zh-CN"/>
              </w:rPr>
              <w:t>ivo</w:t>
            </w:r>
          </w:p>
        </w:tc>
        <w:tc>
          <w:tcPr>
            <w:tcW w:w="7507" w:type="dxa"/>
          </w:tcPr>
          <w:p w14:paraId="0E1F898E"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I</w:t>
            </w:r>
            <w:r>
              <w:rPr>
                <w:rFonts w:ascii="Calibri" w:hAnsi="Calibri" w:cs="Calibri"/>
                <w:color w:val="1F497D"/>
                <w:sz w:val="21"/>
                <w:szCs w:val="21"/>
                <w:lang w:val="en-US" w:eastAsia="zh-CN"/>
              </w:rPr>
              <w:t xml:space="preserve"> also think node level is enough. </w:t>
            </w:r>
          </w:p>
          <w:p w14:paraId="6AECB39F" w14:textId="77777777" w:rsidR="00AF33F0" w:rsidRDefault="00AF33F0"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The node level information is for the UE in this area, and for now, I can’t understand and imagine that why for a particular UE, that needs the AF to trigger another traffic influence to provide the session level information.  Does the session level have some different from node level information?</w:t>
            </w:r>
          </w:p>
        </w:tc>
      </w:tr>
      <w:tr w:rsidR="00AF33F0" w14:paraId="6A97E481" w14:textId="77777777" w:rsidTr="00DE79A7">
        <w:tc>
          <w:tcPr>
            <w:tcW w:w="1555" w:type="dxa"/>
          </w:tcPr>
          <w:p w14:paraId="2DCA7F96"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4C8D7A41" w14:textId="77777777" w:rsidR="00AF33F0" w:rsidRDefault="00AF33F0" w:rsidP="00AF33F0">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Y</w:t>
            </w:r>
            <w:r>
              <w:rPr>
                <w:rFonts w:ascii="Calibri" w:hAnsi="Calibri" w:cs="Calibri"/>
                <w:color w:val="1F497D"/>
                <w:sz w:val="21"/>
                <w:szCs w:val="21"/>
                <w:lang w:val="en-US" w:eastAsia="zh-CN"/>
              </w:rPr>
              <w:t xml:space="preserve">es. Some specific UEs, e.g., VIP users, may have different rules. So we prefer to have the node/session level EDI to support the node/session level rules. </w:t>
            </w:r>
          </w:p>
        </w:tc>
      </w:tr>
      <w:tr w:rsidR="00AF33F0" w14:paraId="1A76BD7C" w14:textId="77777777" w:rsidTr="00814F4D">
        <w:tc>
          <w:tcPr>
            <w:tcW w:w="1555" w:type="dxa"/>
          </w:tcPr>
          <w:p w14:paraId="60262159" w14:textId="77777777" w:rsidR="00AF33F0" w:rsidRDefault="00AF33F0" w:rsidP="00AF33F0">
            <w:pPr>
              <w:spacing w:after="120"/>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31DA302B" w14:textId="77777777" w:rsidR="00AF33F0" w:rsidRDefault="00AF33F0" w:rsidP="00AF33F0">
            <w:pPr>
              <w:spacing w:after="120"/>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 xml:space="preserve">Yes, we think it is possible required for the AF </w:t>
            </w:r>
            <w:r>
              <w:rPr>
                <w:rFonts w:ascii="Calibri" w:hAnsi="Calibri" w:cs="Calibri"/>
                <w:color w:val="1F497D"/>
                <w:sz w:val="21"/>
                <w:szCs w:val="21"/>
                <w:lang w:val="en-US" w:eastAsia="zh-CN"/>
              </w:rPr>
              <w:t>control</w:t>
            </w:r>
            <w:r>
              <w:rPr>
                <w:rFonts w:ascii="Calibri" w:hAnsi="Calibri" w:cs="Calibri" w:hint="eastAsia"/>
                <w:color w:val="1F497D"/>
                <w:sz w:val="21"/>
                <w:szCs w:val="21"/>
                <w:lang w:val="en-US" w:eastAsia="zh-CN"/>
              </w:rPr>
              <w:t xml:space="preserve"> EDI per UE/per session. Two UEs in the same factory with different S-NSSAI and same DNN may need to access to different DNS server.</w:t>
            </w:r>
          </w:p>
        </w:tc>
      </w:tr>
      <w:tr w:rsidR="00AF33F0" w14:paraId="00418A62" w14:textId="77777777" w:rsidTr="00DE79A7">
        <w:tc>
          <w:tcPr>
            <w:tcW w:w="1555" w:type="dxa"/>
          </w:tcPr>
          <w:p w14:paraId="58500C0C" w14:textId="4325A1B1" w:rsidR="00AF33F0" w:rsidRPr="003C33EC" w:rsidRDefault="00465B3B" w:rsidP="00AF33F0">
            <w:pPr>
              <w:rPr>
                <w:rFonts w:ascii="Calibri" w:hAnsi="Calibri" w:cs="Calibri"/>
                <w:color w:val="1F497D"/>
                <w:sz w:val="21"/>
                <w:szCs w:val="21"/>
                <w:lang w:eastAsia="zh-CN"/>
              </w:rPr>
            </w:pPr>
            <w:r>
              <w:rPr>
                <w:rFonts w:ascii="Calibri" w:hAnsi="Calibri" w:cs="Calibri"/>
                <w:color w:val="1F497D"/>
                <w:sz w:val="21"/>
                <w:szCs w:val="21"/>
                <w:lang w:eastAsia="zh-CN"/>
              </w:rPr>
              <w:t>Qualcomm</w:t>
            </w:r>
          </w:p>
        </w:tc>
        <w:tc>
          <w:tcPr>
            <w:tcW w:w="7507" w:type="dxa"/>
          </w:tcPr>
          <w:p w14:paraId="11EB0593" w14:textId="0C5173F3" w:rsidR="00AF33F0" w:rsidRDefault="00465B3B" w:rsidP="00AF33F0">
            <w:pPr>
              <w:rPr>
                <w:rFonts w:ascii="Calibri" w:hAnsi="Calibri" w:cs="Calibri"/>
                <w:color w:val="1F497D"/>
                <w:sz w:val="21"/>
                <w:szCs w:val="21"/>
                <w:lang w:val="en-US" w:eastAsia="zh-CN"/>
              </w:rPr>
            </w:pPr>
            <w:r>
              <w:rPr>
                <w:rFonts w:ascii="Calibri" w:hAnsi="Calibri" w:cs="Calibri"/>
                <w:color w:val="1F497D"/>
                <w:sz w:val="21"/>
                <w:szCs w:val="21"/>
                <w:lang w:val="en-US" w:eastAsia="zh-CN"/>
              </w:rPr>
              <w:t>It is unclear the benefit of having both Node Level EAS Deployment Information and Session Level EDI. So having just the Node Level one is enough.</w:t>
            </w:r>
          </w:p>
        </w:tc>
      </w:tr>
      <w:tr w:rsidR="0068014A" w14:paraId="2A5F6A8C" w14:textId="77777777" w:rsidTr="00DE79A7">
        <w:tc>
          <w:tcPr>
            <w:tcW w:w="1555" w:type="dxa"/>
          </w:tcPr>
          <w:p w14:paraId="324A5BCB" w14:textId="5C24C934" w:rsidR="0068014A" w:rsidRPr="00C25D42" w:rsidRDefault="00C25D42" w:rsidP="00AF33F0">
            <w:pPr>
              <w:rPr>
                <w:rFonts w:ascii="Calibri" w:eastAsia="맑은 고딕" w:hAnsi="Calibri" w:cs="Calibri" w:hint="eastAsia"/>
                <w:color w:val="1F497D"/>
                <w:sz w:val="21"/>
                <w:szCs w:val="21"/>
                <w:lang w:eastAsia="ko-KR"/>
              </w:rPr>
            </w:pPr>
            <w:r>
              <w:rPr>
                <w:rFonts w:ascii="Calibri" w:eastAsia="맑은 고딕" w:hAnsi="Calibri" w:cs="Calibri" w:hint="eastAsia"/>
                <w:color w:val="1F497D"/>
                <w:sz w:val="21"/>
                <w:szCs w:val="21"/>
                <w:lang w:eastAsia="ko-KR"/>
              </w:rPr>
              <w:t>Samsung</w:t>
            </w:r>
          </w:p>
        </w:tc>
        <w:tc>
          <w:tcPr>
            <w:tcW w:w="7507" w:type="dxa"/>
          </w:tcPr>
          <w:p w14:paraId="69B0454C" w14:textId="103B2569" w:rsidR="0068014A" w:rsidRPr="00C25D42" w:rsidRDefault="00C25D42" w:rsidP="00AF33F0">
            <w:pPr>
              <w:rPr>
                <w:rFonts w:ascii="Calibri" w:eastAsia="맑은 고딕" w:hAnsi="Calibri" w:cs="Calibri" w:hint="eastAsia"/>
                <w:color w:val="1F497D"/>
                <w:sz w:val="21"/>
                <w:szCs w:val="21"/>
                <w:lang w:val="en-US" w:eastAsia="ko-KR"/>
              </w:rPr>
            </w:pPr>
            <w:r>
              <w:rPr>
                <w:rFonts w:ascii="Calibri" w:eastAsia="맑은 고딕" w:hAnsi="Calibri" w:cs="Calibri" w:hint="eastAsia"/>
                <w:color w:val="1F497D"/>
                <w:sz w:val="21"/>
                <w:szCs w:val="21"/>
                <w:lang w:val="en-US" w:eastAsia="ko-KR"/>
              </w:rPr>
              <w:t xml:space="preserve">If only one is needed, it would </w:t>
            </w:r>
            <w:r>
              <w:rPr>
                <w:rFonts w:ascii="Calibri" w:eastAsia="맑은 고딕" w:hAnsi="Calibri" w:cs="Calibri"/>
                <w:color w:val="1F497D"/>
                <w:sz w:val="21"/>
                <w:szCs w:val="21"/>
                <w:lang w:val="en-US" w:eastAsia="ko-KR"/>
              </w:rPr>
              <w:t xml:space="preserve">be </w:t>
            </w:r>
            <w:r>
              <w:rPr>
                <w:rFonts w:ascii="Calibri" w:eastAsia="맑은 고딕" w:hAnsi="Calibri" w:cs="Calibri" w:hint="eastAsia"/>
                <w:color w:val="1F497D"/>
                <w:sz w:val="21"/>
                <w:szCs w:val="21"/>
                <w:lang w:val="en-US" w:eastAsia="ko-KR"/>
              </w:rPr>
              <w:t xml:space="preserve">Node Level, </w:t>
            </w:r>
            <w:r>
              <w:rPr>
                <w:rFonts w:ascii="Calibri" w:eastAsia="맑은 고딕" w:hAnsi="Calibri" w:cs="Calibri"/>
                <w:color w:val="1F497D"/>
                <w:sz w:val="21"/>
                <w:szCs w:val="21"/>
                <w:lang w:val="en-US" w:eastAsia="ko-KR"/>
              </w:rPr>
              <w:t>but some cases, Session Level can be used. Both are okay.</w:t>
            </w:r>
          </w:p>
        </w:tc>
      </w:tr>
    </w:tbl>
    <w:p w14:paraId="6D668AFF" w14:textId="77777777" w:rsidR="003132B6" w:rsidRDefault="003132B6">
      <w:pPr>
        <w:rPr>
          <w:rFonts w:ascii="Calibri" w:hAnsi="Calibri" w:cs="Calibri"/>
          <w:color w:val="1F497D"/>
          <w:sz w:val="21"/>
          <w:szCs w:val="21"/>
          <w:lang w:val="en-US" w:eastAsia="zh-CN"/>
        </w:rPr>
      </w:pPr>
    </w:p>
    <w:p w14:paraId="11EF37BA" w14:textId="77777777" w:rsidR="003132B6" w:rsidRPr="00F60DBA" w:rsidRDefault="003132B6">
      <w:pPr>
        <w:rPr>
          <w:rFonts w:ascii="Calibri" w:hAnsi="Calibri" w:cs="Calibri"/>
          <w:color w:val="1F497D"/>
          <w:sz w:val="21"/>
          <w:szCs w:val="21"/>
          <w:lang w:val="en-US" w:eastAsia="zh-CN"/>
        </w:rPr>
      </w:pPr>
    </w:p>
    <w:p w14:paraId="21398967" w14:textId="77777777" w:rsidR="003132B6" w:rsidRDefault="003132B6" w:rsidP="003132B6"/>
    <w:p w14:paraId="3758FC0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6BCA4B12" w14:textId="77777777" w:rsidR="00DE79A7" w:rsidRDefault="00DE79A7" w:rsidP="00DE79A7">
      <w:pPr>
        <w:pStyle w:val="a3"/>
        <w:ind w:left="360" w:firstLine="0"/>
        <w:rPr>
          <w:rFonts w:ascii="Calibri" w:hAnsi="Calibri" w:cs="Calibri"/>
          <w:color w:val="1F497D"/>
          <w:sz w:val="21"/>
          <w:szCs w:val="21"/>
          <w:lang w:val="en-US" w:eastAsia="zh-CN"/>
        </w:rPr>
      </w:pPr>
    </w:p>
    <w:p w14:paraId="4AAEF543"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14:paraId="3503F1C5"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firstRow="1" w:lastRow="0" w:firstColumn="1" w:lastColumn="0" w:noHBand="0" w:noVBand="1"/>
      </w:tblPr>
      <w:tblGrid>
        <w:gridCol w:w="4893"/>
        <w:gridCol w:w="4159"/>
      </w:tblGrid>
      <w:tr w:rsidR="00DE79A7" w14:paraId="053A33E5" w14:textId="7777777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ED1A7"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9DF1A0"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14:paraId="214B47A4"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EDI is delivered via AF-NEF-UDR, and only pushed  to SMF based on the subscription triggered by App activation in the SMF.</w:t>
            </w:r>
          </w:p>
          <w:p w14:paraId="6008211D"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SimSun" w:eastAsia="SimSun" w:hAnsi="SimSun"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14:paraId="32EB3AC4" w14:textId="77777777" w:rsidR="00DE79A7" w:rsidRDefault="00DE79A7" w:rsidP="00167531">
            <w:pPr>
              <w:pStyle w:val="a3"/>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14:paraId="6C7AC018"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57EA2"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Reuse the existing Nnef_TrafficInfluence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1337C74C"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14:paraId="5DE57C29"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14:paraId="47D90AA9" w14:textId="77777777" w:rsidR="00DE79A7" w:rsidRDefault="00DE79A7" w:rsidP="00167531">
            <w:pPr>
              <w:pStyle w:val="a3"/>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14:paraId="6AB6DED0"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85C98"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OptionC: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73750111" w14:textId="77777777" w:rsidR="00DE79A7" w:rsidRDefault="00DE79A7">
            <w:pPr>
              <w:rPr>
                <w:rFonts w:ascii="Calibri" w:hAnsi="Calibri" w:cs="Calibri"/>
                <w:color w:val="1F497D"/>
                <w:sz w:val="21"/>
                <w:szCs w:val="21"/>
                <w:lang w:val="en-US" w:eastAsia="zh-CN"/>
              </w:rPr>
            </w:pPr>
          </w:p>
        </w:tc>
      </w:tr>
    </w:tbl>
    <w:p w14:paraId="048EB24D" w14:textId="77777777" w:rsidR="00DE79A7" w:rsidRDefault="00DE79A7" w:rsidP="00DE79A7">
      <w:pPr>
        <w:rPr>
          <w:rFonts w:ascii="Calibri" w:hAnsi="Calibri" w:cs="Calibri"/>
          <w:color w:val="1F497D"/>
          <w:sz w:val="21"/>
          <w:szCs w:val="21"/>
          <w:lang w:val="en-US" w:eastAsia="zh-CN"/>
        </w:rPr>
      </w:pPr>
    </w:p>
    <w:p w14:paraId="715AD430" w14:textId="77777777" w:rsidR="00DE79A7" w:rsidRDefault="00DE79A7" w:rsidP="00DE79A7">
      <w:pPr>
        <w:rPr>
          <w:rFonts w:ascii="Calibri" w:hAnsi="Calibri" w:cs="Calibri"/>
          <w:color w:val="1F497D"/>
          <w:sz w:val="21"/>
          <w:szCs w:val="21"/>
          <w:lang w:val="en-US" w:eastAsia="zh-CN"/>
        </w:rPr>
      </w:pPr>
    </w:p>
    <w:p w14:paraId="448B39B0" w14:textId="77777777" w:rsidR="00DE79A7" w:rsidRDefault="00DE79A7" w:rsidP="00DE79A7">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DE79A7" w14:paraId="7558BCA4" w14:textId="77777777" w:rsidTr="00167531">
        <w:tc>
          <w:tcPr>
            <w:tcW w:w="1555" w:type="dxa"/>
          </w:tcPr>
          <w:p w14:paraId="2C30DF58"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69F4F49B"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14:paraId="46011040" w14:textId="77777777" w:rsidTr="00167531">
        <w:tc>
          <w:tcPr>
            <w:tcW w:w="1555" w:type="dxa"/>
          </w:tcPr>
          <w:p w14:paraId="6849D3B7"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734C024C" w14:textId="30F559D2" w:rsidR="00DE79A7" w:rsidRDefault="00AF33F0"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and only push to simplify operations</w:t>
            </w:r>
          </w:p>
        </w:tc>
      </w:tr>
      <w:tr w:rsidR="00DE79A7" w14:paraId="6D856FBE" w14:textId="77777777" w:rsidTr="00167531">
        <w:tc>
          <w:tcPr>
            <w:tcW w:w="1555" w:type="dxa"/>
          </w:tcPr>
          <w:p w14:paraId="31D93DCB"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762466B7"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14:paraId="20A1E52E" w14:textId="77777777" w:rsidTr="00167531">
        <w:tc>
          <w:tcPr>
            <w:tcW w:w="1555" w:type="dxa"/>
          </w:tcPr>
          <w:p w14:paraId="331CB034" w14:textId="77777777" w:rsidR="00DE79A7" w:rsidRDefault="00DE79A7"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6EA08F2F" w14:textId="77777777" w:rsidR="00DE79A7"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DIRECTLY with UDR for higher efficiency following the same logic than PCF for Traffic influence data</w:t>
            </w:r>
          </w:p>
        </w:tc>
      </w:tr>
      <w:tr w:rsidR="00DE79A7" w14:paraId="1FA6B736" w14:textId="77777777" w:rsidTr="00167531">
        <w:tc>
          <w:tcPr>
            <w:tcW w:w="1555" w:type="dxa"/>
          </w:tcPr>
          <w:p w14:paraId="7DE1C6C9" w14:textId="77777777" w:rsidR="00DE79A7"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59940C3F" w14:textId="77777777" w:rsidR="00DE79A7" w:rsidRDefault="00167531" w:rsidP="003B3BA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A. The procedure can similar as </w:t>
            </w:r>
            <w:r>
              <w:rPr>
                <w:lang w:eastAsia="zh-CN"/>
              </w:rPr>
              <w:t>PFD</w:t>
            </w:r>
            <w:r w:rsidR="003B3BAF">
              <w:rPr>
                <w:lang w:eastAsia="zh-CN"/>
              </w:rPr>
              <w:t xml:space="preserve"> management </w:t>
            </w:r>
            <w:r>
              <w:rPr>
                <w:lang w:eastAsia="zh-CN"/>
              </w:rPr>
              <w:t>procedure, i.e. SMF communicate with the NEF. NEF is the frondend of UDR.</w:t>
            </w:r>
          </w:p>
        </w:tc>
      </w:tr>
      <w:tr w:rsidR="00DE79A7" w14:paraId="1F92B9D8" w14:textId="77777777" w:rsidTr="00167531">
        <w:tc>
          <w:tcPr>
            <w:tcW w:w="1555" w:type="dxa"/>
          </w:tcPr>
          <w:p w14:paraId="59CF62CA" w14:textId="77777777"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040DC6DD" w14:textId="77777777" w:rsidR="00DE79A7"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Both Option A &amp; B is ok, but if we use option A, this service should not limit the scope of only EDI. Maybe in the future, some of other information still needs to provided to 5GC as node level, so I mean, we can change the name and not limited to only EDI provision. </w:t>
            </w:r>
          </w:p>
        </w:tc>
      </w:tr>
      <w:tr w:rsidR="00DE79A7" w14:paraId="47079264" w14:textId="77777777" w:rsidTr="00167531">
        <w:tc>
          <w:tcPr>
            <w:tcW w:w="1555" w:type="dxa"/>
          </w:tcPr>
          <w:p w14:paraId="5AF057BA" w14:textId="77777777" w:rsidR="00DE79A7" w:rsidRDefault="00C603C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5162669E" w14:textId="77777777" w:rsidR="00DE79A7" w:rsidRDefault="009C073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Similar view as Vivo.</w:t>
            </w:r>
            <w:r w:rsidR="00C603CB">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t>I</w:t>
            </w:r>
            <w:r w:rsidR="00C603CB">
              <w:rPr>
                <w:rFonts w:ascii="Calibri" w:hAnsi="Calibri" w:cs="Calibri"/>
                <w:color w:val="1F497D"/>
                <w:sz w:val="21"/>
                <w:szCs w:val="21"/>
                <w:lang w:val="en-US" w:eastAsia="zh-CN"/>
              </w:rPr>
              <w:t xml:space="preserve">f A is chosen, we prefer </w:t>
            </w:r>
            <w:r>
              <w:rPr>
                <w:rFonts w:ascii="Calibri" w:hAnsi="Calibri" w:cs="Calibri"/>
                <w:color w:val="1F497D"/>
                <w:sz w:val="21"/>
                <w:szCs w:val="21"/>
                <w:lang w:val="en-US" w:eastAsia="zh-CN"/>
              </w:rPr>
              <w:t>the way in 6293 and 6031 to enable both the push and pull mode between SMF and UDR.</w:t>
            </w:r>
          </w:p>
        </w:tc>
      </w:tr>
      <w:tr w:rsidR="003C33EC" w14:paraId="05DDE617" w14:textId="77777777" w:rsidTr="00814F4D">
        <w:tc>
          <w:tcPr>
            <w:tcW w:w="1555" w:type="dxa"/>
          </w:tcPr>
          <w:p w14:paraId="0887DBC0"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5F060AEC"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Option A.</w:t>
            </w:r>
            <w:r>
              <w:rPr>
                <w:rFonts w:ascii="Calibri" w:hAnsi="Calibri" w:cs="Calibri"/>
                <w:color w:val="1F497D"/>
                <w:sz w:val="21"/>
                <w:szCs w:val="21"/>
                <w:lang w:val="en-US" w:eastAsia="zh-CN"/>
              </w:rPr>
              <w:t xml:space="preserve"> </w:t>
            </w:r>
            <w:r>
              <w:rPr>
                <w:rFonts w:ascii="Calibri" w:hAnsi="Calibri" w:cs="Calibri" w:hint="eastAsia"/>
                <w:color w:val="1F497D"/>
                <w:sz w:val="21"/>
                <w:szCs w:val="21"/>
                <w:lang w:val="en-US" w:eastAsia="zh-CN"/>
              </w:rPr>
              <w:t>Support following PFD management procedure.</w:t>
            </w:r>
          </w:p>
        </w:tc>
      </w:tr>
      <w:tr w:rsidR="00DE79A7" w14:paraId="246EA556" w14:textId="77777777" w:rsidTr="00167531">
        <w:tc>
          <w:tcPr>
            <w:tcW w:w="1555" w:type="dxa"/>
          </w:tcPr>
          <w:p w14:paraId="2CD0B87A" w14:textId="4E783386" w:rsidR="00DE79A7" w:rsidRPr="003C33EC" w:rsidRDefault="00465B3B" w:rsidP="00167531">
            <w:pPr>
              <w:rPr>
                <w:rFonts w:ascii="Calibri" w:hAnsi="Calibri" w:cs="Calibri"/>
                <w:color w:val="1F497D"/>
                <w:sz w:val="21"/>
                <w:szCs w:val="21"/>
                <w:lang w:eastAsia="zh-CN"/>
              </w:rPr>
            </w:pPr>
            <w:r>
              <w:rPr>
                <w:rFonts w:ascii="Calibri" w:hAnsi="Calibri" w:cs="Calibri"/>
                <w:color w:val="1F497D"/>
                <w:sz w:val="21"/>
                <w:szCs w:val="21"/>
                <w:lang w:eastAsia="zh-CN"/>
              </w:rPr>
              <w:t>Qualcomm</w:t>
            </w:r>
          </w:p>
        </w:tc>
        <w:tc>
          <w:tcPr>
            <w:tcW w:w="7507" w:type="dxa"/>
          </w:tcPr>
          <w:p w14:paraId="5E41FC08" w14:textId="5F9F6D6F" w:rsidR="00DE79A7" w:rsidRPr="00C603CB" w:rsidRDefault="00465B3B"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with just the 'push option' seems enough to address this issue.</w:t>
            </w:r>
          </w:p>
        </w:tc>
      </w:tr>
      <w:tr w:rsidR="00C25D42" w14:paraId="332ACAA7" w14:textId="77777777" w:rsidTr="00167531">
        <w:tc>
          <w:tcPr>
            <w:tcW w:w="1555" w:type="dxa"/>
          </w:tcPr>
          <w:p w14:paraId="3C16B8E4" w14:textId="590F8DEA" w:rsidR="00C25D42" w:rsidRPr="00C25D42" w:rsidRDefault="00C25D42" w:rsidP="00167531">
            <w:pPr>
              <w:rPr>
                <w:rFonts w:ascii="Calibri" w:eastAsia="맑은 고딕" w:hAnsi="Calibri" w:cs="Calibri" w:hint="eastAsia"/>
                <w:color w:val="1F497D"/>
                <w:sz w:val="21"/>
                <w:szCs w:val="21"/>
                <w:lang w:eastAsia="ko-KR"/>
              </w:rPr>
            </w:pPr>
            <w:r>
              <w:rPr>
                <w:rFonts w:ascii="Calibri" w:eastAsia="맑은 고딕" w:hAnsi="Calibri" w:cs="Calibri" w:hint="eastAsia"/>
                <w:color w:val="1F497D"/>
                <w:sz w:val="21"/>
                <w:szCs w:val="21"/>
                <w:lang w:eastAsia="ko-KR"/>
              </w:rPr>
              <w:t>Samsung</w:t>
            </w:r>
          </w:p>
        </w:tc>
        <w:tc>
          <w:tcPr>
            <w:tcW w:w="7507" w:type="dxa"/>
          </w:tcPr>
          <w:p w14:paraId="4EBFE7C2" w14:textId="1CC0050B" w:rsidR="00C25D42" w:rsidRPr="00C25D42" w:rsidRDefault="00C25D42" w:rsidP="00167531">
            <w:pPr>
              <w:rPr>
                <w:rFonts w:ascii="Calibri" w:eastAsia="맑은 고딕" w:hAnsi="Calibri" w:cs="Calibri" w:hint="eastAsia"/>
                <w:color w:val="1F497D"/>
                <w:sz w:val="21"/>
                <w:szCs w:val="21"/>
                <w:lang w:val="en-US" w:eastAsia="ko-KR"/>
              </w:rPr>
            </w:pPr>
            <w:r>
              <w:rPr>
                <w:rFonts w:ascii="Calibri" w:eastAsia="맑은 고딕" w:hAnsi="Calibri" w:cs="Calibri" w:hint="eastAsia"/>
                <w:color w:val="1F497D"/>
                <w:sz w:val="21"/>
                <w:szCs w:val="21"/>
                <w:lang w:val="en-US" w:eastAsia="ko-KR"/>
              </w:rPr>
              <w:t>Option A.</w:t>
            </w:r>
          </w:p>
        </w:tc>
      </w:tr>
    </w:tbl>
    <w:p w14:paraId="43C99355" w14:textId="77777777" w:rsidR="00DE79A7" w:rsidRDefault="00DE79A7" w:rsidP="00DE79A7">
      <w:pPr>
        <w:rPr>
          <w:rFonts w:ascii="Calibri" w:hAnsi="Calibri" w:cs="Calibri"/>
          <w:color w:val="1F497D"/>
          <w:sz w:val="21"/>
          <w:szCs w:val="21"/>
          <w:lang w:val="en-US" w:eastAsia="zh-CN"/>
        </w:rPr>
      </w:pPr>
    </w:p>
    <w:p w14:paraId="2725FB79" w14:textId="77777777"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772D1164" w14:textId="77777777" w:rsidR="00DE79A7" w:rsidRDefault="00DE79A7" w:rsidP="00DE79A7">
      <w:pPr>
        <w:rPr>
          <w:rFonts w:ascii="Calibri" w:hAnsi="Calibri" w:cs="Calibri"/>
          <w:color w:val="1F497D"/>
          <w:sz w:val="21"/>
          <w:szCs w:val="21"/>
          <w:lang w:val="en-US" w:eastAsia="zh-CN"/>
        </w:rPr>
      </w:pPr>
    </w:p>
    <w:p w14:paraId="170131A0"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14:paraId="23D98A30"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firstRow="1" w:lastRow="0" w:firstColumn="1" w:lastColumn="0" w:noHBand="0" w:noVBand="1"/>
      </w:tblPr>
      <w:tblGrid>
        <w:gridCol w:w="5275"/>
        <w:gridCol w:w="3777"/>
      </w:tblGrid>
      <w:tr w:rsidR="00DE79A7" w14:paraId="64241ADB" w14:textId="7777777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971CB7"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58B0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14:paraId="4DD7919D" w14:textId="7777777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7390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NEF-&gt;EASDF</w:t>
            </w:r>
            <w:r>
              <w:rPr>
                <w:rFonts w:ascii="Calibri" w:hAnsi="Calibri" w:cs="Calibri"/>
                <w:color w:val="1F497D"/>
                <w:sz w:val="21"/>
                <w:szCs w:val="21"/>
                <w:lang w:val="en-US" w:eastAsia="zh-CN"/>
              </w:rPr>
              <w:t>,  EASDF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14:paraId="73C45401"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14:paraId="61FA1990" w14:textId="77777777" w:rsidR="00DE79A7" w:rsidRDefault="00DE79A7" w:rsidP="00DE79A7">
      <w:pPr>
        <w:rPr>
          <w:rFonts w:ascii="Calibri" w:hAnsi="Calibri" w:cs="Calibri"/>
          <w:color w:val="1F497D"/>
          <w:sz w:val="21"/>
          <w:szCs w:val="21"/>
          <w:lang w:val="en-US" w:eastAsia="zh-CN"/>
        </w:rPr>
      </w:pPr>
    </w:p>
    <w:p w14:paraId="52B387DF" w14:textId="77777777"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3132B6" w14:paraId="6F120022" w14:textId="77777777" w:rsidTr="00167531">
        <w:tc>
          <w:tcPr>
            <w:tcW w:w="1555" w:type="dxa"/>
          </w:tcPr>
          <w:p w14:paraId="4C7058B1"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0D07609C"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14:paraId="1B4E9087" w14:textId="77777777" w:rsidTr="00167531">
        <w:tc>
          <w:tcPr>
            <w:tcW w:w="1555" w:type="dxa"/>
          </w:tcPr>
          <w:p w14:paraId="209C12C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1E897B5E" w14:textId="3F328A65" w:rsidR="003132B6" w:rsidRDefault="00AF33F0"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From SMF</w:t>
            </w:r>
          </w:p>
        </w:tc>
      </w:tr>
      <w:tr w:rsidR="003132B6" w14:paraId="34EA8769" w14:textId="77777777" w:rsidTr="00167531">
        <w:tc>
          <w:tcPr>
            <w:tcW w:w="1555" w:type="dxa"/>
          </w:tcPr>
          <w:p w14:paraId="300B5A8B"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3E9D559F"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14:paraId="227A4125" w14:textId="77777777" w:rsidTr="00167531">
        <w:tc>
          <w:tcPr>
            <w:tcW w:w="1555" w:type="dxa"/>
          </w:tcPr>
          <w:p w14:paraId="24598809"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19C48049"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SMF provide node level information to EASDF. This keeps SMF as the controlling node for the feature and allows some EDI information to be used at SMF level (e.g. DNS address to use to configure the Ue in option C)</w:t>
            </w:r>
          </w:p>
        </w:tc>
      </w:tr>
      <w:tr w:rsidR="003132B6" w14:paraId="10D20676" w14:textId="77777777" w:rsidTr="00167531">
        <w:tc>
          <w:tcPr>
            <w:tcW w:w="1555" w:type="dxa"/>
          </w:tcPr>
          <w:p w14:paraId="4721ED00" w14:textId="77777777" w:rsidR="003132B6" w:rsidRDefault="00167531"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7B8DFA8E" w14:textId="77777777" w:rsidR="003132B6" w:rsidRDefault="00167531" w:rsidP="001D1A5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w:t>
            </w:r>
            <w:r>
              <w:rPr>
                <w:rFonts w:ascii="Calibri" w:hAnsi="Calibri" w:cs="Calibri"/>
                <w:color w:val="1F497D"/>
                <w:sz w:val="21"/>
                <w:szCs w:val="21"/>
                <w:lang w:val="en-US" w:eastAsia="zh-CN"/>
              </w:rPr>
              <w:t xml:space="preserve">tion A. </w:t>
            </w:r>
            <w:r w:rsidR="001D1A5C">
              <w:rPr>
                <w:rFonts w:ascii="Calibri" w:hAnsi="Calibri" w:cs="Calibri"/>
                <w:color w:val="1F497D"/>
                <w:sz w:val="21"/>
                <w:szCs w:val="21"/>
                <w:lang w:val="en-US" w:eastAsia="zh-CN"/>
              </w:rPr>
              <w:t>The SMF needs to provide the rule Id of the node level information to EASDF for the session, therefore the SMF has to understand the node level information.</w:t>
            </w:r>
          </w:p>
        </w:tc>
      </w:tr>
      <w:tr w:rsidR="003132B6" w14:paraId="23492220" w14:textId="77777777" w:rsidTr="00167531">
        <w:tc>
          <w:tcPr>
            <w:tcW w:w="1555" w:type="dxa"/>
          </w:tcPr>
          <w:p w14:paraId="644E8D7E" w14:textId="77777777"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Vivo </w:t>
            </w:r>
          </w:p>
        </w:tc>
        <w:tc>
          <w:tcPr>
            <w:tcW w:w="7507" w:type="dxa"/>
          </w:tcPr>
          <w:p w14:paraId="3497168E" w14:textId="77777777" w:rsidR="003132B6" w:rsidRDefault="00D85A63"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SMF to control the information is reasonable, because SMF is also responsible for the user plane selection under the help of EDI</w:t>
            </w:r>
          </w:p>
        </w:tc>
      </w:tr>
      <w:tr w:rsidR="003132B6" w14:paraId="20BA4808" w14:textId="77777777" w:rsidTr="00167531">
        <w:tc>
          <w:tcPr>
            <w:tcW w:w="1555" w:type="dxa"/>
          </w:tcPr>
          <w:p w14:paraId="47AEE59D" w14:textId="77777777"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1BAB9686" w14:textId="77777777" w:rsidR="003132B6" w:rsidRDefault="00CC13EB" w:rsidP="00167531">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A. SMF provides node level information to EASDF and could also guarantee the consistency of the rules.</w:t>
            </w:r>
          </w:p>
        </w:tc>
      </w:tr>
      <w:tr w:rsidR="003C33EC" w14:paraId="060BAF74" w14:textId="77777777" w:rsidTr="00814F4D">
        <w:tc>
          <w:tcPr>
            <w:tcW w:w="1555" w:type="dxa"/>
          </w:tcPr>
          <w:p w14:paraId="256A1AF9" w14:textId="77777777" w:rsidR="003C33EC" w:rsidRDefault="003C33EC" w:rsidP="00814F4D">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China Mobile</w:t>
            </w:r>
          </w:p>
        </w:tc>
        <w:tc>
          <w:tcPr>
            <w:tcW w:w="7507" w:type="dxa"/>
          </w:tcPr>
          <w:p w14:paraId="7299818B" w14:textId="77777777" w:rsidR="003C33EC" w:rsidRDefault="003C33EC" w:rsidP="003C33EC">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Option A.</w:t>
            </w:r>
            <w:r>
              <w:rPr>
                <w:rFonts w:ascii="Calibri" w:hAnsi="Calibri" w:cs="Calibri"/>
                <w:color w:val="1F497D"/>
                <w:sz w:val="21"/>
                <w:szCs w:val="21"/>
                <w:lang w:val="en-US" w:eastAsia="zh-CN"/>
              </w:rPr>
              <w:t xml:space="preserve"> </w:t>
            </w:r>
          </w:p>
        </w:tc>
      </w:tr>
      <w:tr w:rsidR="003132B6" w14:paraId="7D198FE7" w14:textId="77777777" w:rsidTr="00167531">
        <w:tc>
          <w:tcPr>
            <w:tcW w:w="1555" w:type="dxa"/>
          </w:tcPr>
          <w:p w14:paraId="0956B5A8" w14:textId="2AE350C1" w:rsidR="003132B6" w:rsidRPr="00C25D42" w:rsidRDefault="00C25D42" w:rsidP="00167531">
            <w:pPr>
              <w:rPr>
                <w:rFonts w:ascii="Calibri" w:eastAsia="맑은 고딕" w:hAnsi="Calibri" w:cs="Calibri" w:hint="eastAsia"/>
                <w:color w:val="1F497D"/>
                <w:sz w:val="21"/>
                <w:szCs w:val="21"/>
                <w:lang w:eastAsia="ko-KR"/>
              </w:rPr>
            </w:pPr>
            <w:r>
              <w:rPr>
                <w:rFonts w:ascii="Calibri" w:eastAsia="맑은 고딕" w:hAnsi="Calibri" w:cs="Calibri" w:hint="eastAsia"/>
                <w:color w:val="1F497D"/>
                <w:sz w:val="21"/>
                <w:szCs w:val="21"/>
                <w:lang w:eastAsia="ko-KR"/>
              </w:rPr>
              <w:t>Samsung</w:t>
            </w:r>
          </w:p>
        </w:tc>
        <w:tc>
          <w:tcPr>
            <w:tcW w:w="7507" w:type="dxa"/>
          </w:tcPr>
          <w:p w14:paraId="5E83B091" w14:textId="70A25052" w:rsidR="003132B6" w:rsidRPr="00C25D42" w:rsidRDefault="00C25D42" w:rsidP="00167531">
            <w:pPr>
              <w:rPr>
                <w:rFonts w:ascii="Calibri" w:eastAsia="맑은 고딕" w:hAnsi="Calibri" w:cs="Calibri" w:hint="eastAsia"/>
                <w:color w:val="1F497D"/>
                <w:sz w:val="21"/>
                <w:szCs w:val="21"/>
                <w:lang w:val="en-US" w:eastAsia="ko-KR"/>
              </w:rPr>
            </w:pPr>
            <w:r>
              <w:rPr>
                <w:rFonts w:ascii="Calibri" w:eastAsia="맑은 고딕" w:hAnsi="Calibri" w:cs="Calibri" w:hint="eastAsia"/>
                <w:color w:val="1F497D"/>
                <w:sz w:val="21"/>
                <w:szCs w:val="21"/>
                <w:lang w:val="en-US" w:eastAsia="ko-KR"/>
              </w:rPr>
              <w:t xml:space="preserve">Option B. </w:t>
            </w:r>
          </w:p>
        </w:tc>
      </w:tr>
    </w:tbl>
    <w:p w14:paraId="58B279F7" w14:textId="77777777" w:rsidR="0023321F" w:rsidRDefault="0023321F">
      <w:pPr>
        <w:rPr>
          <w:rFonts w:ascii="Calibri" w:hAnsi="Calibri" w:cs="Calibri"/>
          <w:color w:val="1F497D"/>
          <w:sz w:val="21"/>
          <w:szCs w:val="21"/>
          <w:lang w:val="en-US" w:eastAsia="zh-CN"/>
        </w:rPr>
      </w:pPr>
    </w:p>
    <w:p w14:paraId="51FDEC0B" w14:textId="77777777"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14:paraId="155550BE" w14:textId="77777777" w:rsidR="00DE79A7" w:rsidRDefault="00DE79A7" w:rsidP="003C33EC">
      <w:pPr>
        <w:outlineLvl w:val="0"/>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lastRenderedPageBreak/>
        <w:t>3. What’s the node level info provided to EASDF? Is it same as the EDI from AF?</w:t>
      </w:r>
    </w:p>
    <w:p w14:paraId="05074E56"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firstRow="1" w:lastRow="0" w:firstColumn="1" w:lastColumn="0" w:noHBand="0" w:noVBand="1"/>
      </w:tblPr>
      <w:tblGrid>
        <w:gridCol w:w="5174"/>
        <w:gridCol w:w="3878"/>
      </w:tblGrid>
      <w:tr w:rsidR="00DE79A7" w14:paraId="0507FA5D" w14:textId="7777777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54ED6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3FF5A"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14:paraId="667A9581"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C6D0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438F2B3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14:paraId="3E6AF853"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6679C"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618174C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14:paraId="28C55ACD" w14:textId="77777777" w:rsidR="00DE79A7" w:rsidRDefault="00DE79A7" w:rsidP="00DE79A7">
      <w:pPr>
        <w:rPr>
          <w:rFonts w:ascii="Calibri" w:hAnsi="Calibri" w:cs="Calibri"/>
          <w:color w:val="1F497D"/>
          <w:sz w:val="21"/>
          <w:szCs w:val="21"/>
          <w:lang w:val="en-US" w:eastAsia="zh-CN"/>
        </w:rPr>
      </w:pPr>
    </w:p>
    <w:p w14:paraId="36392B5D" w14:textId="77777777" w:rsidR="003132B6" w:rsidRDefault="003132B6" w:rsidP="003132B6">
      <w:pPr>
        <w:pStyle w:val="a3"/>
        <w:ind w:left="360" w:firstLine="0"/>
        <w:rPr>
          <w:rFonts w:ascii="Calibri" w:hAnsi="Calibri" w:cs="Calibri"/>
          <w:color w:val="1F497D"/>
          <w:sz w:val="21"/>
          <w:szCs w:val="21"/>
          <w:lang w:val="en-US" w:eastAsia="zh-CN"/>
        </w:rPr>
      </w:pPr>
    </w:p>
    <w:tbl>
      <w:tblPr>
        <w:tblStyle w:val="a4"/>
        <w:tblW w:w="0" w:type="auto"/>
        <w:tblLook w:val="04A0" w:firstRow="1" w:lastRow="0" w:firstColumn="1" w:lastColumn="0" w:noHBand="0" w:noVBand="1"/>
      </w:tblPr>
      <w:tblGrid>
        <w:gridCol w:w="1555"/>
        <w:gridCol w:w="7507"/>
      </w:tblGrid>
      <w:tr w:rsidR="003132B6" w14:paraId="6655BDA4" w14:textId="77777777" w:rsidTr="00167531">
        <w:tc>
          <w:tcPr>
            <w:tcW w:w="1555" w:type="dxa"/>
          </w:tcPr>
          <w:p w14:paraId="4A414DCD" w14:textId="77777777" w:rsidR="003132B6" w:rsidRDefault="003132B6"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46528218" w14:textId="77777777" w:rsidR="003132B6" w:rsidRDefault="0023321F" w:rsidP="00167531">
            <w:pPr>
              <w:rPr>
                <w:rFonts w:ascii="Calibri" w:hAnsi="Calibri" w:cs="Calibri"/>
                <w:color w:val="1F497D"/>
                <w:sz w:val="21"/>
                <w:szCs w:val="21"/>
                <w:lang w:val="en-US" w:eastAsia="zh-CN"/>
              </w:rPr>
            </w:pPr>
            <w:r>
              <w:rPr>
                <w:rFonts w:ascii="Calibri" w:hAnsi="Calibri" w:cs="Calibri"/>
                <w:color w:val="1F497D"/>
                <w:sz w:val="21"/>
                <w:szCs w:val="21"/>
                <w:lang w:val="en-US" w:eastAsia="zh-CN"/>
              </w:rPr>
              <w:t>Perfer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14:paraId="227DC0A1" w14:textId="77777777" w:rsidTr="00167531">
        <w:tc>
          <w:tcPr>
            <w:tcW w:w="1555" w:type="dxa"/>
          </w:tcPr>
          <w:p w14:paraId="02591E24"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Ericssson</w:t>
            </w:r>
          </w:p>
        </w:tc>
        <w:tc>
          <w:tcPr>
            <w:tcW w:w="7507" w:type="dxa"/>
          </w:tcPr>
          <w:p w14:paraId="2FE5EB39" w14:textId="77777777"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14:paraId="3D9C31DC" w14:textId="77777777" w:rsidTr="00167531">
        <w:tc>
          <w:tcPr>
            <w:tcW w:w="1555" w:type="dxa"/>
          </w:tcPr>
          <w:p w14:paraId="4D539F94"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C1DC85C"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14:paraId="5A18834E" w14:textId="77777777" w:rsidTr="00167531">
        <w:tc>
          <w:tcPr>
            <w:tcW w:w="1555" w:type="dxa"/>
          </w:tcPr>
          <w:p w14:paraId="2C31A6D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07DAE28C"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14:paraId="7331D72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Node Level Information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14:paraId="19BA0A1F" w14:textId="77777777" w:rsidTr="00167531">
        <w:tc>
          <w:tcPr>
            <w:tcW w:w="1555" w:type="dxa"/>
          </w:tcPr>
          <w:p w14:paraId="79723CBF" w14:textId="77777777" w:rsidR="0023321F" w:rsidRDefault="003B3BAF"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Z</w:t>
            </w:r>
            <w:r>
              <w:rPr>
                <w:rFonts w:ascii="Calibri" w:hAnsi="Calibri" w:cs="Calibri"/>
                <w:color w:val="1F497D"/>
                <w:sz w:val="21"/>
                <w:szCs w:val="21"/>
                <w:lang w:val="en-US" w:eastAsia="zh-CN"/>
              </w:rPr>
              <w:t>TE</w:t>
            </w:r>
          </w:p>
        </w:tc>
        <w:tc>
          <w:tcPr>
            <w:tcW w:w="7507" w:type="dxa"/>
          </w:tcPr>
          <w:p w14:paraId="2E915D6E" w14:textId="77777777" w:rsidR="0023321F" w:rsidRDefault="001D1A5C"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B. Session level DNS handling rules is used to identify the DNS traffic and related handling rule, while the node level information is used to identify the local DNS server per S-NSSAI/DNN/DNAI</w:t>
            </w:r>
            <w:r>
              <w:rPr>
                <w:rFonts w:ascii="Calibri" w:hAnsi="Calibri" w:cs="Calibri" w:hint="eastAsia"/>
                <w:color w:val="1F497D"/>
                <w:sz w:val="21"/>
                <w:szCs w:val="21"/>
                <w:lang w:val="en-US" w:eastAsia="zh-CN"/>
              </w:rPr>
              <w:t>.</w:t>
            </w:r>
            <w:r>
              <w:rPr>
                <w:rFonts w:ascii="Calibri" w:hAnsi="Calibri" w:cs="Calibri"/>
                <w:color w:val="1F497D"/>
                <w:sz w:val="21"/>
                <w:szCs w:val="21"/>
                <w:lang w:val="en-US" w:eastAsia="zh-CN"/>
              </w:rPr>
              <w:t xml:space="preserve"> They have different purposes.</w:t>
            </w:r>
          </w:p>
        </w:tc>
      </w:tr>
      <w:tr w:rsidR="0023321F" w14:paraId="2F9085A4" w14:textId="77777777" w:rsidTr="00167531">
        <w:tc>
          <w:tcPr>
            <w:tcW w:w="1555" w:type="dxa"/>
          </w:tcPr>
          <w:p w14:paraId="112313D7" w14:textId="7777777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v</w:t>
            </w:r>
            <w:r>
              <w:rPr>
                <w:rFonts w:ascii="Calibri" w:hAnsi="Calibri" w:cs="Calibri"/>
                <w:color w:val="1F497D"/>
                <w:sz w:val="21"/>
                <w:szCs w:val="21"/>
                <w:lang w:val="en-US" w:eastAsia="zh-CN"/>
              </w:rPr>
              <w:t>ivo</w:t>
            </w:r>
          </w:p>
        </w:tc>
        <w:tc>
          <w:tcPr>
            <w:tcW w:w="7507" w:type="dxa"/>
          </w:tcPr>
          <w:p w14:paraId="09BCEB03" w14:textId="77777777" w:rsidR="0023321F" w:rsidRDefault="00D85A63"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 xml:space="preserve">ption C, what the EDI provided to 5GC, the most important is local DNS  server IP and per DNAI information. These node level information can also impact to SMF to trigger user plane configuration, and there don’t see any issues that design a new one. </w:t>
            </w:r>
          </w:p>
        </w:tc>
      </w:tr>
      <w:tr w:rsidR="0023321F" w14:paraId="12286FA3" w14:textId="77777777" w:rsidTr="00167531">
        <w:tc>
          <w:tcPr>
            <w:tcW w:w="1555" w:type="dxa"/>
          </w:tcPr>
          <w:p w14:paraId="5663BD38" w14:textId="77777777"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T</w:t>
            </w:r>
            <w:r>
              <w:rPr>
                <w:rFonts w:ascii="Calibri" w:hAnsi="Calibri" w:cs="Calibri"/>
                <w:color w:val="1F497D"/>
                <w:sz w:val="21"/>
                <w:szCs w:val="21"/>
                <w:lang w:val="en-US" w:eastAsia="zh-CN"/>
              </w:rPr>
              <w:t>encent</w:t>
            </w:r>
          </w:p>
        </w:tc>
        <w:tc>
          <w:tcPr>
            <w:tcW w:w="7507" w:type="dxa"/>
          </w:tcPr>
          <w:p w14:paraId="4B5EE29D" w14:textId="77777777" w:rsidR="0023321F" w:rsidRDefault="00C64740" w:rsidP="0023321F">
            <w:pPr>
              <w:rPr>
                <w:rFonts w:ascii="Calibri" w:hAnsi="Calibri" w:cs="Calibri"/>
                <w:color w:val="1F497D"/>
                <w:sz w:val="21"/>
                <w:szCs w:val="21"/>
                <w:lang w:val="en-US" w:eastAsia="zh-CN"/>
              </w:rPr>
            </w:pPr>
            <w:r>
              <w:rPr>
                <w:rFonts w:ascii="Calibri" w:hAnsi="Calibri" w:cs="Calibri" w:hint="eastAsia"/>
                <w:color w:val="1F497D"/>
                <w:sz w:val="21"/>
                <w:szCs w:val="21"/>
                <w:lang w:val="en-US" w:eastAsia="zh-CN"/>
              </w:rPr>
              <w:t>O</w:t>
            </w:r>
            <w:r>
              <w:rPr>
                <w:rFonts w:ascii="Calibri" w:hAnsi="Calibri" w:cs="Calibri"/>
                <w:color w:val="1F497D"/>
                <w:sz w:val="21"/>
                <w:szCs w:val="21"/>
                <w:lang w:val="en-US" w:eastAsia="zh-CN"/>
              </w:rPr>
              <w:t>ption C</w:t>
            </w:r>
            <w:r w:rsidR="00361820">
              <w:rPr>
                <w:rFonts w:ascii="Calibri" w:hAnsi="Calibri" w:cs="Calibri"/>
                <w:color w:val="1F497D"/>
                <w:sz w:val="21"/>
                <w:szCs w:val="21"/>
                <w:lang w:val="en-US" w:eastAsia="zh-CN"/>
              </w:rPr>
              <w:t xml:space="preserve"> with some clarification</w:t>
            </w:r>
            <w:r>
              <w:rPr>
                <w:rFonts w:ascii="Calibri" w:hAnsi="Calibri" w:cs="Calibri"/>
                <w:color w:val="1F497D"/>
                <w:sz w:val="21"/>
                <w:szCs w:val="21"/>
                <w:lang w:val="en-US" w:eastAsia="zh-CN"/>
              </w:rPr>
              <w:t>. The node level rules could share the similar structure as the session level rules. However, some parameters within the rules can be different, e.g., the source IP address is not needed in the node level rules.</w:t>
            </w:r>
            <w:r w:rsidR="00361820">
              <w:rPr>
                <w:rFonts w:ascii="Calibri" w:hAnsi="Calibri" w:cs="Calibri"/>
                <w:color w:val="1F497D"/>
                <w:sz w:val="21"/>
                <w:szCs w:val="21"/>
                <w:lang w:val="en-US" w:eastAsia="zh-CN"/>
              </w:rPr>
              <w:t xml:space="preserve"> </w:t>
            </w:r>
          </w:p>
        </w:tc>
      </w:tr>
      <w:tr w:rsidR="0023321F" w14:paraId="28DFA390" w14:textId="77777777" w:rsidTr="00167531">
        <w:tc>
          <w:tcPr>
            <w:tcW w:w="1555" w:type="dxa"/>
          </w:tcPr>
          <w:p w14:paraId="344F8872" w14:textId="4E0F0B11" w:rsidR="0023321F" w:rsidRDefault="009D4DD4"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Qualcomm</w:t>
            </w:r>
          </w:p>
        </w:tc>
        <w:tc>
          <w:tcPr>
            <w:tcW w:w="7507" w:type="dxa"/>
          </w:tcPr>
          <w:p w14:paraId="6A325B26" w14:textId="302ED7A2" w:rsidR="0023321F" w:rsidRDefault="009D4DD4"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with Ericsson's clarification seems enough.</w:t>
            </w:r>
          </w:p>
        </w:tc>
      </w:tr>
      <w:tr w:rsidR="00C25D42" w14:paraId="76E37A1F" w14:textId="77777777" w:rsidTr="00167531">
        <w:tc>
          <w:tcPr>
            <w:tcW w:w="1555" w:type="dxa"/>
          </w:tcPr>
          <w:p w14:paraId="3B1A888D" w14:textId="0F410A98" w:rsidR="00C25D42" w:rsidRPr="00C25D42" w:rsidRDefault="00C25D42" w:rsidP="0023321F">
            <w:pPr>
              <w:rPr>
                <w:rFonts w:ascii="Calibri" w:eastAsia="맑은 고딕" w:hAnsi="Calibri" w:cs="Calibri" w:hint="eastAsia"/>
                <w:color w:val="1F497D"/>
                <w:sz w:val="21"/>
                <w:szCs w:val="21"/>
                <w:lang w:val="en-US" w:eastAsia="ko-KR"/>
              </w:rPr>
            </w:pPr>
            <w:r>
              <w:rPr>
                <w:rFonts w:ascii="Calibri" w:eastAsia="맑은 고딕" w:hAnsi="Calibri" w:cs="Calibri" w:hint="eastAsia"/>
                <w:color w:val="1F497D"/>
                <w:sz w:val="21"/>
                <w:szCs w:val="21"/>
                <w:lang w:val="en-US" w:eastAsia="ko-KR"/>
              </w:rPr>
              <w:t>Samsung</w:t>
            </w:r>
          </w:p>
        </w:tc>
        <w:tc>
          <w:tcPr>
            <w:tcW w:w="7507" w:type="dxa"/>
          </w:tcPr>
          <w:p w14:paraId="03F55C52" w14:textId="7B056008" w:rsidR="00C25D42" w:rsidRPr="00C25D42" w:rsidRDefault="00C25D42" w:rsidP="0023321F">
            <w:pPr>
              <w:rPr>
                <w:rFonts w:ascii="Calibri" w:eastAsia="맑은 고딕" w:hAnsi="Calibri" w:cs="Calibri" w:hint="eastAsia"/>
                <w:color w:val="1F497D"/>
                <w:sz w:val="21"/>
                <w:szCs w:val="21"/>
                <w:lang w:val="en-US" w:eastAsia="ko-KR"/>
              </w:rPr>
            </w:pPr>
            <w:r>
              <w:rPr>
                <w:rFonts w:ascii="Calibri" w:eastAsia="맑은 고딕" w:hAnsi="Calibri" w:cs="Calibri" w:hint="eastAsia"/>
                <w:color w:val="1F497D"/>
                <w:sz w:val="21"/>
                <w:szCs w:val="21"/>
                <w:lang w:val="en-US" w:eastAsia="ko-KR"/>
              </w:rPr>
              <w:t>Samsung solution is categorized as Option A, but Option C is also fine.</w:t>
            </w:r>
            <w:bookmarkStart w:id="0" w:name="_GoBack"/>
            <w:bookmarkEnd w:id="0"/>
          </w:p>
        </w:tc>
      </w:tr>
    </w:tbl>
    <w:p w14:paraId="26928E3A" w14:textId="77777777" w:rsidR="00DE79A7" w:rsidRDefault="00DE79A7"/>
    <w:p w14:paraId="5F670269" w14:textId="77777777" w:rsidR="00DE79A7" w:rsidRDefault="00DE79A7" w:rsidP="00DE79A7">
      <w:pPr>
        <w:rPr>
          <w:rFonts w:ascii="DengXian" w:eastAsia="DengXian" w:hAnsi="DengXian"/>
          <w:sz w:val="21"/>
          <w:szCs w:val="21"/>
          <w:lang w:val="en-US" w:eastAsia="zh-CN"/>
        </w:rPr>
      </w:pPr>
    </w:p>
    <w:sectPr w:rsidR="00DE79A7" w:rsidSect="00A449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938A1" w14:textId="77777777" w:rsidR="00AA5E01" w:rsidRDefault="00AA5E01" w:rsidP="003C33EC">
      <w:pPr>
        <w:spacing w:after="0" w:line="240" w:lineRule="auto"/>
      </w:pPr>
      <w:r>
        <w:separator/>
      </w:r>
    </w:p>
  </w:endnote>
  <w:endnote w:type="continuationSeparator" w:id="0">
    <w:p w14:paraId="32151D92" w14:textId="77777777" w:rsidR="00AA5E01" w:rsidRDefault="00AA5E01" w:rsidP="003C3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4F1B" w14:textId="77777777" w:rsidR="00AA5E01" w:rsidRDefault="00AA5E01" w:rsidP="003C33EC">
      <w:pPr>
        <w:spacing w:after="0" w:line="240" w:lineRule="auto"/>
      </w:pPr>
      <w:r>
        <w:separator/>
      </w:r>
    </w:p>
  </w:footnote>
  <w:footnote w:type="continuationSeparator" w:id="0">
    <w:p w14:paraId="35009D3F" w14:textId="77777777" w:rsidR="00AA5E01" w:rsidRDefault="00AA5E01" w:rsidP="003C3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A7"/>
    <w:rsid w:val="00167531"/>
    <w:rsid w:val="001B5932"/>
    <w:rsid w:val="001D1A5C"/>
    <w:rsid w:val="0023321F"/>
    <w:rsid w:val="003132B6"/>
    <w:rsid w:val="00316C2E"/>
    <w:rsid w:val="00361820"/>
    <w:rsid w:val="003B3BAF"/>
    <w:rsid w:val="003C33EC"/>
    <w:rsid w:val="00465B3B"/>
    <w:rsid w:val="004833F8"/>
    <w:rsid w:val="00635A5A"/>
    <w:rsid w:val="0068014A"/>
    <w:rsid w:val="00775BF6"/>
    <w:rsid w:val="009C073F"/>
    <w:rsid w:val="009D4DD4"/>
    <w:rsid w:val="00A44977"/>
    <w:rsid w:val="00A700EC"/>
    <w:rsid w:val="00AA5E01"/>
    <w:rsid w:val="00AF33F0"/>
    <w:rsid w:val="00B048B0"/>
    <w:rsid w:val="00B219B5"/>
    <w:rsid w:val="00C25D42"/>
    <w:rsid w:val="00C603CB"/>
    <w:rsid w:val="00C64740"/>
    <w:rsid w:val="00CC13EB"/>
    <w:rsid w:val="00D85A63"/>
    <w:rsid w:val="00DE79A7"/>
    <w:rsid w:val="00F170AC"/>
    <w:rsid w:val="00F6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85480D"/>
  <w15:docId w15:val="{2AC4C6ED-E00A-4063-824D-85A829E6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9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9A7"/>
    <w:pPr>
      <w:spacing w:after="0" w:line="240" w:lineRule="auto"/>
      <w:ind w:firstLine="420"/>
    </w:pPr>
    <w:rPr>
      <w:rFonts w:ascii="Arial" w:hAnsi="Arial" w:cs="Arial"/>
      <w:sz w:val="18"/>
      <w:szCs w:val="18"/>
      <w:lang w:eastAsia="ar-SA"/>
    </w:rPr>
  </w:style>
  <w:style w:type="table" w:styleId="a4">
    <w:name w:val="Table Grid"/>
    <w:basedOn w:val="a1"/>
    <w:uiPriority w:val="39"/>
    <w:rsid w:val="00DE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link w:val="Char"/>
    <w:uiPriority w:val="99"/>
    <w:semiHidden/>
    <w:unhideWhenUsed/>
    <w:rsid w:val="003C33EC"/>
    <w:rPr>
      <w:rFonts w:ascii="SimSun" w:eastAsia="SimSun"/>
      <w:sz w:val="18"/>
      <w:szCs w:val="18"/>
    </w:rPr>
  </w:style>
  <w:style w:type="character" w:customStyle="1" w:styleId="Char">
    <w:name w:val="문서 구조 Char"/>
    <w:basedOn w:val="a0"/>
    <w:link w:val="a5"/>
    <w:uiPriority w:val="99"/>
    <w:semiHidden/>
    <w:rsid w:val="003C33EC"/>
    <w:rPr>
      <w:rFonts w:ascii="SimSun" w:eastAsia="SimSun"/>
      <w:sz w:val="18"/>
      <w:szCs w:val="18"/>
    </w:rPr>
  </w:style>
  <w:style w:type="paragraph" w:styleId="a6">
    <w:name w:val="header"/>
    <w:basedOn w:val="a"/>
    <w:link w:val="Char0"/>
    <w:uiPriority w:val="99"/>
    <w:semiHidden/>
    <w:unhideWhenUsed/>
    <w:rsid w:val="003C33E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머리글 Char"/>
    <w:basedOn w:val="a0"/>
    <w:link w:val="a6"/>
    <w:uiPriority w:val="99"/>
    <w:semiHidden/>
    <w:rsid w:val="003C33EC"/>
    <w:rPr>
      <w:sz w:val="18"/>
      <w:szCs w:val="18"/>
    </w:rPr>
  </w:style>
  <w:style w:type="paragraph" w:styleId="a7">
    <w:name w:val="footer"/>
    <w:basedOn w:val="a"/>
    <w:link w:val="Char1"/>
    <w:uiPriority w:val="99"/>
    <w:semiHidden/>
    <w:unhideWhenUsed/>
    <w:rsid w:val="003C33EC"/>
    <w:pPr>
      <w:tabs>
        <w:tab w:val="center" w:pos="4153"/>
        <w:tab w:val="right" w:pos="8306"/>
      </w:tabs>
      <w:snapToGrid w:val="0"/>
      <w:spacing w:line="240" w:lineRule="auto"/>
    </w:pPr>
    <w:rPr>
      <w:sz w:val="18"/>
      <w:szCs w:val="18"/>
    </w:rPr>
  </w:style>
  <w:style w:type="character" w:customStyle="1" w:styleId="Char1">
    <w:name w:val="바닥글 Char"/>
    <w:basedOn w:val="a0"/>
    <w:link w:val="a7"/>
    <w:uiPriority w:val="99"/>
    <w:semiHidden/>
    <w:rsid w:val="003C33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LTHM1</dc:creator>
  <cp:lastModifiedBy>Samsung</cp:lastModifiedBy>
  <cp:revision>2</cp:revision>
  <dcterms:created xsi:type="dcterms:W3CDTF">2021-08-20T07:20:00Z</dcterms:created>
  <dcterms:modified xsi:type="dcterms:W3CDTF">2021-08-20T07:20:00Z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