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E521F9" w14:textId="2EC5F6C1" w:rsidR="006006BF" w:rsidRPr="005915EE" w:rsidRDefault="006006BF" w:rsidP="006006BF">
      <w:pPr>
        <w:keepLines/>
        <w:tabs>
          <w:tab w:val="right" w:pos="10440"/>
          <w:tab w:val="right" w:pos="13323"/>
        </w:tabs>
        <w:spacing w:after="0"/>
        <w:rPr>
          <w:rFonts w:ascii="Arial" w:eastAsia="SimSun" w:hAnsi="Arial" w:cs="Arial"/>
          <w:b/>
          <w:sz w:val="24"/>
          <w:szCs w:val="24"/>
          <w:lang w:val="en-US" w:eastAsia="zh-CN"/>
        </w:rPr>
      </w:pPr>
      <w:bookmarkStart w:id="0" w:name="Title"/>
      <w:bookmarkStart w:id="1" w:name="DocumentFor"/>
      <w:bookmarkStart w:id="2" w:name="_Toc2086442"/>
      <w:bookmarkEnd w:id="0"/>
      <w:bookmarkEnd w:id="1"/>
      <w:r w:rsidRPr="005915EE">
        <w:rPr>
          <w:rFonts w:ascii="Arial" w:eastAsia="MS Mincho" w:hAnsi="Arial" w:cs="Arial"/>
          <w:b/>
          <w:sz w:val="24"/>
          <w:szCs w:val="24"/>
          <w:lang w:val="en-US"/>
        </w:rPr>
        <w:t>3GPP TSG-RAN WG4 Meeting #</w:t>
      </w:r>
      <w:r w:rsidRPr="005915EE">
        <w:rPr>
          <w:rFonts w:eastAsia="MS Mincho"/>
          <w:lang w:val="en-US"/>
        </w:rPr>
        <w:t xml:space="preserve"> </w:t>
      </w:r>
      <w:r w:rsidRPr="005915EE">
        <w:rPr>
          <w:rFonts w:ascii="Arial" w:eastAsia="MS Mincho" w:hAnsi="Arial" w:cs="Arial"/>
          <w:b/>
          <w:sz w:val="24"/>
          <w:szCs w:val="24"/>
          <w:lang w:val="en-US"/>
        </w:rPr>
        <w:t>99-bis-e</w:t>
      </w:r>
      <w:r w:rsidRPr="005915EE" w:rsidDel="00277FAB">
        <w:rPr>
          <w:rFonts w:ascii="Arial" w:eastAsia="MS Mincho" w:hAnsi="Arial" w:cs="Arial"/>
          <w:b/>
          <w:sz w:val="24"/>
          <w:szCs w:val="24"/>
          <w:lang w:val="en-US"/>
        </w:rPr>
        <w:t xml:space="preserve"> </w:t>
      </w:r>
      <w:r w:rsidRPr="005915EE">
        <w:rPr>
          <w:rFonts w:ascii="Arial" w:eastAsia="MS Mincho" w:hAnsi="Arial" w:cs="Arial"/>
          <w:b/>
          <w:sz w:val="24"/>
          <w:szCs w:val="24"/>
          <w:lang w:val="en-US"/>
        </w:rPr>
        <w:tab/>
        <w:t>R4-21</w:t>
      </w:r>
      <w:r w:rsidR="004857D8">
        <w:rPr>
          <w:rFonts w:ascii="Arial" w:eastAsia="MS Mincho" w:hAnsi="Arial" w:cs="Arial"/>
          <w:b/>
          <w:sz w:val="24"/>
          <w:szCs w:val="24"/>
          <w:lang w:val="en-US"/>
        </w:rPr>
        <w:t>07330</w:t>
      </w:r>
    </w:p>
    <w:p w14:paraId="26550FD8" w14:textId="77777777" w:rsidR="006006BF" w:rsidRPr="005915EE" w:rsidRDefault="006006BF" w:rsidP="006006BF">
      <w:pPr>
        <w:tabs>
          <w:tab w:val="right" w:pos="9781"/>
          <w:tab w:val="right" w:pos="13323"/>
        </w:tabs>
        <w:spacing w:after="0"/>
        <w:outlineLvl w:val="0"/>
        <w:rPr>
          <w:rFonts w:ascii="Arial" w:eastAsia="SimSun" w:hAnsi="Arial"/>
          <w:b/>
          <w:sz w:val="24"/>
          <w:szCs w:val="24"/>
          <w:lang w:val="en-US" w:eastAsia="zh-CN"/>
        </w:rPr>
      </w:pPr>
      <w:r w:rsidRPr="005915EE">
        <w:rPr>
          <w:rFonts w:ascii="Arial" w:eastAsia="SimSun" w:hAnsi="Arial"/>
          <w:b/>
          <w:sz w:val="24"/>
          <w:szCs w:val="24"/>
          <w:lang w:val="en-US" w:eastAsia="zh-CN"/>
        </w:rPr>
        <w:t>Electronic Meeting, April 12-20, 2021</w:t>
      </w:r>
    </w:p>
    <w:p w14:paraId="284DA8C3" w14:textId="77777777" w:rsidR="006006BF" w:rsidRPr="005915EE" w:rsidRDefault="006006BF" w:rsidP="006006BF">
      <w:pPr>
        <w:tabs>
          <w:tab w:val="left" w:pos="2820"/>
        </w:tabs>
        <w:spacing w:after="120"/>
        <w:rPr>
          <w:rFonts w:ascii="Arial" w:eastAsia="MS Mincho" w:hAnsi="Arial" w:cs="Arial"/>
          <w:b/>
          <w:lang w:val="en-US"/>
        </w:rPr>
      </w:pPr>
      <w:r w:rsidRPr="005915EE">
        <w:rPr>
          <w:rFonts w:ascii="Arial" w:eastAsia="MS Mincho" w:hAnsi="Arial" w:cs="Arial"/>
          <w:b/>
          <w:lang w:val="en-US"/>
        </w:rPr>
        <w:tab/>
      </w:r>
      <w:r w:rsidRPr="005915EE">
        <w:rPr>
          <w:rFonts w:ascii="Arial" w:eastAsia="MS Mincho" w:hAnsi="Arial" w:cs="Arial"/>
          <w:b/>
          <w:lang w:val="en-US"/>
        </w:rPr>
        <w:tab/>
      </w:r>
    </w:p>
    <w:p w14:paraId="46500BC5" w14:textId="341404B0" w:rsidR="006006BF" w:rsidRPr="005915EE" w:rsidRDefault="006006BF" w:rsidP="006006BF">
      <w:pPr>
        <w:spacing w:after="120"/>
        <w:ind w:left="1985" w:hanging="1985"/>
        <w:rPr>
          <w:rFonts w:ascii="Arial" w:eastAsia="MS Mincho" w:hAnsi="Arial" w:cs="Arial"/>
          <w:bCs/>
          <w:lang w:val="en-US" w:eastAsia="ja-JP"/>
        </w:rPr>
      </w:pPr>
      <w:r w:rsidRPr="005915EE">
        <w:rPr>
          <w:rFonts w:ascii="Arial" w:eastAsia="MS Mincho" w:hAnsi="Arial" w:cs="Arial"/>
          <w:b/>
          <w:lang w:val="en-US"/>
        </w:rPr>
        <w:t>Source:</w:t>
      </w:r>
      <w:r w:rsidRPr="005915EE">
        <w:rPr>
          <w:rFonts w:ascii="Arial" w:eastAsia="MS Mincho" w:hAnsi="Arial" w:cs="Arial"/>
          <w:b/>
          <w:lang w:val="en-US"/>
        </w:rPr>
        <w:tab/>
      </w:r>
      <w:r w:rsidRPr="005915EE">
        <w:rPr>
          <w:rFonts w:ascii="Arial" w:eastAsia="MS Mincho" w:hAnsi="Arial" w:cs="Arial"/>
          <w:bCs/>
          <w:lang w:val="en-US" w:eastAsia="ja-JP"/>
        </w:rPr>
        <w:t>T-Mobile USA</w:t>
      </w:r>
      <w:r w:rsidR="00E173E1">
        <w:rPr>
          <w:rFonts w:ascii="Arial" w:eastAsia="MS Mincho" w:hAnsi="Arial" w:cs="Arial"/>
          <w:bCs/>
          <w:lang w:val="en-US" w:eastAsia="ja-JP"/>
        </w:rPr>
        <w:t>, Qualcomm</w:t>
      </w:r>
    </w:p>
    <w:p w14:paraId="07E0509F" w14:textId="0934586E" w:rsidR="006006BF" w:rsidRPr="005915EE" w:rsidRDefault="006006BF" w:rsidP="006006BF">
      <w:pPr>
        <w:spacing w:after="120"/>
        <w:ind w:left="1985" w:hanging="1985"/>
        <w:rPr>
          <w:rFonts w:ascii="Arial" w:eastAsia="MS Mincho" w:hAnsi="Arial" w:cs="Arial"/>
          <w:b/>
          <w:lang w:val="en-US" w:eastAsia="ja-JP"/>
        </w:rPr>
      </w:pPr>
      <w:r w:rsidRPr="005915EE">
        <w:rPr>
          <w:rFonts w:ascii="Arial" w:eastAsia="MS Mincho" w:hAnsi="Arial" w:cs="Arial"/>
          <w:b/>
          <w:lang w:val="en-US"/>
        </w:rPr>
        <w:t>Title:</w:t>
      </w:r>
      <w:r w:rsidRPr="005915EE">
        <w:rPr>
          <w:rFonts w:ascii="Arial" w:eastAsia="MS Mincho" w:hAnsi="Arial" w:cs="Arial"/>
          <w:b/>
          <w:lang w:val="en-US"/>
        </w:rPr>
        <w:tab/>
      </w:r>
      <w:r w:rsidR="00BF2D95">
        <w:rPr>
          <w:rFonts w:ascii="Arial" w:eastAsia="MS Mincho" w:hAnsi="Arial" w:cs="Arial"/>
          <w:lang w:val="en-US" w:eastAsia="ja-JP"/>
        </w:rPr>
        <w:t>NB-IoT</w:t>
      </w:r>
      <w:r w:rsidR="0034301C">
        <w:rPr>
          <w:rFonts w:ascii="Arial" w:eastAsia="MS Mincho" w:hAnsi="Arial" w:cs="Arial"/>
          <w:lang w:val="en-US" w:eastAsia="ja-JP"/>
        </w:rPr>
        <w:t xml:space="preserve"> T</w:t>
      </w:r>
      <w:r w:rsidR="00BF2D95">
        <w:rPr>
          <w:rFonts w:ascii="Arial" w:eastAsia="MS Mincho" w:hAnsi="Arial" w:cs="Arial"/>
          <w:lang w:val="en-US" w:eastAsia="ja-JP"/>
        </w:rPr>
        <w:t>esting</w:t>
      </w:r>
      <w:r w:rsidR="001919CD">
        <w:rPr>
          <w:rFonts w:ascii="Arial" w:eastAsia="MS Mincho" w:hAnsi="Arial" w:cs="Arial"/>
          <w:lang w:val="en-US" w:eastAsia="ja-JP"/>
        </w:rPr>
        <w:t xml:space="preserve"> </w:t>
      </w:r>
    </w:p>
    <w:p w14:paraId="4381A540" w14:textId="08C8C5FF" w:rsidR="006006BF" w:rsidRPr="005915EE" w:rsidRDefault="006006BF" w:rsidP="006006BF">
      <w:pPr>
        <w:spacing w:after="120"/>
        <w:ind w:left="1985" w:hanging="1985"/>
        <w:rPr>
          <w:rFonts w:ascii="Arial" w:eastAsia="MS Mincho" w:hAnsi="Arial" w:cs="Arial"/>
          <w:bCs/>
          <w:lang w:val="pt-BR" w:eastAsia="ja-JP"/>
        </w:rPr>
      </w:pPr>
      <w:r w:rsidRPr="005915EE">
        <w:rPr>
          <w:rFonts w:ascii="Arial" w:eastAsia="MS Mincho" w:hAnsi="Arial" w:cs="Arial"/>
          <w:b/>
          <w:lang w:val="pt-BR"/>
        </w:rPr>
        <w:t>Agenda item:</w:t>
      </w:r>
      <w:r w:rsidRPr="005915EE">
        <w:rPr>
          <w:rFonts w:ascii="Arial" w:eastAsia="MS Mincho" w:hAnsi="Arial" w:cs="Arial"/>
          <w:b/>
          <w:lang w:val="pt-BR"/>
        </w:rPr>
        <w:tab/>
      </w:r>
      <w:r w:rsidR="004A7647">
        <w:rPr>
          <w:rFonts w:ascii="Arial" w:eastAsia="MS Mincho" w:hAnsi="Arial" w:cs="Arial"/>
          <w:lang w:val="pt-BR"/>
        </w:rPr>
        <w:t>14</w:t>
      </w:r>
    </w:p>
    <w:p w14:paraId="5FAD58A5" w14:textId="77777777" w:rsidR="006006BF" w:rsidRPr="005915EE" w:rsidRDefault="006006BF" w:rsidP="006006BF">
      <w:pPr>
        <w:spacing w:after="120"/>
        <w:ind w:left="1985" w:hanging="1985"/>
        <w:rPr>
          <w:rFonts w:ascii="Arial" w:eastAsia="MS Mincho" w:hAnsi="Arial" w:cs="Arial"/>
          <w:bCs/>
          <w:lang w:val="en-US" w:eastAsia="ja-JP"/>
        </w:rPr>
      </w:pPr>
      <w:r w:rsidRPr="005915EE">
        <w:rPr>
          <w:rFonts w:ascii="Arial" w:eastAsia="MS Mincho" w:hAnsi="Arial" w:cs="Arial"/>
          <w:b/>
          <w:lang w:val="en-US"/>
        </w:rPr>
        <w:t>Document for:</w:t>
      </w:r>
      <w:r w:rsidRPr="005915EE">
        <w:rPr>
          <w:rFonts w:ascii="Arial" w:eastAsia="MS Mincho" w:hAnsi="Arial" w:cs="Arial"/>
          <w:b/>
          <w:lang w:val="en-US"/>
        </w:rPr>
        <w:tab/>
      </w:r>
      <w:r w:rsidRPr="005915EE">
        <w:rPr>
          <w:rFonts w:ascii="Arial" w:eastAsia="MS Mincho" w:hAnsi="Arial" w:cs="Arial" w:hint="eastAsia"/>
          <w:bCs/>
          <w:lang w:val="en-US" w:eastAsia="ja-JP"/>
        </w:rPr>
        <w:t>Approval</w:t>
      </w:r>
    </w:p>
    <w:p w14:paraId="182EAE53" w14:textId="77777777" w:rsidR="006006BF" w:rsidRPr="005915EE" w:rsidRDefault="006006BF" w:rsidP="006006BF">
      <w:pPr>
        <w:keepNext/>
        <w:keepLines/>
        <w:pBdr>
          <w:top w:val="single" w:sz="12" w:space="3" w:color="auto"/>
        </w:pBdr>
        <w:spacing w:before="240"/>
        <w:ind w:left="1134" w:hanging="1134"/>
        <w:outlineLvl w:val="0"/>
        <w:rPr>
          <w:rFonts w:ascii="Arial" w:hAnsi="Arial"/>
          <w:sz w:val="36"/>
        </w:rPr>
      </w:pPr>
      <w:r w:rsidRPr="005915EE">
        <w:rPr>
          <w:rFonts w:ascii="Arial" w:hAnsi="Arial"/>
          <w:sz w:val="36"/>
        </w:rPr>
        <w:t>1</w:t>
      </w:r>
      <w:r w:rsidRPr="005915EE">
        <w:rPr>
          <w:rFonts w:ascii="Arial" w:hAnsi="Arial"/>
          <w:sz w:val="36"/>
        </w:rPr>
        <w:tab/>
        <w:t>Introduction</w:t>
      </w:r>
    </w:p>
    <w:p w14:paraId="2FAD5928" w14:textId="3CBE3A80" w:rsidR="000557DF" w:rsidRPr="005915EE" w:rsidRDefault="00BF2D95" w:rsidP="006006BF">
      <w:pPr>
        <w:rPr>
          <w:lang w:val="en-US"/>
        </w:rPr>
      </w:pPr>
      <w:r>
        <w:rPr>
          <w:lang w:val="en-US"/>
        </w:rPr>
        <w:t>In August 2020</w:t>
      </w:r>
      <w:r w:rsidR="001F6FF2">
        <w:rPr>
          <w:lang w:val="en-US"/>
        </w:rPr>
        <w:t xml:space="preserve"> at RAN4#96e</w:t>
      </w:r>
      <w:r w:rsidR="004E3FAC">
        <w:rPr>
          <w:lang w:val="en-US"/>
        </w:rPr>
        <w:t>,</w:t>
      </w:r>
      <w:r>
        <w:rPr>
          <w:lang w:val="en-US"/>
        </w:rPr>
        <w:t xml:space="preserve"> </w:t>
      </w:r>
      <w:r w:rsidR="004C010D">
        <w:rPr>
          <w:lang w:val="en-US"/>
        </w:rPr>
        <w:t xml:space="preserve">RAN4 sent an LS to the FCC asking for clarification on testing issues related to NB-IoT </w:t>
      </w:r>
      <w:r w:rsidR="00CD3F09">
        <w:rPr>
          <w:lang w:val="en-US"/>
        </w:rPr>
        <w:t>device certification</w:t>
      </w:r>
      <w:r w:rsidR="0088791F">
        <w:rPr>
          <w:lang w:val="en-US"/>
        </w:rPr>
        <w:t xml:space="preserve"> and devices that have been failing certification testing</w:t>
      </w:r>
      <w:r w:rsidR="00CD3F09">
        <w:rPr>
          <w:lang w:val="en-US"/>
        </w:rPr>
        <w:t>. On March 31, 2021 there was a call between the FCC, T-Mobile USA and Qualcomm to discuss the LS</w:t>
      </w:r>
      <w:r w:rsidR="00B447FE">
        <w:rPr>
          <w:lang w:val="en-US"/>
        </w:rPr>
        <w:t>. This document is providing information to RAN4 about the feedback from the FCC</w:t>
      </w:r>
      <w:r w:rsidR="003D31B3">
        <w:rPr>
          <w:lang w:val="en-US"/>
        </w:rPr>
        <w:t>.</w:t>
      </w:r>
      <w:r w:rsidR="00B447FE">
        <w:rPr>
          <w:lang w:val="en-US"/>
        </w:rPr>
        <w:t xml:space="preserve"> </w:t>
      </w:r>
    </w:p>
    <w:p w14:paraId="7697A47F" w14:textId="77777777" w:rsidR="006006BF" w:rsidRPr="005915EE" w:rsidRDefault="006006BF" w:rsidP="006006BF">
      <w:pPr>
        <w:keepNext/>
        <w:keepLines/>
        <w:pBdr>
          <w:top w:val="single" w:sz="12" w:space="3" w:color="auto"/>
        </w:pBdr>
        <w:spacing w:before="240"/>
        <w:ind w:left="1134" w:hanging="1134"/>
        <w:outlineLvl w:val="0"/>
        <w:rPr>
          <w:rFonts w:ascii="Arial" w:hAnsi="Arial"/>
          <w:sz w:val="36"/>
          <w:lang w:val="en-US"/>
        </w:rPr>
      </w:pPr>
      <w:r w:rsidRPr="005915EE">
        <w:rPr>
          <w:rFonts w:ascii="Arial" w:hAnsi="Arial"/>
          <w:sz w:val="36"/>
          <w:lang w:val="en-US"/>
        </w:rPr>
        <w:t>2</w:t>
      </w:r>
      <w:r w:rsidRPr="005915EE">
        <w:rPr>
          <w:rFonts w:ascii="Arial" w:hAnsi="Arial"/>
          <w:sz w:val="36"/>
          <w:lang w:val="en-US"/>
        </w:rPr>
        <w:tab/>
        <w:t>Discussion</w:t>
      </w:r>
    </w:p>
    <w:p w14:paraId="0A4DF902" w14:textId="76FBCC63" w:rsidR="007A6CB3" w:rsidRDefault="007A6CB3" w:rsidP="006006BF">
      <w:pPr>
        <w:rPr>
          <w:bCs/>
          <w:lang w:eastAsia="ko-KR"/>
        </w:rPr>
      </w:pPr>
      <w:bookmarkStart w:id="3" w:name="_Hlk40391733"/>
      <w:bookmarkStart w:id="4" w:name="_Hlk47712237"/>
      <w:r>
        <w:rPr>
          <w:bCs/>
          <w:lang w:eastAsia="ko-KR"/>
        </w:rPr>
        <w:t xml:space="preserve">The LS to the FCC contained five questions related to NB-IoT testing. </w:t>
      </w:r>
      <w:r w:rsidR="007A2E38">
        <w:rPr>
          <w:bCs/>
          <w:lang w:eastAsia="ko-KR"/>
        </w:rPr>
        <w:t>On the call with Qualcomm and T-Mobile USA, the FCC said that they would not be providing a written response to the LS, but that they could provide us with some verbal responses</w:t>
      </w:r>
      <w:r w:rsidR="00B73442">
        <w:rPr>
          <w:bCs/>
          <w:lang w:eastAsia="ko-KR"/>
        </w:rPr>
        <w:t xml:space="preserve"> to the first two questions. They said that the 3</w:t>
      </w:r>
      <w:r w:rsidR="00B73442" w:rsidRPr="00B73442">
        <w:rPr>
          <w:bCs/>
          <w:vertAlign w:val="superscript"/>
          <w:lang w:eastAsia="ko-KR"/>
        </w:rPr>
        <w:t>rd</w:t>
      </w:r>
      <w:r w:rsidR="00B73442">
        <w:rPr>
          <w:bCs/>
          <w:lang w:eastAsia="ko-KR"/>
        </w:rPr>
        <w:t>, 4</w:t>
      </w:r>
      <w:r w:rsidR="00B73442" w:rsidRPr="00B73442">
        <w:rPr>
          <w:bCs/>
          <w:vertAlign w:val="superscript"/>
          <w:lang w:eastAsia="ko-KR"/>
        </w:rPr>
        <w:t>th</w:t>
      </w:r>
      <w:r w:rsidR="00B73442">
        <w:rPr>
          <w:bCs/>
          <w:lang w:eastAsia="ko-KR"/>
        </w:rPr>
        <w:t xml:space="preserve"> and 5</w:t>
      </w:r>
      <w:r w:rsidR="00B73442" w:rsidRPr="00B73442">
        <w:rPr>
          <w:bCs/>
          <w:vertAlign w:val="superscript"/>
          <w:lang w:eastAsia="ko-KR"/>
        </w:rPr>
        <w:t>th</w:t>
      </w:r>
      <w:r w:rsidR="00B73442">
        <w:rPr>
          <w:bCs/>
          <w:lang w:eastAsia="ko-KR"/>
        </w:rPr>
        <w:t xml:space="preserve"> questions would need to be worked through the FCC’s KDB process. </w:t>
      </w:r>
    </w:p>
    <w:p w14:paraId="6E021009" w14:textId="0E1CA61B" w:rsidR="0038030C" w:rsidRDefault="0038030C" w:rsidP="006006BF">
      <w:pPr>
        <w:rPr>
          <w:bCs/>
          <w:lang w:eastAsia="ko-KR"/>
        </w:rPr>
      </w:pPr>
      <w:r>
        <w:rPr>
          <w:bCs/>
          <w:lang w:eastAsia="ko-KR"/>
        </w:rPr>
        <w:t>The first question in the LS was on band 12</w:t>
      </w:r>
      <w:r w:rsidR="008E4A60">
        <w:rPr>
          <w:bCs/>
          <w:lang w:eastAsia="ko-KR"/>
        </w:rPr>
        <w:t>:</w:t>
      </w:r>
    </w:p>
    <w:p w14:paraId="389B7DB8" w14:textId="77777777" w:rsidR="0038030C" w:rsidRPr="0038030C" w:rsidRDefault="0038030C" w:rsidP="0038030C">
      <w:pPr>
        <w:numPr>
          <w:ilvl w:val="0"/>
          <w:numId w:val="9"/>
        </w:numPr>
        <w:spacing w:after="160" w:line="259" w:lineRule="auto"/>
        <w:contextualSpacing/>
        <w:jc w:val="both"/>
        <w:rPr>
          <w:rFonts w:eastAsia="Calibri"/>
          <w:szCs w:val="22"/>
          <w:lang w:val="en-US" w:eastAsia="zh-CN"/>
        </w:rPr>
      </w:pPr>
      <w:r w:rsidRPr="0038030C">
        <w:rPr>
          <w:rFonts w:eastAsia="Calibri"/>
          <w:b/>
          <w:bCs/>
          <w:szCs w:val="22"/>
          <w:lang w:val="en-US" w:eastAsia="zh-CN"/>
        </w:rPr>
        <w:t>Band 12</w:t>
      </w:r>
      <w:r w:rsidRPr="0038030C">
        <w:rPr>
          <w:rFonts w:eastAsia="Calibri"/>
          <w:szCs w:val="22"/>
          <w:lang w:val="en-US" w:eastAsia="zh-CN"/>
        </w:rPr>
        <w:t xml:space="preserve">: If an operator has a license for the lower 700 MHz A block (698-704 MHz uplink) and operates an NB-IoT network in 3GPP  Band 12 (699-716 MHz uplink), in the  requirement from 27.53 part (g) for 43 + 10 log (P) dB attenuation “in the 100 kilohertz bands immediately outside and adjacent to a licensee's frequency block, a resolution bandwidth of at least 30 kHz may be employed”, does “100kHz” apply at A block (698-704 MHz uplink), 3GPP Band 12 (699-716 MHz uplink), or FCC band 12 (698-716MHz uplink)? That is does the “100 kHz” refer to 697.9-698 MHz and 704.704.1MHz or 698.9-699MHz and 716-716.1MHz or 697.9-698 MHz and 716-716.1MHz? </w:t>
      </w:r>
    </w:p>
    <w:p w14:paraId="588D3C6E" w14:textId="6A2F5DF1" w:rsidR="0038030C" w:rsidRDefault="0038030C" w:rsidP="006006BF">
      <w:pPr>
        <w:rPr>
          <w:bCs/>
          <w:lang w:eastAsia="ko-KR"/>
        </w:rPr>
      </w:pPr>
    </w:p>
    <w:p w14:paraId="3633C988" w14:textId="03046B57" w:rsidR="001A4BC4" w:rsidRDefault="001A4BC4" w:rsidP="006006BF">
      <w:pPr>
        <w:rPr>
          <w:bCs/>
          <w:lang w:eastAsia="ko-KR"/>
        </w:rPr>
      </w:pPr>
      <w:r>
        <w:rPr>
          <w:bCs/>
          <w:lang w:eastAsia="ko-KR"/>
        </w:rPr>
        <w:t>The unofficial response can be summarized as follows:</w:t>
      </w:r>
    </w:p>
    <w:p w14:paraId="6543BE68" w14:textId="77777777" w:rsidR="001A4BC4" w:rsidRPr="001A4BC4" w:rsidRDefault="001A4BC4" w:rsidP="001A4BC4">
      <w:pPr>
        <w:spacing w:after="0"/>
        <w:ind w:left="720"/>
        <w:rPr>
          <w:rFonts w:ascii="Calibri" w:hAnsi="Calibri" w:cs="Calibri"/>
          <w:sz w:val="22"/>
          <w:szCs w:val="22"/>
        </w:rPr>
      </w:pPr>
      <w:r w:rsidRPr="001A4BC4">
        <w:rPr>
          <w:rFonts w:ascii="Calibri" w:hAnsi="Calibri" w:cs="Calibri"/>
          <w:sz w:val="22"/>
          <w:szCs w:val="22"/>
        </w:rPr>
        <w:t xml:space="preserve">The A block in Band 12 is from 698-704 MHz. If the licensee only has the A block, the first 100 kHz is below 698 MHz and above 704 MHz. If the licensee has two or three blocks, the rules apply at the edges of their combined blocks. The 3GPP band edges are not relevant when they don’t align with the FCC license edges. </w:t>
      </w:r>
    </w:p>
    <w:p w14:paraId="5B969CD4" w14:textId="3B9A8F8A" w:rsidR="001A4BC4" w:rsidRDefault="001A4BC4" w:rsidP="006006BF">
      <w:pPr>
        <w:rPr>
          <w:bCs/>
          <w:lang w:eastAsia="ko-KR"/>
        </w:rPr>
      </w:pPr>
    </w:p>
    <w:p w14:paraId="33817C8C" w14:textId="1AD71205" w:rsidR="008D6FE8" w:rsidRDefault="008D6FE8" w:rsidP="006006BF">
      <w:pPr>
        <w:rPr>
          <w:bCs/>
          <w:lang w:eastAsia="ko-KR"/>
        </w:rPr>
      </w:pPr>
      <w:r>
        <w:rPr>
          <w:bCs/>
          <w:lang w:eastAsia="ko-KR"/>
        </w:rPr>
        <w:t>The second question was about Band 13:</w:t>
      </w:r>
    </w:p>
    <w:p w14:paraId="305CE710" w14:textId="77777777" w:rsidR="008D6FE8" w:rsidRPr="008D6FE8" w:rsidRDefault="008D6FE8" w:rsidP="008D6FE8">
      <w:pPr>
        <w:numPr>
          <w:ilvl w:val="0"/>
          <w:numId w:val="9"/>
        </w:numPr>
        <w:spacing w:after="160" w:line="259" w:lineRule="auto"/>
        <w:contextualSpacing/>
        <w:rPr>
          <w:rFonts w:eastAsia="Calibri"/>
          <w:szCs w:val="22"/>
          <w:lang w:val="en-US" w:eastAsia="zh-CN"/>
        </w:rPr>
      </w:pPr>
      <w:r w:rsidRPr="008D6FE8">
        <w:rPr>
          <w:rFonts w:eastAsia="Calibri"/>
          <w:b/>
          <w:bCs/>
          <w:szCs w:val="22"/>
          <w:lang w:val="en-US" w:eastAsia="zh-CN"/>
        </w:rPr>
        <w:t>Band 13:</w:t>
      </w:r>
      <w:r w:rsidRPr="008D6FE8">
        <w:rPr>
          <w:rFonts w:eastAsia="Calibri"/>
          <w:szCs w:val="22"/>
          <w:lang w:val="en-US" w:eastAsia="zh-CN"/>
        </w:rPr>
        <w:t xml:space="preserve"> If an operator has a license for the upper 700 MHz C block (776-788 MHz uplink) and operates an NB-IoT network in 3GPP  Band 13 (777-787 MHz uplink), in the  requirement from 27.53 part (c) says </w:t>
      </w:r>
    </w:p>
    <w:p w14:paraId="77192627" w14:textId="77777777" w:rsidR="008D6FE8" w:rsidRPr="008D6FE8" w:rsidRDefault="008D6FE8" w:rsidP="008D6FE8">
      <w:pPr>
        <w:spacing w:after="160" w:line="259" w:lineRule="auto"/>
        <w:ind w:left="720"/>
        <w:contextualSpacing/>
        <w:rPr>
          <w:rFonts w:eastAsia="Calibri"/>
          <w:i/>
          <w:iCs/>
          <w:szCs w:val="22"/>
          <w:lang w:val="en-US" w:eastAsia="zh-CN"/>
        </w:rPr>
      </w:pPr>
      <w:r w:rsidRPr="008D6FE8">
        <w:rPr>
          <w:rFonts w:eastAsia="Calibri"/>
          <w:i/>
          <w:iCs/>
          <w:szCs w:val="22"/>
          <w:lang w:val="en-US" w:eastAsia="zh-CN"/>
        </w:rPr>
        <w:t xml:space="preserve">“(2) On any frequency outside the 776-788 MHz band, the power of any emission shall be attenuated outside the band below the transmitter power (P) by at least 43 + 10 log (P) dB;” </w:t>
      </w:r>
    </w:p>
    <w:p w14:paraId="1AD9A21A" w14:textId="77777777" w:rsidR="008D6FE8" w:rsidRPr="008D6FE8" w:rsidRDefault="008D6FE8" w:rsidP="008D6FE8">
      <w:pPr>
        <w:spacing w:after="160" w:line="259" w:lineRule="auto"/>
        <w:ind w:left="720"/>
        <w:contextualSpacing/>
        <w:rPr>
          <w:rFonts w:eastAsia="Calibri"/>
          <w:szCs w:val="22"/>
          <w:lang w:val="en-US" w:eastAsia="zh-CN"/>
        </w:rPr>
      </w:pPr>
      <w:r w:rsidRPr="008D6FE8">
        <w:rPr>
          <w:rFonts w:eastAsia="Calibri"/>
          <w:szCs w:val="22"/>
          <w:lang w:val="en-US" w:eastAsia="zh-CN"/>
        </w:rPr>
        <w:t xml:space="preserve">and </w:t>
      </w:r>
    </w:p>
    <w:p w14:paraId="2A2C83B5" w14:textId="77777777" w:rsidR="008D6FE8" w:rsidRPr="008D6FE8" w:rsidRDefault="008D6FE8" w:rsidP="008D6FE8">
      <w:pPr>
        <w:spacing w:after="160" w:line="259" w:lineRule="auto"/>
        <w:ind w:left="720"/>
        <w:contextualSpacing/>
        <w:rPr>
          <w:rFonts w:eastAsia="Calibri"/>
          <w:i/>
          <w:iCs/>
          <w:szCs w:val="22"/>
          <w:lang w:val="en-US" w:eastAsia="zh-CN"/>
        </w:rPr>
      </w:pPr>
      <w:r w:rsidRPr="008D6FE8">
        <w:rPr>
          <w:rFonts w:eastAsia="Calibri"/>
          <w:i/>
          <w:iCs/>
          <w:szCs w:val="22"/>
          <w:lang w:val="en-US" w:eastAsia="zh-CN"/>
        </w:rPr>
        <w:t>“(5) Compliance with the provisions of paragraphs (c)(1) and (c)(2) of this section is based on the use of measurement instrumentation employing a resolution bandwidth of 100 kHz or greater. However, in the 100 kHz bands immediately outside and adjacent to the frequency block, a resolution bandwidth of at least 30 kHz may be employed;”</w:t>
      </w:r>
    </w:p>
    <w:p w14:paraId="08C57C71" w14:textId="77777777" w:rsidR="008D6FE8" w:rsidRPr="008D6FE8" w:rsidRDefault="008D6FE8" w:rsidP="008D6FE8">
      <w:pPr>
        <w:spacing w:after="160" w:line="259" w:lineRule="auto"/>
        <w:ind w:left="720"/>
        <w:contextualSpacing/>
        <w:rPr>
          <w:rFonts w:eastAsia="Calibri"/>
          <w:szCs w:val="22"/>
          <w:lang w:val="en-US" w:eastAsia="zh-CN"/>
        </w:rPr>
      </w:pPr>
      <w:r w:rsidRPr="008D6FE8">
        <w:rPr>
          <w:rFonts w:eastAsia="Calibri"/>
          <w:szCs w:val="22"/>
          <w:lang w:val="en-US" w:eastAsia="zh-CN"/>
        </w:rPr>
        <w:t>Does the “100 kHz immediately outside and adjacent to the frequency block” refer to 785.9-786 MHz and 788-788.1 MHz or 776.9-777 and 787-787.1 MHz?</w:t>
      </w:r>
    </w:p>
    <w:p w14:paraId="1BBBD446" w14:textId="47DB1139" w:rsidR="001A4BC4" w:rsidRDefault="001A4BC4" w:rsidP="006006BF">
      <w:pPr>
        <w:rPr>
          <w:bCs/>
          <w:lang w:eastAsia="ko-KR"/>
        </w:rPr>
      </w:pPr>
    </w:p>
    <w:p w14:paraId="3A309585" w14:textId="403D7E99" w:rsidR="008D6FE8" w:rsidRDefault="008D6FE8" w:rsidP="006006BF">
      <w:pPr>
        <w:rPr>
          <w:bCs/>
          <w:lang w:eastAsia="ko-KR"/>
        </w:rPr>
      </w:pPr>
      <w:r>
        <w:rPr>
          <w:bCs/>
          <w:lang w:eastAsia="ko-KR"/>
        </w:rPr>
        <w:lastRenderedPageBreak/>
        <w:t>The unofficial response can be summarized as follows:</w:t>
      </w:r>
    </w:p>
    <w:p w14:paraId="60C345FA" w14:textId="77777777" w:rsidR="00A76424" w:rsidRPr="00A76424" w:rsidRDefault="00A76424" w:rsidP="00A76424">
      <w:pPr>
        <w:spacing w:after="0"/>
        <w:ind w:left="720"/>
        <w:rPr>
          <w:rFonts w:ascii="Calibri" w:hAnsi="Calibri" w:cs="Calibri"/>
          <w:sz w:val="22"/>
          <w:szCs w:val="22"/>
        </w:rPr>
      </w:pPr>
      <w:r w:rsidRPr="00A76424">
        <w:rPr>
          <w:rFonts w:ascii="Calibri" w:hAnsi="Calibri" w:cs="Calibri"/>
          <w:sz w:val="22"/>
          <w:szCs w:val="22"/>
        </w:rPr>
        <w:t xml:space="preserve">The FCC license is 776-787 MHz for the uplink. The 3GPP band is 777-787 MHz. The first 100 kHz is below 776 MHz and above 787 MHz for the uplink. </w:t>
      </w:r>
    </w:p>
    <w:p w14:paraId="3E606A34" w14:textId="77777777" w:rsidR="00A76424" w:rsidRPr="00A76424" w:rsidRDefault="00A76424" w:rsidP="00A76424">
      <w:pPr>
        <w:spacing w:after="0"/>
        <w:rPr>
          <w:rFonts w:ascii="Calibri" w:eastAsia="Calibri" w:hAnsi="Calibri" w:cs="Calibri"/>
          <w:sz w:val="22"/>
          <w:szCs w:val="22"/>
        </w:rPr>
      </w:pPr>
    </w:p>
    <w:p w14:paraId="122E967E" w14:textId="19C831AB" w:rsidR="008D6FE8" w:rsidRDefault="009C0EF7" w:rsidP="006006BF">
      <w:pPr>
        <w:rPr>
          <w:bCs/>
          <w:lang w:eastAsia="ko-KR"/>
        </w:rPr>
      </w:pPr>
      <w:r>
        <w:rPr>
          <w:bCs/>
          <w:lang w:eastAsia="ko-KR"/>
        </w:rPr>
        <w:t>For the final 3 questions</w:t>
      </w:r>
      <w:r w:rsidR="00A61FF6">
        <w:rPr>
          <w:bCs/>
          <w:lang w:eastAsia="ko-KR"/>
        </w:rPr>
        <w:t xml:space="preserve"> in the LS:</w:t>
      </w:r>
    </w:p>
    <w:p w14:paraId="5CD09DC0" w14:textId="77777777" w:rsidR="009C0EF7" w:rsidRPr="009C0EF7" w:rsidRDefault="009C0EF7" w:rsidP="009C0EF7">
      <w:pPr>
        <w:numPr>
          <w:ilvl w:val="0"/>
          <w:numId w:val="9"/>
        </w:numPr>
        <w:spacing w:after="160" w:line="259" w:lineRule="auto"/>
        <w:contextualSpacing/>
        <w:jc w:val="both"/>
        <w:rPr>
          <w:rFonts w:eastAsia="Calibri"/>
          <w:szCs w:val="22"/>
          <w:lang w:val="en-US" w:eastAsia="zh-CN"/>
        </w:rPr>
      </w:pPr>
      <w:r w:rsidRPr="009C0EF7">
        <w:rPr>
          <w:rFonts w:eastAsia="Calibri"/>
          <w:b/>
          <w:bCs/>
          <w:szCs w:val="22"/>
          <w:lang w:val="en-US" w:eastAsia="zh-CN"/>
        </w:rPr>
        <w:t>First measurement interval:</w:t>
      </w:r>
      <w:r w:rsidRPr="009C0EF7">
        <w:rPr>
          <w:rFonts w:eastAsia="Calibri"/>
          <w:szCs w:val="22"/>
          <w:lang w:val="en-US" w:eastAsia="zh-CN"/>
        </w:rPr>
        <w:t xml:space="preserve"> The FCC wording in 27.53 says “However, in the 100 kilohertz bands immediately outside and adjacent to a licensee's frequency block, a resolution bandwidth of at least 30 kHz may be employed.” When emissions are tested for the lower edge of Band 85 (698-716 MHz uplink), is the first 30 kHz measurement made in 697.97 to 698 MHz, or from 697.985 to 698.15 MHz? </w:t>
      </w:r>
    </w:p>
    <w:p w14:paraId="4A40BB78" w14:textId="77777777" w:rsidR="009C0EF7" w:rsidRPr="009C0EF7" w:rsidRDefault="009C0EF7" w:rsidP="009C0EF7">
      <w:pPr>
        <w:numPr>
          <w:ilvl w:val="0"/>
          <w:numId w:val="9"/>
        </w:numPr>
        <w:spacing w:after="160" w:line="259" w:lineRule="auto"/>
        <w:contextualSpacing/>
        <w:jc w:val="both"/>
        <w:rPr>
          <w:rFonts w:eastAsia="Calibri"/>
          <w:szCs w:val="22"/>
          <w:lang w:val="en-US" w:eastAsia="zh-CN"/>
        </w:rPr>
      </w:pPr>
      <w:r w:rsidRPr="009C0EF7">
        <w:rPr>
          <w:rFonts w:eastAsia="Calibri"/>
          <w:b/>
          <w:bCs/>
          <w:szCs w:val="22"/>
          <w:lang w:val="en-US" w:eastAsia="zh-CN"/>
        </w:rPr>
        <w:t>Network deployment restriction:</w:t>
      </w:r>
      <w:r w:rsidRPr="009C0EF7">
        <w:rPr>
          <w:rFonts w:eastAsia="Calibri"/>
          <w:szCs w:val="22"/>
          <w:lang w:val="en-US" w:eastAsia="zh-CN"/>
        </w:rPr>
        <w:t xml:space="preserve"> If the FCC emissions requirements could be met with a 100 kHz offset from the protected region, would it be sufficient for 3GPP to require a mandatory 100 kHz offset from the NB-IoT channel edge to the edge of the protected region for both guard band and standalone NB-IoT operation for US bands and for the FCC to require 100 kHz offset for NB-IoT network deployments in order to ensure that emissions requirements are met? </w:t>
      </w:r>
    </w:p>
    <w:p w14:paraId="3064D9F0" w14:textId="77777777" w:rsidR="009C0EF7" w:rsidRPr="009C0EF7" w:rsidRDefault="009C0EF7" w:rsidP="009C0EF7">
      <w:pPr>
        <w:numPr>
          <w:ilvl w:val="0"/>
          <w:numId w:val="9"/>
        </w:numPr>
        <w:spacing w:after="160" w:line="259" w:lineRule="auto"/>
        <w:contextualSpacing/>
        <w:jc w:val="both"/>
        <w:rPr>
          <w:rFonts w:eastAsia="Calibri"/>
          <w:szCs w:val="22"/>
          <w:lang w:val="en-US" w:eastAsia="zh-CN"/>
        </w:rPr>
      </w:pPr>
      <w:r w:rsidRPr="009C0EF7">
        <w:rPr>
          <w:rFonts w:eastAsia="Calibri"/>
          <w:b/>
          <w:bCs/>
          <w:szCs w:val="22"/>
          <w:lang w:val="en-US" w:eastAsia="zh-CN"/>
        </w:rPr>
        <w:t>NS signalling approach:</w:t>
      </w:r>
      <w:r w:rsidRPr="009C0EF7">
        <w:rPr>
          <w:rFonts w:eastAsia="Calibri"/>
          <w:szCs w:val="22"/>
          <w:lang w:val="en-US" w:eastAsia="zh-CN"/>
        </w:rPr>
        <w:t xml:space="preserve"> If the answer of 4) is no, would it be sufficient for 3GPP to use NS signalling to prevent withing 100 kHz of the protected region? Would the FCC labs turn on NS signalling when the UE is certified?  </w:t>
      </w:r>
    </w:p>
    <w:p w14:paraId="55A04C4A" w14:textId="019B9F15" w:rsidR="009C0EF7" w:rsidRDefault="009C0EF7" w:rsidP="006006BF">
      <w:pPr>
        <w:rPr>
          <w:bCs/>
          <w:lang w:eastAsia="ko-KR"/>
        </w:rPr>
      </w:pPr>
    </w:p>
    <w:p w14:paraId="4A32A732" w14:textId="1BBE7CEC" w:rsidR="009C0EF7" w:rsidRDefault="00AF0ED6" w:rsidP="006006BF">
      <w:pPr>
        <w:rPr>
          <w:bCs/>
          <w:lang w:eastAsia="ko-KR"/>
        </w:rPr>
      </w:pPr>
      <w:r>
        <w:rPr>
          <w:bCs/>
          <w:lang w:eastAsia="ko-KR"/>
        </w:rPr>
        <w:t>As mentioned above, t</w:t>
      </w:r>
      <w:r w:rsidR="00A61FF6">
        <w:rPr>
          <w:bCs/>
          <w:lang w:eastAsia="ko-KR"/>
        </w:rPr>
        <w:t xml:space="preserve">he FCC suggested following the KDB process to resolve any issues, if needed. </w:t>
      </w:r>
    </w:p>
    <w:p w14:paraId="400E2A6F" w14:textId="6D22F312" w:rsidR="003D11A0" w:rsidRPr="005A3C88" w:rsidRDefault="003D11A0" w:rsidP="006006BF">
      <w:pPr>
        <w:rPr>
          <w:b/>
          <w:lang w:eastAsia="ko-KR"/>
        </w:rPr>
      </w:pPr>
      <w:r w:rsidRPr="005A3C88">
        <w:rPr>
          <w:b/>
          <w:lang w:eastAsia="ko-KR"/>
        </w:rPr>
        <w:t xml:space="preserve">Proposal: Companies should consider the </w:t>
      </w:r>
      <w:r w:rsidR="005A3C88" w:rsidRPr="005A3C88">
        <w:rPr>
          <w:b/>
          <w:lang w:eastAsia="ko-KR"/>
        </w:rPr>
        <w:t xml:space="preserve">information </w:t>
      </w:r>
      <w:r w:rsidR="005A3C88">
        <w:rPr>
          <w:b/>
          <w:lang w:eastAsia="ko-KR"/>
        </w:rPr>
        <w:t xml:space="preserve">above </w:t>
      </w:r>
      <w:r w:rsidR="005A3C88" w:rsidRPr="005A3C88">
        <w:rPr>
          <w:b/>
          <w:lang w:eastAsia="ko-KR"/>
        </w:rPr>
        <w:t xml:space="preserve">from the FCC and discuss how to proceed at RAN4#99. </w:t>
      </w:r>
    </w:p>
    <w:bookmarkEnd w:id="3"/>
    <w:bookmarkEnd w:id="4"/>
    <w:p w14:paraId="1FB41587" w14:textId="77777777" w:rsidR="006006BF" w:rsidRPr="005915EE" w:rsidRDefault="006006BF" w:rsidP="006006BF">
      <w:pPr>
        <w:keepNext/>
        <w:keepLines/>
        <w:pBdr>
          <w:top w:val="single" w:sz="12" w:space="3" w:color="auto"/>
        </w:pBdr>
        <w:spacing w:before="240"/>
        <w:ind w:left="1134" w:hanging="1134"/>
        <w:outlineLvl w:val="0"/>
        <w:rPr>
          <w:rFonts w:ascii="Arial" w:hAnsi="Arial"/>
          <w:sz w:val="36"/>
          <w:lang w:val="en-US"/>
        </w:rPr>
      </w:pPr>
      <w:r w:rsidRPr="005915EE">
        <w:rPr>
          <w:rFonts w:ascii="Arial" w:hAnsi="Arial"/>
          <w:sz w:val="36"/>
          <w:lang w:val="en-US"/>
        </w:rPr>
        <w:t>3</w:t>
      </w:r>
      <w:r w:rsidRPr="005915EE">
        <w:rPr>
          <w:rFonts w:ascii="Arial" w:hAnsi="Arial"/>
          <w:sz w:val="36"/>
          <w:lang w:val="en-US"/>
        </w:rPr>
        <w:tab/>
        <w:t>Conclusions</w:t>
      </w:r>
    </w:p>
    <w:bookmarkEnd w:id="2"/>
    <w:p w14:paraId="4C089F0A" w14:textId="10DC19C4" w:rsidR="005A3C88" w:rsidRPr="005A3C88" w:rsidRDefault="005A3C88" w:rsidP="005A3C88">
      <w:pPr>
        <w:rPr>
          <w:b/>
          <w:lang w:eastAsia="ko-KR"/>
        </w:rPr>
      </w:pPr>
      <w:r w:rsidRPr="005A3C88">
        <w:rPr>
          <w:b/>
          <w:lang w:eastAsia="ko-KR"/>
        </w:rPr>
        <w:t xml:space="preserve">Proposal: Companies should consider the information </w:t>
      </w:r>
      <w:r>
        <w:rPr>
          <w:b/>
          <w:lang w:eastAsia="ko-KR"/>
        </w:rPr>
        <w:t xml:space="preserve">above </w:t>
      </w:r>
      <w:r w:rsidRPr="005A3C88">
        <w:rPr>
          <w:b/>
          <w:lang w:eastAsia="ko-KR"/>
        </w:rPr>
        <w:t xml:space="preserve">from the FCC and discuss how to proceed at RAN4#99. </w:t>
      </w:r>
    </w:p>
    <w:p w14:paraId="6DC974B9" w14:textId="77777777" w:rsidR="004C010D" w:rsidRPr="004C010D" w:rsidRDefault="004C010D" w:rsidP="004C010D">
      <w:pPr>
        <w:keepNext/>
        <w:keepLines/>
        <w:pBdr>
          <w:top w:val="single" w:sz="12" w:space="3" w:color="auto"/>
        </w:pBdr>
        <w:spacing w:before="240"/>
        <w:ind w:left="1134" w:hanging="1134"/>
        <w:outlineLvl w:val="0"/>
        <w:rPr>
          <w:rFonts w:ascii="Arial" w:hAnsi="Arial"/>
          <w:sz w:val="36"/>
          <w:lang w:val="en-US"/>
        </w:rPr>
      </w:pPr>
      <w:r w:rsidRPr="004C010D">
        <w:rPr>
          <w:rFonts w:ascii="Arial" w:hAnsi="Arial"/>
          <w:sz w:val="36"/>
          <w:lang w:val="en-US"/>
        </w:rPr>
        <w:tab/>
        <w:t>References</w:t>
      </w:r>
    </w:p>
    <w:p w14:paraId="349D5FAD" w14:textId="7ED6D2C9" w:rsidR="001F1B52" w:rsidRDefault="004C010D" w:rsidP="004C010D">
      <w:pPr>
        <w:numPr>
          <w:ilvl w:val="0"/>
          <w:numId w:val="8"/>
        </w:numPr>
        <w:rPr>
          <w:lang w:val="en-US"/>
        </w:rPr>
      </w:pPr>
      <w:r w:rsidRPr="004C010D">
        <w:rPr>
          <w:rFonts w:eastAsia="SimSun"/>
        </w:rPr>
        <w:t xml:space="preserve"> </w:t>
      </w:r>
      <w:r w:rsidR="0091109C" w:rsidRPr="0091109C">
        <w:rPr>
          <w:lang w:val="en-US"/>
        </w:rPr>
        <w:t>R4-2011913</w:t>
      </w:r>
      <w:r w:rsidR="001F1B52">
        <w:rPr>
          <w:lang w:val="en-US"/>
        </w:rPr>
        <w:t>, “</w:t>
      </w:r>
      <w:r w:rsidR="001F1B52" w:rsidRPr="001F1B52">
        <w:rPr>
          <w:lang w:val="en-US"/>
        </w:rPr>
        <w:t>LS on NB-IoT testing issues</w:t>
      </w:r>
      <w:r w:rsidR="001F1B52">
        <w:rPr>
          <w:lang w:val="en-US"/>
        </w:rPr>
        <w:t xml:space="preserve">,” </w:t>
      </w:r>
      <w:r w:rsidR="003D11A0" w:rsidRPr="003D11A0">
        <w:rPr>
          <w:lang w:val="en-US"/>
        </w:rPr>
        <w:t>RAN WG4</w:t>
      </w:r>
    </w:p>
    <w:p w14:paraId="648FD564" w14:textId="5D1CE67C" w:rsidR="004C010D" w:rsidRPr="004C010D" w:rsidRDefault="004C010D" w:rsidP="001F1B52">
      <w:pPr>
        <w:ind w:left="720"/>
        <w:rPr>
          <w:lang w:val="en-US"/>
        </w:rPr>
      </w:pPr>
    </w:p>
    <w:p w14:paraId="7CFA5031" w14:textId="77777777" w:rsidR="004C010D" w:rsidRPr="004C010D" w:rsidRDefault="004C010D" w:rsidP="004C010D">
      <w:pPr>
        <w:jc w:val="center"/>
        <w:rPr>
          <w:rFonts w:eastAsia="SimSun"/>
          <w:color w:val="FF0000"/>
          <w:sz w:val="36"/>
        </w:rPr>
      </w:pPr>
    </w:p>
    <w:p w14:paraId="1B16F89A" w14:textId="77777777" w:rsidR="00425BCE" w:rsidRPr="00425BCE" w:rsidRDefault="00425BCE" w:rsidP="00425BCE"/>
    <w:sectPr w:rsidR="00425BCE" w:rsidRPr="00425BC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37BFD4" w14:textId="77777777" w:rsidR="003E705C" w:rsidRDefault="003E705C">
      <w:r>
        <w:separator/>
      </w:r>
    </w:p>
  </w:endnote>
  <w:endnote w:type="continuationSeparator" w:id="0">
    <w:p w14:paraId="627C2AC3" w14:textId="77777777" w:rsidR="003E705C" w:rsidRDefault="003E7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E8DE7A" w14:textId="77777777" w:rsidR="003E705C" w:rsidRDefault="003E705C">
      <w:r>
        <w:separator/>
      </w:r>
    </w:p>
  </w:footnote>
  <w:footnote w:type="continuationSeparator" w:id="0">
    <w:p w14:paraId="3B786696" w14:textId="77777777" w:rsidR="003E705C" w:rsidRDefault="003E70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626459"/>
    <w:multiLevelType w:val="hybridMultilevel"/>
    <w:tmpl w:val="C50031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A64952"/>
    <w:multiLevelType w:val="hybridMultilevel"/>
    <w:tmpl w:val="3D961B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E5F26D7"/>
    <w:multiLevelType w:val="hybridMultilevel"/>
    <w:tmpl w:val="E0BC0D1C"/>
    <w:lvl w:ilvl="0" w:tplc="6F42AF76">
      <w:start w:val="4"/>
      <w:numFmt w:val="bullet"/>
      <w:lvlText w:val="-"/>
      <w:lvlJc w:val="left"/>
      <w:pPr>
        <w:ind w:left="929" w:hanging="360"/>
      </w:pPr>
      <w:rPr>
        <w:rFonts w:ascii="Times New Roman" w:eastAsia="Times New Roman" w:hAnsi="Times New Roman" w:cs="Times New Roman" w:hint="default"/>
      </w:rPr>
    </w:lvl>
    <w:lvl w:ilvl="1" w:tplc="041D0003" w:tentative="1">
      <w:start w:val="1"/>
      <w:numFmt w:val="bullet"/>
      <w:lvlText w:val="o"/>
      <w:lvlJc w:val="left"/>
      <w:pPr>
        <w:ind w:left="1649" w:hanging="360"/>
      </w:pPr>
      <w:rPr>
        <w:rFonts w:ascii="Courier New" w:hAnsi="Courier New" w:cs="Courier New" w:hint="default"/>
      </w:rPr>
    </w:lvl>
    <w:lvl w:ilvl="2" w:tplc="041D0005" w:tentative="1">
      <w:start w:val="1"/>
      <w:numFmt w:val="bullet"/>
      <w:lvlText w:val=""/>
      <w:lvlJc w:val="left"/>
      <w:pPr>
        <w:ind w:left="2369" w:hanging="360"/>
      </w:pPr>
      <w:rPr>
        <w:rFonts w:ascii="Wingdings" w:hAnsi="Wingdings" w:hint="default"/>
      </w:rPr>
    </w:lvl>
    <w:lvl w:ilvl="3" w:tplc="041D0001" w:tentative="1">
      <w:start w:val="1"/>
      <w:numFmt w:val="bullet"/>
      <w:lvlText w:val=""/>
      <w:lvlJc w:val="left"/>
      <w:pPr>
        <w:ind w:left="3089" w:hanging="360"/>
      </w:pPr>
      <w:rPr>
        <w:rFonts w:ascii="Symbol" w:hAnsi="Symbol" w:hint="default"/>
      </w:rPr>
    </w:lvl>
    <w:lvl w:ilvl="4" w:tplc="041D0003" w:tentative="1">
      <w:start w:val="1"/>
      <w:numFmt w:val="bullet"/>
      <w:lvlText w:val="o"/>
      <w:lvlJc w:val="left"/>
      <w:pPr>
        <w:ind w:left="3809" w:hanging="360"/>
      </w:pPr>
      <w:rPr>
        <w:rFonts w:ascii="Courier New" w:hAnsi="Courier New" w:cs="Courier New" w:hint="default"/>
      </w:rPr>
    </w:lvl>
    <w:lvl w:ilvl="5" w:tplc="041D0005" w:tentative="1">
      <w:start w:val="1"/>
      <w:numFmt w:val="bullet"/>
      <w:lvlText w:val=""/>
      <w:lvlJc w:val="left"/>
      <w:pPr>
        <w:ind w:left="4529" w:hanging="360"/>
      </w:pPr>
      <w:rPr>
        <w:rFonts w:ascii="Wingdings" w:hAnsi="Wingdings" w:hint="default"/>
      </w:rPr>
    </w:lvl>
    <w:lvl w:ilvl="6" w:tplc="041D0001" w:tentative="1">
      <w:start w:val="1"/>
      <w:numFmt w:val="bullet"/>
      <w:lvlText w:val=""/>
      <w:lvlJc w:val="left"/>
      <w:pPr>
        <w:ind w:left="5249" w:hanging="360"/>
      </w:pPr>
      <w:rPr>
        <w:rFonts w:ascii="Symbol" w:hAnsi="Symbol" w:hint="default"/>
      </w:rPr>
    </w:lvl>
    <w:lvl w:ilvl="7" w:tplc="041D0003" w:tentative="1">
      <w:start w:val="1"/>
      <w:numFmt w:val="bullet"/>
      <w:lvlText w:val="o"/>
      <w:lvlJc w:val="left"/>
      <w:pPr>
        <w:ind w:left="5969" w:hanging="360"/>
      </w:pPr>
      <w:rPr>
        <w:rFonts w:ascii="Courier New" w:hAnsi="Courier New" w:cs="Courier New" w:hint="default"/>
      </w:rPr>
    </w:lvl>
    <w:lvl w:ilvl="8" w:tplc="041D0005" w:tentative="1">
      <w:start w:val="1"/>
      <w:numFmt w:val="bullet"/>
      <w:lvlText w:val=""/>
      <w:lvlJc w:val="left"/>
      <w:pPr>
        <w:ind w:left="6689" w:hanging="360"/>
      </w:pPr>
      <w:rPr>
        <w:rFonts w:ascii="Wingdings" w:hAnsi="Wingdings" w:hint="default"/>
      </w:rPr>
    </w:lvl>
  </w:abstractNum>
  <w:abstractNum w:abstractNumId="5" w15:restartNumberingAfterBreak="0">
    <w:nsid w:val="61345A20"/>
    <w:multiLevelType w:val="hybridMultilevel"/>
    <w:tmpl w:val="C9E84A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9" w15:restartNumberingAfterBreak="0">
    <w:nsid w:val="70EB312D"/>
    <w:multiLevelType w:val="hybridMultilevel"/>
    <w:tmpl w:val="A984B6A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8"/>
  </w:num>
  <w:num w:numId="6">
    <w:abstractNumId w:val="4"/>
  </w:num>
  <w:num w:numId="7">
    <w:abstractNumId w:val="9"/>
  </w:num>
  <w:num w:numId="8">
    <w:abstractNumId w:val="6"/>
  </w:num>
  <w:num w:numId="9">
    <w:abstractNumId w:val="2"/>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72"/>
    <w:rsid w:val="0002461D"/>
    <w:rsid w:val="00033397"/>
    <w:rsid w:val="00035126"/>
    <w:rsid w:val="00040095"/>
    <w:rsid w:val="00045A31"/>
    <w:rsid w:val="000479A5"/>
    <w:rsid w:val="00051834"/>
    <w:rsid w:val="00054A22"/>
    <w:rsid w:val="000557DF"/>
    <w:rsid w:val="00055EC9"/>
    <w:rsid w:val="0005688D"/>
    <w:rsid w:val="00062023"/>
    <w:rsid w:val="000655A6"/>
    <w:rsid w:val="000672FF"/>
    <w:rsid w:val="00080512"/>
    <w:rsid w:val="000844A3"/>
    <w:rsid w:val="000A116F"/>
    <w:rsid w:val="000A6055"/>
    <w:rsid w:val="000C47C3"/>
    <w:rsid w:val="000D58AB"/>
    <w:rsid w:val="000F55BF"/>
    <w:rsid w:val="00113F52"/>
    <w:rsid w:val="00114C58"/>
    <w:rsid w:val="00116E35"/>
    <w:rsid w:val="00131903"/>
    <w:rsid w:val="00133525"/>
    <w:rsid w:val="00163B26"/>
    <w:rsid w:val="00175D69"/>
    <w:rsid w:val="00184A15"/>
    <w:rsid w:val="001919CD"/>
    <w:rsid w:val="001A1F06"/>
    <w:rsid w:val="001A4BC4"/>
    <w:rsid w:val="001A4C42"/>
    <w:rsid w:val="001A7420"/>
    <w:rsid w:val="001B6637"/>
    <w:rsid w:val="001C21C3"/>
    <w:rsid w:val="001C36F0"/>
    <w:rsid w:val="001C5EF7"/>
    <w:rsid w:val="001C70A2"/>
    <w:rsid w:val="001C7E48"/>
    <w:rsid w:val="001D02C2"/>
    <w:rsid w:val="001D0A49"/>
    <w:rsid w:val="001F0C1D"/>
    <w:rsid w:val="001F1132"/>
    <w:rsid w:val="001F168B"/>
    <w:rsid w:val="001F1B52"/>
    <w:rsid w:val="001F48C9"/>
    <w:rsid w:val="001F6FF2"/>
    <w:rsid w:val="0020766C"/>
    <w:rsid w:val="00224601"/>
    <w:rsid w:val="002347A2"/>
    <w:rsid w:val="002675F0"/>
    <w:rsid w:val="002729D8"/>
    <w:rsid w:val="0028387C"/>
    <w:rsid w:val="002A6F71"/>
    <w:rsid w:val="002B6339"/>
    <w:rsid w:val="002E00EE"/>
    <w:rsid w:val="002F7C1A"/>
    <w:rsid w:val="003172DC"/>
    <w:rsid w:val="0034301C"/>
    <w:rsid w:val="00351B14"/>
    <w:rsid w:val="0035462D"/>
    <w:rsid w:val="0037164F"/>
    <w:rsid w:val="003765B8"/>
    <w:rsid w:val="00377B72"/>
    <w:rsid w:val="0038030C"/>
    <w:rsid w:val="003817A2"/>
    <w:rsid w:val="003A7559"/>
    <w:rsid w:val="003B2CBC"/>
    <w:rsid w:val="003C3971"/>
    <w:rsid w:val="003C4275"/>
    <w:rsid w:val="003C4591"/>
    <w:rsid w:val="003D11A0"/>
    <w:rsid w:val="003D31B3"/>
    <w:rsid w:val="003E0BA4"/>
    <w:rsid w:val="003E705C"/>
    <w:rsid w:val="00423334"/>
    <w:rsid w:val="00425BCE"/>
    <w:rsid w:val="00431996"/>
    <w:rsid w:val="004345EC"/>
    <w:rsid w:val="004642BE"/>
    <w:rsid w:val="00465515"/>
    <w:rsid w:val="004765BC"/>
    <w:rsid w:val="004857D8"/>
    <w:rsid w:val="004A7647"/>
    <w:rsid w:val="004C010D"/>
    <w:rsid w:val="004D3578"/>
    <w:rsid w:val="004E213A"/>
    <w:rsid w:val="004E3FAC"/>
    <w:rsid w:val="004F0988"/>
    <w:rsid w:val="004F3340"/>
    <w:rsid w:val="0051778D"/>
    <w:rsid w:val="00526C1C"/>
    <w:rsid w:val="0053388B"/>
    <w:rsid w:val="00535773"/>
    <w:rsid w:val="00543E6C"/>
    <w:rsid w:val="00565087"/>
    <w:rsid w:val="00567B1B"/>
    <w:rsid w:val="00597B11"/>
    <w:rsid w:val="005A3C88"/>
    <w:rsid w:val="005C2B61"/>
    <w:rsid w:val="005D2E01"/>
    <w:rsid w:val="005D7526"/>
    <w:rsid w:val="005E4BB2"/>
    <w:rsid w:val="005E5F64"/>
    <w:rsid w:val="006006BF"/>
    <w:rsid w:val="00602AEA"/>
    <w:rsid w:val="00614FDF"/>
    <w:rsid w:val="0063543D"/>
    <w:rsid w:val="00647114"/>
    <w:rsid w:val="006548FB"/>
    <w:rsid w:val="006746E7"/>
    <w:rsid w:val="0068584D"/>
    <w:rsid w:val="006A323F"/>
    <w:rsid w:val="006B30D0"/>
    <w:rsid w:val="006C3D95"/>
    <w:rsid w:val="006E1FDB"/>
    <w:rsid w:val="006E28DD"/>
    <w:rsid w:val="006E5549"/>
    <w:rsid w:val="006E5C86"/>
    <w:rsid w:val="00701116"/>
    <w:rsid w:val="007120FC"/>
    <w:rsid w:val="00713C44"/>
    <w:rsid w:val="0072412B"/>
    <w:rsid w:val="00734A5B"/>
    <w:rsid w:val="0074026F"/>
    <w:rsid w:val="0074247D"/>
    <w:rsid w:val="007429F6"/>
    <w:rsid w:val="00744E76"/>
    <w:rsid w:val="00751954"/>
    <w:rsid w:val="0075722B"/>
    <w:rsid w:val="00761EA6"/>
    <w:rsid w:val="00762ADA"/>
    <w:rsid w:val="00770666"/>
    <w:rsid w:val="00774DA4"/>
    <w:rsid w:val="00781F0F"/>
    <w:rsid w:val="007832AF"/>
    <w:rsid w:val="00786245"/>
    <w:rsid w:val="00791BAC"/>
    <w:rsid w:val="007A2E38"/>
    <w:rsid w:val="007A6CB3"/>
    <w:rsid w:val="007B600E"/>
    <w:rsid w:val="007C148D"/>
    <w:rsid w:val="007E09A0"/>
    <w:rsid w:val="007E18B1"/>
    <w:rsid w:val="007F0F4A"/>
    <w:rsid w:val="008028A4"/>
    <w:rsid w:val="00811033"/>
    <w:rsid w:val="00830747"/>
    <w:rsid w:val="00834680"/>
    <w:rsid w:val="00874BE6"/>
    <w:rsid w:val="008768CA"/>
    <w:rsid w:val="0088791F"/>
    <w:rsid w:val="008A2D78"/>
    <w:rsid w:val="008B0832"/>
    <w:rsid w:val="008C15EE"/>
    <w:rsid w:val="008C384C"/>
    <w:rsid w:val="008C3EDF"/>
    <w:rsid w:val="008D6FE8"/>
    <w:rsid w:val="008E4A60"/>
    <w:rsid w:val="0090271F"/>
    <w:rsid w:val="00902E23"/>
    <w:rsid w:val="00903DA5"/>
    <w:rsid w:val="0091109C"/>
    <w:rsid w:val="009114D7"/>
    <w:rsid w:val="0091348E"/>
    <w:rsid w:val="009162C4"/>
    <w:rsid w:val="00917CCB"/>
    <w:rsid w:val="00942EC2"/>
    <w:rsid w:val="00991EBA"/>
    <w:rsid w:val="009C0EF7"/>
    <w:rsid w:val="009F37B7"/>
    <w:rsid w:val="009F5601"/>
    <w:rsid w:val="00A10F02"/>
    <w:rsid w:val="00A164B4"/>
    <w:rsid w:val="00A26956"/>
    <w:rsid w:val="00A27486"/>
    <w:rsid w:val="00A41792"/>
    <w:rsid w:val="00A43AED"/>
    <w:rsid w:val="00A53724"/>
    <w:rsid w:val="00A56066"/>
    <w:rsid w:val="00A61FF6"/>
    <w:rsid w:val="00A73129"/>
    <w:rsid w:val="00A738C7"/>
    <w:rsid w:val="00A75701"/>
    <w:rsid w:val="00A76424"/>
    <w:rsid w:val="00A82346"/>
    <w:rsid w:val="00A8507B"/>
    <w:rsid w:val="00A92BA1"/>
    <w:rsid w:val="00A94417"/>
    <w:rsid w:val="00AA70CB"/>
    <w:rsid w:val="00AC37E7"/>
    <w:rsid w:val="00AC6BC6"/>
    <w:rsid w:val="00AD615F"/>
    <w:rsid w:val="00AE2F5C"/>
    <w:rsid w:val="00AE5CF1"/>
    <w:rsid w:val="00AE65E2"/>
    <w:rsid w:val="00AF0ED6"/>
    <w:rsid w:val="00AF6A21"/>
    <w:rsid w:val="00B0697A"/>
    <w:rsid w:val="00B15449"/>
    <w:rsid w:val="00B34F5E"/>
    <w:rsid w:val="00B422E7"/>
    <w:rsid w:val="00B4233B"/>
    <w:rsid w:val="00B447FE"/>
    <w:rsid w:val="00B73442"/>
    <w:rsid w:val="00B83C02"/>
    <w:rsid w:val="00B84B60"/>
    <w:rsid w:val="00B93086"/>
    <w:rsid w:val="00BA19ED"/>
    <w:rsid w:val="00BA4B8D"/>
    <w:rsid w:val="00BC0F7D"/>
    <w:rsid w:val="00BC7CBB"/>
    <w:rsid w:val="00BD7D31"/>
    <w:rsid w:val="00BE3255"/>
    <w:rsid w:val="00BE733C"/>
    <w:rsid w:val="00BF128E"/>
    <w:rsid w:val="00BF2B92"/>
    <w:rsid w:val="00BF2D95"/>
    <w:rsid w:val="00C074DD"/>
    <w:rsid w:val="00C10291"/>
    <w:rsid w:val="00C10F44"/>
    <w:rsid w:val="00C1496A"/>
    <w:rsid w:val="00C33079"/>
    <w:rsid w:val="00C33C7D"/>
    <w:rsid w:val="00C435B1"/>
    <w:rsid w:val="00C45231"/>
    <w:rsid w:val="00C54A02"/>
    <w:rsid w:val="00C62B5C"/>
    <w:rsid w:val="00C72833"/>
    <w:rsid w:val="00C80F1D"/>
    <w:rsid w:val="00C93F40"/>
    <w:rsid w:val="00CA3D0C"/>
    <w:rsid w:val="00CD20BC"/>
    <w:rsid w:val="00CD3F09"/>
    <w:rsid w:val="00CE1757"/>
    <w:rsid w:val="00D458D3"/>
    <w:rsid w:val="00D57972"/>
    <w:rsid w:val="00D675A9"/>
    <w:rsid w:val="00D738D6"/>
    <w:rsid w:val="00D755EB"/>
    <w:rsid w:val="00D76048"/>
    <w:rsid w:val="00D8209D"/>
    <w:rsid w:val="00D87E00"/>
    <w:rsid w:val="00D9134D"/>
    <w:rsid w:val="00DA7A03"/>
    <w:rsid w:val="00DB1818"/>
    <w:rsid w:val="00DC1578"/>
    <w:rsid w:val="00DC309B"/>
    <w:rsid w:val="00DC4DA2"/>
    <w:rsid w:val="00DC5282"/>
    <w:rsid w:val="00DD4C17"/>
    <w:rsid w:val="00DD74A5"/>
    <w:rsid w:val="00DE664E"/>
    <w:rsid w:val="00DE735F"/>
    <w:rsid w:val="00DE7B3C"/>
    <w:rsid w:val="00DF0D48"/>
    <w:rsid w:val="00DF2B1F"/>
    <w:rsid w:val="00DF5C26"/>
    <w:rsid w:val="00DF62CD"/>
    <w:rsid w:val="00E07DCD"/>
    <w:rsid w:val="00E16509"/>
    <w:rsid w:val="00E173E1"/>
    <w:rsid w:val="00E44582"/>
    <w:rsid w:val="00E601EC"/>
    <w:rsid w:val="00E77645"/>
    <w:rsid w:val="00E91423"/>
    <w:rsid w:val="00EA15B0"/>
    <w:rsid w:val="00EA5EA7"/>
    <w:rsid w:val="00EB2E4A"/>
    <w:rsid w:val="00EC4A25"/>
    <w:rsid w:val="00EC7577"/>
    <w:rsid w:val="00EE11C8"/>
    <w:rsid w:val="00F025A2"/>
    <w:rsid w:val="00F04712"/>
    <w:rsid w:val="00F13360"/>
    <w:rsid w:val="00F22EC7"/>
    <w:rsid w:val="00F325C8"/>
    <w:rsid w:val="00F5070F"/>
    <w:rsid w:val="00F653B8"/>
    <w:rsid w:val="00F80059"/>
    <w:rsid w:val="00F9008D"/>
    <w:rsid w:val="00F93029"/>
    <w:rsid w:val="00FA1266"/>
    <w:rsid w:val="00FC0DE7"/>
    <w:rsid w:val="00FC1192"/>
    <w:rsid w:val="00FF79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385159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74247D"/>
    <w:pPr>
      <w:ind w:left="720"/>
      <w:contextualSpacing/>
    </w:pPr>
    <w:rPr>
      <w:rFonts w:eastAsia="SimSun"/>
    </w:rPr>
  </w:style>
  <w:style w:type="character" w:styleId="CommentReference">
    <w:name w:val="annotation reference"/>
    <w:basedOn w:val="DefaultParagraphFont"/>
    <w:rsid w:val="001F48C9"/>
    <w:rPr>
      <w:sz w:val="16"/>
      <w:szCs w:val="16"/>
    </w:rPr>
  </w:style>
  <w:style w:type="paragraph" w:styleId="CommentText">
    <w:name w:val="annotation text"/>
    <w:basedOn w:val="Normal"/>
    <w:link w:val="CommentTextChar"/>
    <w:rsid w:val="001F48C9"/>
  </w:style>
  <w:style w:type="character" w:customStyle="1" w:styleId="CommentTextChar">
    <w:name w:val="Comment Text Char"/>
    <w:basedOn w:val="DefaultParagraphFont"/>
    <w:link w:val="CommentText"/>
    <w:rsid w:val="001F48C9"/>
    <w:rPr>
      <w:lang w:eastAsia="en-US"/>
    </w:rPr>
  </w:style>
  <w:style w:type="paragraph" w:styleId="CommentSubject">
    <w:name w:val="annotation subject"/>
    <w:basedOn w:val="CommentText"/>
    <w:next w:val="CommentText"/>
    <w:link w:val="CommentSubjectChar"/>
    <w:rsid w:val="001F48C9"/>
    <w:rPr>
      <w:b/>
      <w:bCs/>
    </w:rPr>
  </w:style>
  <w:style w:type="character" w:customStyle="1" w:styleId="CommentSubjectChar">
    <w:name w:val="Comment Subject Char"/>
    <w:basedOn w:val="CommentTextChar"/>
    <w:link w:val="CommentSubject"/>
    <w:rsid w:val="001F48C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1262406">
      <w:bodyDiv w:val="1"/>
      <w:marLeft w:val="0"/>
      <w:marRight w:val="0"/>
      <w:marTop w:val="0"/>
      <w:marBottom w:val="0"/>
      <w:divBdr>
        <w:top w:val="none" w:sz="0" w:space="0" w:color="auto"/>
        <w:left w:val="none" w:sz="0" w:space="0" w:color="auto"/>
        <w:bottom w:val="none" w:sz="0" w:space="0" w:color="auto"/>
        <w:right w:val="none" w:sz="0" w:space="0" w:color="auto"/>
      </w:divBdr>
    </w:div>
    <w:div w:id="794909361">
      <w:bodyDiv w:val="1"/>
      <w:marLeft w:val="0"/>
      <w:marRight w:val="0"/>
      <w:marTop w:val="0"/>
      <w:marBottom w:val="0"/>
      <w:divBdr>
        <w:top w:val="none" w:sz="0" w:space="0" w:color="auto"/>
        <w:left w:val="none" w:sz="0" w:space="0" w:color="auto"/>
        <w:bottom w:val="none" w:sz="0" w:space="0" w:color="auto"/>
        <w:right w:val="none" w:sz="0" w:space="0" w:color="auto"/>
      </w:divBdr>
    </w:div>
    <w:div w:id="12899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2" ma:contentTypeDescription="Create a new document." ma:contentTypeScope="" ma:versionID="3cdcee4e5065b52f323d0665035ed54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fc9c079c9a28a43c8f9c4213e9ab5afa"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0FFE69-4209-4E66-B900-CB56CF0FE0FC}">
  <ds:schemaRefs>
    <ds:schemaRef ds:uri="http://schemas.openxmlformats.org/officeDocument/2006/bibliography"/>
  </ds:schemaRefs>
</ds:datastoreItem>
</file>

<file path=customXml/itemProps2.xml><?xml version="1.0" encoding="utf-8"?>
<ds:datastoreItem xmlns:ds="http://schemas.openxmlformats.org/officeDocument/2006/customXml" ds:itemID="{D3009AB8-2E70-45A6-A289-E86735BCB3C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45DD73A-4560-4EF8-81C8-653AD0414990}">
  <ds:schemaRefs>
    <ds:schemaRef ds:uri="http://schemas.microsoft.com/sharepoint/v3/contenttype/forms"/>
  </ds:schemaRefs>
</ds:datastoreItem>
</file>

<file path=customXml/itemProps4.xml><?xml version="1.0" encoding="utf-8"?>
<ds:datastoreItem xmlns:ds="http://schemas.openxmlformats.org/officeDocument/2006/customXml" ds:itemID="{4A421701-2AAB-42F7-ACD3-5E0B54BA51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2</Pages>
  <Words>814</Words>
  <Characters>3848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31</cp:revision>
  <cp:lastPrinted>2019-02-25T14:05:00Z</cp:lastPrinted>
  <dcterms:created xsi:type="dcterms:W3CDTF">2021-04-01T17:10:00Z</dcterms:created>
  <dcterms:modified xsi:type="dcterms:W3CDTF">2021-04-02T22:21:00Z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ies>
</file>