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8E2B0D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DD555A">
        <w:rPr>
          <w:rFonts w:ascii="Arial" w:eastAsia="宋体" w:hAnsi="Arial" w:cs="Times New Roman"/>
          <w:b/>
          <w:sz w:val="24"/>
          <w:szCs w:val="20"/>
          <w:lang w:val="en-GB"/>
        </w:rPr>
        <w:t>9</w:t>
      </w:r>
      <w:r w:rsidR="009D1A4A">
        <w:rPr>
          <w:rFonts w:ascii="Arial" w:eastAsia="宋体" w:hAnsi="Arial" w:cs="Times New Roman"/>
          <w:b/>
          <w:sz w:val="24"/>
          <w:szCs w:val="20"/>
          <w:lang w:val="en-GB"/>
        </w:rPr>
        <w:t>8</w:t>
      </w:r>
      <w:r w:rsidR="00745359">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0C05A1" w:rsidRPr="000C05A1">
        <w:rPr>
          <w:rFonts w:ascii="Arial" w:eastAsia="宋体" w:hAnsi="Arial" w:cs="Times New Roman"/>
          <w:b/>
          <w:bCs/>
          <w:sz w:val="24"/>
          <w:szCs w:val="20"/>
          <w:lang w:val="en-GB" w:eastAsia="ja-JP"/>
        </w:rPr>
        <w:t>R4-2107224</w:t>
      </w:r>
    </w:p>
    <w:p w14:paraId="3DEDC117" w14:textId="06575B7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745359">
        <w:rPr>
          <w:rFonts w:ascii="Arial" w:eastAsia="宋体" w:hAnsi="Arial" w:cs="Times New Roman"/>
          <w:b/>
          <w:sz w:val="24"/>
          <w:szCs w:val="20"/>
          <w:lang w:val="en-GB"/>
        </w:rPr>
        <w:t>April 12</w:t>
      </w:r>
      <w:r w:rsidR="00745359" w:rsidRPr="00745359">
        <w:rPr>
          <w:rFonts w:ascii="Arial" w:eastAsia="宋体" w:hAnsi="Arial" w:cs="Times New Roman"/>
          <w:b/>
          <w:sz w:val="24"/>
          <w:szCs w:val="20"/>
          <w:vertAlign w:val="superscript"/>
          <w:lang w:val="en-GB"/>
        </w:rPr>
        <w:t>th</w:t>
      </w:r>
      <w:r w:rsidR="00745359">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745359">
        <w:rPr>
          <w:rFonts w:ascii="Arial" w:eastAsia="宋体" w:hAnsi="Arial" w:cs="Times New Roman"/>
          <w:b/>
          <w:sz w:val="24"/>
          <w:szCs w:val="20"/>
          <w:lang w:val="en-GB"/>
        </w:rPr>
        <w:t>20</w:t>
      </w:r>
      <w:r w:rsidR="009557A8" w:rsidRPr="009557A8">
        <w:rPr>
          <w:rFonts w:ascii="Arial" w:eastAsia="宋体" w:hAnsi="Arial" w:cs="Times New Roman"/>
          <w:b/>
          <w:sz w:val="24"/>
          <w:szCs w:val="20"/>
          <w:vertAlign w:val="superscript"/>
          <w:lang w:val="en-GB"/>
        </w:rPr>
        <w:t>th</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9D1A4A">
        <w:rPr>
          <w:rFonts w:ascii="Arial" w:eastAsia="宋体"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A162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w:t>
      </w:r>
      <w:r w:rsidR="00273CEE">
        <w:rPr>
          <w:rFonts w:ascii="Arial" w:eastAsia="Calibri" w:hAnsi="Arial" w:cs="Arial"/>
          <w:b/>
          <w:bCs/>
          <w:sz w:val="24"/>
          <w:lang w:val="en-GB"/>
        </w:rPr>
        <w:t xml:space="preserve">HO with </w:t>
      </w:r>
      <w:proofErr w:type="spellStart"/>
      <w:r w:rsidR="00273CEE">
        <w:rPr>
          <w:rFonts w:ascii="Arial" w:eastAsia="Calibri" w:hAnsi="Arial" w:cs="Arial"/>
          <w:b/>
          <w:bCs/>
          <w:sz w:val="24"/>
          <w:lang w:val="en-GB"/>
        </w:rPr>
        <w:t>PSCell</w:t>
      </w:r>
      <w:proofErr w:type="spellEnd"/>
    </w:p>
    <w:p w14:paraId="53921647" w14:textId="68E58FB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45359">
        <w:rPr>
          <w:rFonts w:ascii="Arial" w:eastAsia="MS Mincho" w:hAnsi="Arial" w:cs="Arial"/>
          <w:b/>
          <w:bCs/>
          <w:sz w:val="24"/>
          <w:szCs w:val="20"/>
          <w:lang w:val="en-GB"/>
        </w:rPr>
        <w:t>8</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4</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228BB8CD" w:rsidR="005433E0" w:rsidRPr="000132EC" w:rsidRDefault="00E6539E" w:rsidP="00677FB4">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 xml:space="preserve">Further enhancements of NR </w:t>
      </w:r>
      <w:r w:rsidR="000868DC">
        <w:rPr>
          <w:rFonts w:eastAsia="Calibri" w:cs="Times New Roman"/>
          <w:szCs w:val="20"/>
          <w:lang w:val="en-GB"/>
        </w:rPr>
        <w:t>RRM</w:t>
      </w:r>
      <w:r w:rsidRPr="00E6539E">
        <w:rPr>
          <w:rFonts w:eastAsia="Calibri" w:cs="Times New Roman"/>
          <w:szCs w:val="20"/>
          <w:lang w:val="en-GB"/>
        </w:rPr>
        <w:t xml:space="preserve"> requirements </w:t>
      </w:r>
      <w:r>
        <w:rPr>
          <w:rFonts w:eastAsia="Calibri" w:cs="Times New Roman"/>
          <w:szCs w:val="20"/>
          <w:lang w:val="en-GB"/>
        </w:rPr>
        <w:t>[1]</w:t>
      </w:r>
      <w:r w:rsidR="00FB7915">
        <w:rPr>
          <w:rFonts w:eastAsia="Calibri" w:cs="Times New Roman"/>
          <w:szCs w:val="20"/>
          <w:lang w:val="en-GB"/>
        </w:rPr>
        <w:t xml:space="preserve">,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is one of the objectives in this WI</w:t>
      </w:r>
      <w:r>
        <w:rPr>
          <w:rFonts w:eastAsia="Calibri" w:cs="Times New Roman"/>
          <w:szCs w:val="20"/>
          <w:lang w:val="en-GB"/>
        </w:rPr>
        <w:t xml:space="preserve">. Initial discussions </w:t>
      </w:r>
      <w:r w:rsidR="00FB7915">
        <w:rPr>
          <w:rFonts w:eastAsia="Calibri" w:cs="Times New Roman"/>
          <w:szCs w:val="20"/>
          <w:lang w:val="en-GB"/>
        </w:rPr>
        <w:t xml:space="preserve">on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w:t>
      </w:r>
      <w:r>
        <w:rPr>
          <w:rFonts w:eastAsia="Calibri" w:cs="Times New Roman"/>
          <w:szCs w:val="20"/>
          <w:lang w:val="en-GB"/>
        </w:rPr>
        <w:t>started in last RAN4#9</w:t>
      </w:r>
      <w:r w:rsidR="000868DC">
        <w:rPr>
          <w:rFonts w:eastAsia="Calibri" w:cs="Times New Roman"/>
          <w:szCs w:val="20"/>
          <w:lang w:val="en-GB"/>
        </w:rPr>
        <w:t>8e</w:t>
      </w:r>
      <w:r>
        <w:rPr>
          <w:rFonts w:eastAsia="Calibri" w:cs="Times New Roman"/>
          <w:szCs w:val="20"/>
          <w:lang w:val="en-GB"/>
        </w:rPr>
        <w:t xml:space="preserve"> meeting </w:t>
      </w:r>
      <w:r w:rsidR="00E46662">
        <w:rPr>
          <w:rFonts w:eastAsia="Calibri" w:cs="Times New Roman"/>
          <w:szCs w:val="20"/>
          <w:lang w:val="en-GB"/>
        </w:rPr>
        <w:t>and a way forward was agreed [2]</w:t>
      </w:r>
      <w:r>
        <w:rPr>
          <w:rFonts w:eastAsia="Calibri" w:cs="Times New Roman"/>
          <w:szCs w:val="20"/>
          <w:lang w:val="en-GB"/>
        </w:rPr>
        <w:t>.</w:t>
      </w:r>
      <w:r w:rsidR="00781E1D">
        <w:rPr>
          <w:rFonts w:eastAsia="Calibri" w:cs="Times New Roman"/>
          <w:szCs w:val="20"/>
          <w:lang w:val="en-GB"/>
        </w:rPr>
        <w:t xml:space="preserve"> </w:t>
      </w:r>
      <w:r>
        <w:rPr>
          <w:rFonts w:eastAsia="Calibri" w:cs="Times New Roman"/>
          <w:szCs w:val="20"/>
          <w:lang w:val="en-GB"/>
        </w:rPr>
        <w:t xml:space="preserve">In this paper we </w:t>
      </w:r>
      <w:r w:rsidR="00FB7915">
        <w:rPr>
          <w:rFonts w:eastAsia="Calibri" w:cs="Times New Roman"/>
          <w:szCs w:val="20"/>
          <w:lang w:val="en-GB"/>
        </w:rPr>
        <w:t>continue</w:t>
      </w:r>
      <w:r>
        <w:rPr>
          <w:rFonts w:eastAsia="Calibri" w:cs="Times New Roman"/>
          <w:szCs w:val="20"/>
          <w:lang w:val="en-GB"/>
        </w:rPr>
        <w:t xml:space="preserve"> the discussion </w:t>
      </w:r>
      <w:r w:rsidR="00FB7915">
        <w:rPr>
          <w:rFonts w:eastAsia="Calibri" w:cs="Times New Roman"/>
          <w:szCs w:val="20"/>
          <w:lang w:val="en-GB"/>
        </w:rPr>
        <w:t>on</w:t>
      </w:r>
      <w:r>
        <w:rPr>
          <w:rFonts w:eastAsia="Calibri" w:cs="Times New Roman"/>
          <w:szCs w:val="20"/>
          <w:lang w:val="en-GB"/>
        </w:rPr>
        <w:t xml:space="preserve"> </w:t>
      </w:r>
      <w:r w:rsidR="00677FB4">
        <w:rPr>
          <w:rFonts w:eastAsia="Calibri" w:cs="Times New Roman"/>
          <w:szCs w:val="20"/>
          <w:lang w:val="en-GB"/>
        </w:rPr>
        <w:t xml:space="preserve">handover with </w:t>
      </w:r>
      <w:proofErr w:type="spellStart"/>
      <w:r w:rsidR="00677FB4">
        <w:rPr>
          <w:rFonts w:eastAsia="Calibri" w:cs="Times New Roman"/>
          <w:szCs w:val="20"/>
          <w:lang w:val="en-GB"/>
        </w:rPr>
        <w:t>PSCell</w:t>
      </w:r>
      <w:proofErr w:type="spellEnd"/>
      <w:r w:rsidR="00677FB4">
        <w:rPr>
          <w:rFonts w:eastAsia="Calibri" w:cs="Times New Roman"/>
          <w:szCs w:val="20"/>
          <w:lang w:val="en-GB"/>
        </w:rPr>
        <w:t xml:space="preserve"> requirements, mainly focus on </w:t>
      </w:r>
      <w:r w:rsidR="66EBDB5C" w:rsidRPr="798DE98A">
        <w:rPr>
          <w:rFonts w:eastAsia="Calibri" w:cs="Times New Roman"/>
          <w:lang w:val="en-GB"/>
        </w:rPr>
        <w:t xml:space="preserve">the </w:t>
      </w:r>
      <w:r w:rsidR="00677FB4">
        <w:rPr>
          <w:rFonts w:eastAsia="Calibri" w:cs="Times New Roman"/>
          <w:lang w:val="en-GB"/>
        </w:rPr>
        <w:t xml:space="preserve">scenarios and timeline for handover with </w:t>
      </w:r>
      <w:proofErr w:type="spellStart"/>
      <w:r w:rsidR="00677FB4">
        <w:rPr>
          <w:rFonts w:eastAsia="Calibri" w:cs="Times New Roman"/>
          <w:lang w:val="en-GB"/>
        </w:rPr>
        <w:t>PSCell</w:t>
      </w:r>
      <w:proofErr w:type="spellEnd"/>
      <w:r w:rsidRPr="798DE98A">
        <w:rPr>
          <w:rFonts w:eastAsia="Calibri" w:cs="Times New Roman"/>
          <w:lang w:val="en-GB"/>
        </w:rPr>
        <w:t>.</w:t>
      </w:r>
    </w:p>
    <w:p w14:paraId="2FF6A72B" w14:textId="18952EC4" w:rsidR="003B659E" w:rsidRDefault="003B659E" w:rsidP="00AE56B1">
      <w:pPr>
        <w:pStyle w:val="RAN4H1"/>
      </w:pPr>
      <w:r w:rsidRPr="00AE56B1">
        <w:t>Discussion</w:t>
      </w:r>
    </w:p>
    <w:p w14:paraId="2E2FCAEE" w14:textId="0FA4E5C6" w:rsidR="00FB7915" w:rsidRDefault="00FB7915" w:rsidP="00FB7915">
      <w:pPr>
        <w:rPr>
          <w:lang w:val="en-GB"/>
        </w:rPr>
      </w:pPr>
      <w:r>
        <w:rPr>
          <w:lang w:val="en-GB"/>
        </w:rPr>
        <w:t>In the WI</w:t>
      </w:r>
      <w:r w:rsidR="00E46662">
        <w:rPr>
          <w:lang w:val="en-GB"/>
        </w:rPr>
        <w:t xml:space="preserve"> for </w:t>
      </w:r>
      <w:r w:rsidR="00E46662" w:rsidRPr="00E6539E">
        <w:rPr>
          <w:rFonts w:eastAsia="Calibri" w:cs="Times New Roman"/>
          <w:szCs w:val="20"/>
          <w:lang w:val="en-GB"/>
        </w:rPr>
        <w:t xml:space="preserve">Further enhancements of NR </w:t>
      </w:r>
      <w:r w:rsidR="00E46662">
        <w:rPr>
          <w:rFonts w:eastAsia="Calibri" w:cs="Times New Roman"/>
          <w:szCs w:val="20"/>
          <w:lang w:val="en-GB"/>
        </w:rPr>
        <w:t>RRM</w:t>
      </w:r>
      <w:r w:rsidR="00E46662" w:rsidRPr="00E6539E">
        <w:rPr>
          <w:rFonts w:eastAsia="Calibri" w:cs="Times New Roman"/>
          <w:szCs w:val="20"/>
          <w:lang w:val="en-GB"/>
        </w:rPr>
        <w:t xml:space="preserve"> requirements </w:t>
      </w:r>
      <w:r>
        <w:rPr>
          <w:lang w:val="en-GB"/>
        </w:rPr>
        <w:t xml:space="preserve">[1], the following </w:t>
      </w:r>
      <w:r w:rsidR="00352D1F">
        <w:rPr>
          <w:lang w:val="en-GB"/>
        </w:rPr>
        <w:t xml:space="preserve">justification and Objective for core part are provided for HO with </w:t>
      </w:r>
      <w:proofErr w:type="spellStart"/>
      <w:r w:rsidR="00352D1F">
        <w:rPr>
          <w:lang w:val="en-GB"/>
        </w:rPr>
        <w:t>PSCell</w:t>
      </w:r>
      <w:proofErr w:type="spellEnd"/>
      <w:r w:rsidR="00352D1F">
        <w:rPr>
          <w:lang w:val="en-GB"/>
        </w:rPr>
        <w:t>:</w:t>
      </w:r>
    </w:p>
    <w:tbl>
      <w:tblPr>
        <w:tblStyle w:val="TableGrid"/>
        <w:tblW w:w="0" w:type="auto"/>
        <w:tblLook w:val="04A0" w:firstRow="1" w:lastRow="0" w:firstColumn="1" w:lastColumn="0" w:noHBand="0" w:noVBand="1"/>
      </w:tblPr>
      <w:tblGrid>
        <w:gridCol w:w="9617"/>
      </w:tblGrid>
      <w:tr w:rsidR="00003DD3" w14:paraId="2758A9D0" w14:textId="77777777" w:rsidTr="00003DD3">
        <w:tc>
          <w:tcPr>
            <w:tcW w:w="9617" w:type="dxa"/>
          </w:tcPr>
          <w:p w14:paraId="740D70CB" w14:textId="77777777" w:rsidR="00003DD3" w:rsidRDefault="0091231F" w:rsidP="00FB7915">
            <w:pPr>
              <w:rPr>
                <w:lang w:val="en-GB"/>
              </w:rPr>
            </w:pPr>
            <w:r>
              <w:rPr>
                <w:lang w:val="en-GB"/>
              </w:rPr>
              <w:t>Justification:</w:t>
            </w:r>
          </w:p>
          <w:p w14:paraId="42AD1E59" w14:textId="77777777" w:rsidR="0091231F" w:rsidRPr="00727179" w:rsidRDefault="0091231F" w:rsidP="0091231F">
            <w:pPr>
              <w:pStyle w:val="ListParagraph"/>
              <w:numPr>
                <w:ilvl w:val="0"/>
                <w:numId w:val="33"/>
              </w:numPr>
              <w:spacing w:before="120" w:after="120"/>
              <w:jc w:val="both"/>
              <w:rPr>
                <w:szCs w:val="20"/>
                <w:lang w:val="en-GB"/>
              </w:rPr>
            </w:pPr>
            <w:r w:rsidRPr="00727179">
              <w:rPr>
                <w:szCs w:val="20"/>
                <w:lang w:val="en-GB"/>
              </w:rPr>
              <w:t xml:space="preserve">HO with </w:t>
            </w:r>
            <w:proofErr w:type="spellStart"/>
            <w:r w:rsidRPr="00727179">
              <w:rPr>
                <w:szCs w:val="20"/>
                <w:lang w:val="en-GB"/>
              </w:rPr>
              <w:t>PSCell</w:t>
            </w:r>
            <w:proofErr w:type="spellEnd"/>
          </w:p>
          <w:p w14:paraId="067206E4" w14:textId="77777777" w:rsidR="0091231F" w:rsidRDefault="0091231F" w:rsidP="0091231F">
            <w:pPr>
              <w:pStyle w:val="ListParagraph"/>
              <w:numPr>
                <w:ilvl w:val="1"/>
                <w:numId w:val="33"/>
              </w:numPr>
              <w:spacing w:before="120" w:after="120"/>
              <w:jc w:val="both"/>
              <w:rPr>
                <w:szCs w:val="20"/>
                <w:lang w:val="en-GB"/>
              </w:rPr>
            </w:pPr>
            <w:r w:rsidRPr="00727179">
              <w:rPr>
                <w:szCs w:val="20"/>
                <w:lang w:val="en-GB"/>
              </w:rPr>
              <w:t xml:space="preserve">In Rel-16 RAN2 has introduced support of HO from NR SA to EN-DC, as indicated in LS R2-1916600. Besides the inter-RAT HO, RAN2 has also supported intra-RAT HO with </w:t>
            </w:r>
            <w:proofErr w:type="spellStart"/>
            <w:r w:rsidRPr="00727179">
              <w:rPr>
                <w:szCs w:val="20"/>
                <w:lang w:val="en-GB"/>
              </w:rPr>
              <w:t>PSCell</w:t>
            </w:r>
            <w:proofErr w:type="spellEnd"/>
            <w:r w:rsidRPr="00727179">
              <w:rPr>
                <w:szCs w:val="20"/>
                <w:lang w:val="en-GB"/>
              </w:rPr>
              <w:t xml:space="preserve">. The corresponding RRM requirements for these procedures are also missing. </w:t>
            </w:r>
          </w:p>
          <w:p w14:paraId="7DB87D57" w14:textId="77777777" w:rsidR="0091231F" w:rsidRDefault="0091231F" w:rsidP="00FB7915">
            <w:pPr>
              <w:rPr>
                <w:lang w:val="en-GB"/>
              </w:rPr>
            </w:pPr>
          </w:p>
          <w:p w14:paraId="2AD20364" w14:textId="77777777" w:rsidR="0091231F" w:rsidRDefault="0091231F" w:rsidP="00FB7915">
            <w:pPr>
              <w:rPr>
                <w:lang w:val="en-GB"/>
              </w:rPr>
            </w:pPr>
            <w:r>
              <w:rPr>
                <w:lang w:val="en-GB"/>
              </w:rPr>
              <w:t>Objective:</w:t>
            </w:r>
          </w:p>
          <w:p w14:paraId="51CED50B" w14:textId="77777777" w:rsidR="0091231F" w:rsidRPr="00727179" w:rsidRDefault="0091231F" w:rsidP="0091231F">
            <w:pPr>
              <w:pStyle w:val="NormalWeb"/>
              <w:numPr>
                <w:ilvl w:val="0"/>
                <w:numId w:val="36"/>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06CFDD8B" w14:textId="77777777" w:rsidR="0091231F" w:rsidRPr="00727179" w:rsidRDefault="0091231F" w:rsidP="0091231F">
            <w:pPr>
              <w:pStyle w:val="ListParagraph"/>
              <w:numPr>
                <w:ilvl w:val="1"/>
                <w:numId w:val="34"/>
              </w:numPr>
              <w:spacing w:after="120"/>
              <w:contextualSpacing w:val="0"/>
              <w:rPr>
                <w:kern w:val="24"/>
              </w:rPr>
            </w:pPr>
            <w:r w:rsidRPr="00727179">
              <w:rPr>
                <w:kern w:val="24"/>
                <w:szCs w:val="20"/>
              </w:rPr>
              <w:t xml:space="preserve">Determine the scenarios for HO with </w:t>
            </w:r>
            <w:proofErr w:type="spellStart"/>
            <w:r w:rsidRPr="00727179">
              <w:rPr>
                <w:kern w:val="24"/>
                <w:szCs w:val="20"/>
              </w:rPr>
              <w:t>PSCell</w:t>
            </w:r>
            <w:proofErr w:type="spellEnd"/>
            <w:r w:rsidRPr="00727179">
              <w:rPr>
                <w:kern w:val="24"/>
                <w:szCs w:val="20"/>
              </w:rPr>
              <w:t xml:space="preserve"> for which RRM requirements are to be specified</w:t>
            </w:r>
          </w:p>
          <w:p w14:paraId="6F72C91A" w14:textId="77777777" w:rsidR="0091231F" w:rsidRPr="00727179" w:rsidRDefault="0091231F" w:rsidP="0091231F">
            <w:pPr>
              <w:pStyle w:val="ListParagraph"/>
              <w:numPr>
                <w:ilvl w:val="2"/>
                <w:numId w:val="34"/>
              </w:numPr>
              <w:spacing w:after="120"/>
              <w:contextualSpacing w:val="0"/>
              <w:rPr>
                <w:kern w:val="24"/>
              </w:rPr>
            </w:pPr>
            <w:r w:rsidRPr="00727179">
              <w:rPr>
                <w:kern w:val="24"/>
                <w:szCs w:val="20"/>
              </w:rPr>
              <w:t>from NR SA to EN-DC</w:t>
            </w:r>
          </w:p>
          <w:p w14:paraId="2199DFB6" w14:textId="77777777" w:rsidR="0091231F" w:rsidRPr="00714632" w:rsidRDefault="0091231F" w:rsidP="0091231F">
            <w:pPr>
              <w:pStyle w:val="ListParagraph"/>
              <w:numPr>
                <w:ilvl w:val="2"/>
                <w:numId w:val="34"/>
              </w:numPr>
              <w:spacing w:after="120"/>
              <w:contextualSpacing w:val="0"/>
              <w:rPr>
                <w:kern w:val="24"/>
                <w:lang w:val="da-DK"/>
              </w:rPr>
            </w:pPr>
            <w:r w:rsidRPr="00714632">
              <w:rPr>
                <w:kern w:val="24"/>
                <w:szCs w:val="20"/>
                <w:lang w:val="da-DK"/>
              </w:rPr>
              <w:t>from EN-DC to EN-DC</w:t>
            </w:r>
          </w:p>
          <w:p w14:paraId="272806EF" w14:textId="77777777" w:rsidR="0091231F" w:rsidRPr="00727179" w:rsidRDefault="0091231F" w:rsidP="0091231F">
            <w:pPr>
              <w:pStyle w:val="ListParagraph"/>
              <w:numPr>
                <w:ilvl w:val="2"/>
                <w:numId w:val="34"/>
              </w:numPr>
              <w:spacing w:after="120"/>
              <w:contextualSpacing w:val="0"/>
              <w:rPr>
                <w:kern w:val="24"/>
              </w:rPr>
            </w:pPr>
            <w:r w:rsidRPr="00727179">
              <w:rPr>
                <w:kern w:val="24"/>
                <w:szCs w:val="20"/>
              </w:rPr>
              <w:t>from NE-DC to NE-DC</w:t>
            </w:r>
          </w:p>
          <w:p w14:paraId="459ED30B" w14:textId="77777777" w:rsidR="0091231F" w:rsidRPr="00727179" w:rsidRDefault="0091231F" w:rsidP="0091231F">
            <w:pPr>
              <w:pStyle w:val="ListParagraph"/>
              <w:numPr>
                <w:ilvl w:val="2"/>
                <w:numId w:val="34"/>
              </w:numPr>
              <w:spacing w:after="120"/>
              <w:contextualSpacing w:val="0"/>
              <w:rPr>
                <w:kern w:val="24"/>
              </w:rPr>
            </w:pPr>
            <w:r w:rsidRPr="00727179">
              <w:rPr>
                <w:kern w:val="24"/>
                <w:szCs w:val="20"/>
              </w:rPr>
              <w:t>from NR-DC to NR-DC</w:t>
            </w:r>
          </w:p>
          <w:p w14:paraId="79132D20" w14:textId="77777777" w:rsidR="0091231F" w:rsidRPr="00727179" w:rsidRDefault="0091231F" w:rsidP="0091231F">
            <w:pPr>
              <w:pStyle w:val="ListParagraph"/>
              <w:numPr>
                <w:ilvl w:val="1"/>
                <w:numId w:val="34"/>
              </w:numPr>
              <w:spacing w:after="120"/>
              <w:contextualSpacing w:val="0"/>
              <w:rPr>
                <w:kern w:val="24"/>
              </w:rPr>
            </w:pPr>
            <w:r w:rsidRPr="00727179">
              <w:rPr>
                <w:kern w:val="24"/>
                <w:szCs w:val="20"/>
              </w:rPr>
              <w:t xml:space="preserve">Study the UE behavior for HO with </w:t>
            </w:r>
            <w:proofErr w:type="spellStart"/>
            <w:r w:rsidRPr="00727179">
              <w:rPr>
                <w:kern w:val="24"/>
                <w:szCs w:val="20"/>
              </w:rPr>
              <w:t>PSCell</w:t>
            </w:r>
            <w:proofErr w:type="spellEnd"/>
          </w:p>
          <w:p w14:paraId="6FB7268C" w14:textId="77777777" w:rsidR="0091231F" w:rsidRPr="00727179" w:rsidRDefault="0091231F" w:rsidP="0091231F">
            <w:pPr>
              <w:pStyle w:val="ListParagraph"/>
              <w:numPr>
                <w:ilvl w:val="2"/>
                <w:numId w:val="34"/>
              </w:numPr>
              <w:spacing w:after="120"/>
              <w:contextualSpacing w:val="0"/>
              <w:rPr>
                <w:kern w:val="24"/>
              </w:rPr>
            </w:pPr>
            <w:r w:rsidRPr="00727179">
              <w:rPr>
                <w:kern w:val="24"/>
                <w:szCs w:val="20"/>
              </w:rPr>
              <w:t xml:space="preserve">Existing requirements for HO and </w:t>
            </w:r>
            <w:proofErr w:type="spellStart"/>
            <w:r w:rsidRPr="00727179">
              <w:rPr>
                <w:kern w:val="24"/>
                <w:szCs w:val="20"/>
              </w:rPr>
              <w:t>PSCell</w:t>
            </w:r>
            <w:proofErr w:type="spellEnd"/>
            <w:r w:rsidRPr="00727179">
              <w:rPr>
                <w:kern w:val="24"/>
                <w:szCs w:val="20"/>
              </w:rPr>
              <w:t xml:space="preserve"> addition as baseline</w:t>
            </w:r>
          </w:p>
          <w:p w14:paraId="604EC7DC" w14:textId="77777777" w:rsidR="0091231F" w:rsidRPr="00727179" w:rsidRDefault="0091231F" w:rsidP="0091231F">
            <w:pPr>
              <w:pStyle w:val="ListParagraph"/>
              <w:numPr>
                <w:ilvl w:val="2"/>
                <w:numId w:val="34"/>
              </w:numPr>
              <w:spacing w:after="120"/>
              <w:contextualSpacing w:val="0"/>
              <w:rPr>
                <w:kern w:val="24"/>
              </w:rPr>
            </w:pPr>
            <w:r w:rsidRPr="00727179">
              <w:rPr>
                <w:kern w:val="24"/>
                <w:szCs w:val="20"/>
              </w:rPr>
              <w:t xml:space="preserve">Timeline and interaction between HO and </w:t>
            </w:r>
            <w:proofErr w:type="spellStart"/>
            <w:r w:rsidRPr="00727179">
              <w:rPr>
                <w:kern w:val="24"/>
                <w:szCs w:val="20"/>
              </w:rPr>
              <w:t>PSCell</w:t>
            </w:r>
            <w:proofErr w:type="spellEnd"/>
            <w:r w:rsidRPr="00727179">
              <w:rPr>
                <w:kern w:val="24"/>
                <w:szCs w:val="20"/>
              </w:rPr>
              <w:t xml:space="preserve"> addition</w:t>
            </w:r>
          </w:p>
          <w:p w14:paraId="49563EA1" w14:textId="77777777" w:rsidR="0091231F" w:rsidRPr="00727179" w:rsidRDefault="0091231F" w:rsidP="0091231F">
            <w:pPr>
              <w:pStyle w:val="ListParagraph"/>
              <w:numPr>
                <w:ilvl w:val="1"/>
                <w:numId w:val="34"/>
              </w:numPr>
              <w:spacing w:after="120"/>
              <w:contextualSpacing w:val="0"/>
              <w:rPr>
                <w:kern w:val="24"/>
                <w:szCs w:val="20"/>
              </w:rPr>
            </w:pPr>
            <w:r w:rsidRPr="00727179">
              <w:rPr>
                <w:kern w:val="24"/>
                <w:szCs w:val="20"/>
              </w:rPr>
              <w:t xml:space="preserve"> Specify RRM requirements for HO with </w:t>
            </w:r>
            <w:proofErr w:type="spellStart"/>
            <w:r w:rsidRPr="00727179">
              <w:rPr>
                <w:kern w:val="24"/>
                <w:szCs w:val="20"/>
              </w:rPr>
              <w:t>PSCell</w:t>
            </w:r>
            <w:proofErr w:type="spellEnd"/>
            <w:r w:rsidRPr="00727179">
              <w:rPr>
                <w:kern w:val="24"/>
                <w:szCs w:val="20"/>
              </w:rPr>
              <w:t xml:space="preserve"> based on agreed UE behavior</w:t>
            </w:r>
          </w:p>
          <w:p w14:paraId="1A50C315" w14:textId="2B8F12D3" w:rsidR="0091231F" w:rsidRPr="0091231F" w:rsidRDefault="0091231F" w:rsidP="00FB7915"/>
        </w:tc>
      </w:tr>
    </w:tbl>
    <w:p w14:paraId="11575A8F" w14:textId="77777777" w:rsidR="00003DD3" w:rsidRPr="00FB7915" w:rsidRDefault="00003DD3" w:rsidP="00FB7915">
      <w:pPr>
        <w:rPr>
          <w:lang w:val="en-GB"/>
        </w:rPr>
      </w:pPr>
    </w:p>
    <w:p w14:paraId="4DF00E1F" w14:textId="32877258" w:rsidR="004E72B6" w:rsidRDefault="004E72B6" w:rsidP="004E72B6">
      <w:pPr>
        <w:pStyle w:val="RAN4H2"/>
        <w:rPr>
          <w:rFonts w:eastAsia="Calibri"/>
          <w:lang w:val="en-GB"/>
        </w:rPr>
      </w:pPr>
      <w:bookmarkStart w:id="4" w:name="_Hlk68103710"/>
      <w:r>
        <w:rPr>
          <w:rFonts w:eastAsia="Calibri"/>
          <w:lang w:val="en-GB"/>
        </w:rPr>
        <w:t xml:space="preserve">Scenarios for HO with </w:t>
      </w:r>
      <w:proofErr w:type="spellStart"/>
      <w:r>
        <w:rPr>
          <w:rFonts w:eastAsia="Calibri"/>
          <w:lang w:val="en-GB"/>
        </w:rPr>
        <w:t>PSCell</w:t>
      </w:r>
      <w:proofErr w:type="spellEnd"/>
    </w:p>
    <w:bookmarkEnd w:id="4"/>
    <w:p w14:paraId="2760B3FB" w14:textId="43984ED1" w:rsidR="008819DA" w:rsidRDefault="008819DA" w:rsidP="00202C59">
      <w:pPr>
        <w:ind w:right="-22"/>
        <w:rPr>
          <w:rFonts w:eastAsia="Calibri" w:cs="Times New Roman"/>
          <w:szCs w:val="20"/>
          <w:lang w:val="en-GB"/>
        </w:rPr>
      </w:pPr>
      <w:r w:rsidRPr="008819DA">
        <w:rPr>
          <w:rFonts w:eastAsia="Calibri" w:cs="Times New Roman"/>
          <w:szCs w:val="20"/>
          <w:lang w:val="en-GB"/>
        </w:rPr>
        <w:t xml:space="preserve">In the </w:t>
      </w:r>
      <w:r w:rsidR="00E972D1">
        <w:rPr>
          <w:lang w:val="en-GB"/>
        </w:rPr>
        <w:t xml:space="preserve">WI for </w:t>
      </w:r>
      <w:r w:rsidR="00E972D1" w:rsidRPr="00E6539E">
        <w:rPr>
          <w:rFonts w:eastAsia="Calibri" w:cs="Times New Roman"/>
          <w:szCs w:val="20"/>
          <w:lang w:val="en-GB"/>
        </w:rPr>
        <w:t xml:space="preserve">Further enhancements of NR </w:t>
      </w:r>
      <w:r w:rsidR="00E972D1">
        <w:rPr>
          <w:rFonts w:eastAsia="Calibri" w:cs="Times New Roman"/>
          <w:szCs w:val="20"/>
          <w:lang w:val="en-GB"/>
        </w:rPr>
        <w:t>RRM</w:t>
      </w:r>
      <w:r w:rsidR="00E972D1" w:rsidRPr="00E6539E">
        <w:rPr>
          <w:rFonts w:eastAsia="Calibri" w:cs="Times New Roman"/>
          <w:szCs w:val="20"/>
          <w:lang w:val="en-GB"/>
        </w:rPr>
        <w:t xml:space="preserve"> requirements </w:t>
      </w:r>
      <w:r w:rsidR="00E972D1">
        <w:rPr>
          <w:lang w:val="en-GB"/>
        </w:rPr>
        <w:t>[1],</w:t>
      </w:r>
      <w:r w:rsidRPr="008819DA">
        <w:rPr>
          <w:rFonts w:eastAsia="Calibri" w:cs="Times New Roman"/>
          <w:szCs w:val="20"/>
          <w:lang w:val="en-GB"/>
        </w:rPr>
        <w:t xml:space="preserve"> The scenarios for handover with </w:t>
      </w:r>
      <w:proofErr w:type="spellStart"/>
      <w:r w:rsidRPr="008819DA">
        <w:rPr>
          <w:rFonts w:eastAsia="Calibri" w:cs="Times New Roman"/>
          <w:szCs w:val="20"/>
          <w:lang w:val="en-GB"/>
        </w:rPr>
        <w:t>PSCell</w:t>
      </w:r>
      <w:proofErr w:type="spellEnd"/>
      <w:r w:rsidRPr="008819DA">
        <w:rPr>
          <w:rFonts w:eastAsia="Calibri" w:cs="Times New Roman"/>
          <w:szCs w:val="20"/>
          <w:lang w:val="en-GB"/>
        </w:rPr>
        <w:t xml:space="preserve"> are listed as “from NR SA to EN-DC”,  “from EN-DC to EN-DC”, “from NE-DC to NE-DC” and “from NR-DC to NR-DC”</w:t>
      </w:r>
      <w:r>
        <w:rPr>
          <w:rFonts w:eastAsia="Calibri" w:cs="Times New Roman"/>
          <w:szCs w:val="20"/>
          <w:lang w:val="en-GB"/>
        </w:rPr>
        <w:t xml:space="preserve">. </w:t>
      </w:r>
    </w:p>
    <w:p w14:paraId="277E8680" w14:textId="04FA9C19" w:rsidR="005B39A5" w:rsidRDefault="00E6539E" w:rsidP="00202C59">
      <w:pPr>
        <w:ind w:right="-22"/>
        <w:rPr>
          <w:rFonts w:eastAsia="Calibri" w:cs="Times New Roman"/>
          <w:szCs w:val="20"/>
          <w:lang w:val="en-GB"/>
        </w:rPr>
      </w:pPr>
      <w:r>
        <w:rPr>
          <w:rFonts w:eastAsia="Calibri" w:cs="Times New Roman"/>
          <w:szCs w:val="20"/>
          <w:lang w:val="en-GB"/>
        </w:rPr>
        <w:t>In last meeting</w:t>
      </w:r>
      <w:r w:rsidR="00506EC0">
        <w:rPr>
          <w:rFonts w:eastAsia="Calibri" w:cs="Times New Roman"/>
          <w:szCs w:val="20"/>
          <w:lang w:val="en-GB"/>
        </w:rPr>
        <w:t xml:space="preserve">, we had discussed the scenarios for handover with </w:t>
      </w:r>
      <w:proofErr w:type="spellStart"/>
      <w:r w:rsidR="00506EC0">
        <w:rPr>
          <w:rFonts w:eastAsia="Calibri" w:cs="Times New Roman"/>
          <w:szCs w:val="20"/>
          <w:lang w:val="en-GB"/>
        </w:rPr>
        <w:t>PSCell</w:t>
      </w:r>
      <w:proofErr w:type="spellEnd"/>
      <w:r w:rsidR="00506EC0">
        <w:rPr>
          <w:rFonts w:eastAsia="Calibri" w:cs="Times New Roman"/>
          <w:szCs w:val="20"/>
          <w:lang w:val="en-GB"/>
        </w:rPr>
        <w:t xml:space="preserve"> and captured the discussion in the agreed </w:t>
      </w:r>
      <w:r>
        <w:rPr>
          <w:rFonts w:eastAsia="Calibri" w:cs="Times New Roman"/>
          <w:szCs w:val="20"/>
          <w:lang w:val="en-GB"/>
        </w:rPr>
        <w:t>WF [</w:t>
      </w:r>
      <w:r w:rsidR="005F0B05">
        <w:rPr>
          <w:rFonts w:eastAsia="Calibri" w:cs="Times New Roman"/>
          <w:szCs w:val="20"/>
          <w:lang w:val="en-GB"/>
        </w:rPr>
        <w:t>2</w:t>
      </w:r>
      <w:r>
        <w:rPr>
          <w:rFonts w:eastAsia="Calibri" w:cs="Times New Roman"/>
          <w:szCs w:val="20"/>
          <w:lang w:val="en-GB"/>
        </w:rPr>
        <w:t>]</w:t>
      </w:r>
      <w:r w:rsidR="00324D95">
        <w:rPr>
          <w:rFonts w:eastAsia="Calibri" w:cs="Times New Roman"/>
          <w:szCs w:val="20"/>
          <w:lang w:val="en-GB"/>
        </w:rPr>
        <w:t xml:space="preserve"> as below</w:t>
      </w:r>
      <w:r w:rsidR="005F0B05">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5F0B05" w14:paraId="62F0FB54" w14:textId="77777777" w:rsidTr="005F0B05">
        <w:tc>
          <w:tcPr>
            <w:tcW w:w="9617" w:type="dxa"/>
          </w:tcPr>
          <w:p w14:paraId="658BE08E" w14:textId="77777777" w:rsidR="005F0B05" w:rsidRPr="005F0B05" w:rsidRDefault="005F0B05" w:rsidP="005F0B05">
            <w:pPr>
              <w:numPr>
                <w:ilvl w:val="0"/>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 xml:space="preserve">Issue 2-1-1: Scenarios for RRM requirement of HO with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w:t>
            </w:r>
          </w:p>
          <w:p w14:paraId="4232955B" w14:textId="77777777" w:rsidR="005F0B05" w:rsidRPr="005F0B05" w:rsidRDefault="005F0B05" w:rsidP="005F0B05">
            <w:pPr>
              <w:numPr>
                <w:ilvl w:val="1"/>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lastRenderedPageBreak/>
              <w:t>Agreements</w:t>
            </w:r>
          </w:p>
          <w:p w14:paraId="2998A1DF" w14:textId="77777777" w:rsidR="005F0B05" w:rsidRPr="005F0B05" w:rsidRDefault="005F0B05" w:rsidP="005F0B05">
            <w:pPr>
              <w:numPr>
                <w:ilvl w:val="2"/>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 xml:space="preserve">Define RRM requirement for HO with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for following scenarios:</w:t>
            </w:r>
          </w:p>
          <w:p w14:paraId="5F86AB5F" w14:textId="77777777" w:rsidR="005F0B05" w:rsidRPr="005F0B05" w:rsidRDefault="005F0B05" w:rsidP="005F0B05">
            <w:pPr>
              <w:numPr>
                <w:ilvl w:val="3"/>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 xml:space="preserve">from NR SA to EN-DC:  </w:t>
            </w:r>
            <w:proofErr w:type="spellStart"/>
            <w:r w:rsidRPr="005F0B05">
              <w:rPr>
                <w:rFonts w:asciiTheme="minorHAnsi" w:eastAsia="Calibri" w:hAnsiTheme="minorHAnsi" w:cstheme="minorHAnsi"/>
                <w:szCs w:val="20"/>
              </w:rPr>
              <w:t>Pcell</w:t>
            </w:r>
            <w:proofErr w:type="spellEnd"/>
            <w:r w:rsidRPr="005F0B05">
              <w:rPr>
                <w:rFonts w:asciiTheme="minorHAnsi" w:eastAsia="Calibri" w:hAnsiTheme="minorHAnsi" w:cstheme="minorHAnsi"/>
                <w:szCs w:val="20"/>
              </w:rPr>
              <w:t xml:space="preserve"> HO +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addition.  </w:t>
            </w:r>
          </w:p>
          <w:p w14:paraId="4C6940AA" w14:textId="77777777" w:rsidR="005F0B05" w:rsidRPr="005F0B05" w:rsidRDefault="005F0B05" w:rsidP="005F0B05">
            <w:pPr>
              <w:numPr>
                <w:ilvl w:val="3"/>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 xml:space="preserve">from EN-DC to EN-DC: LTE </w:t>
            </w:r>
            <w:proofErr w:type="spellStart"/>
            <w:r w:rsidRPr="005F0B05">
              <w:rPr>
                <w:rFonts w:asciiTheme="minorHAnsi" w:eastAsia="Calibri" w:hAnsiTheme="minorHAnsi" w:cstheme="minorHAnsi"/>
                <w:szCs w:val="20"/>
              </w:rPr>
              <w:t>Pcell</w:t>
            </w:r>
            <w:proofErr w:type="spellEnd"/>
            <w:r w:rsidRPr="005F0B05">
              <w:rPr>
                <w:rFonts w:asciiTheme="minorHAnsi" w:eastAsia="Calibri" w:hAnsiTheme="minorHAnsi" w:cstheme="minorHAnsi"/>
                <w:szCs w:val="20"/>
              </w:rPr>
              <w:t xml:space="preserve"> HO + NR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w:t>
            </w:r>
          </w:p>
          <w:p w14:paraId="7CE29BD6" w14:textId="77777777" w:rsidR="005F0B05" w:rsidRPr="005F0B05" w:rsidRDefault="005F0B05" w:rsidP="005F0B05">
            <w:pPr>
              <w:numPr>
                <w:ilvl w:val="3"/>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 xml:space="preserve">from NE-DC to NE-DC: </w:t>
            </w:r>
          </w:p>
          <w:p w14:paraId="1C815808" w14:textId="77777777" w:rsidR="005F0B05" w:rsidRPr="005F0B05" w:rsidRDefault="005F0B05" w:rsidP="005F0B05">
            <w:pPr>
              <w:numPr>
                <w:ilvl w:val="3"/>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from NR-DC to NR-DC:</w:t>
            </w:r>
          </w:p>
          <w:p w14:paraId="291AE4FA" w14:textId="77777777" w:rsidR="005F0B05" w:rsidRPr="005F0B05" w:rsidRDefault="005F0B05" w:rsidP="005F0B05">
            <w:pPr>
              <w:numPr>
                <w:ilvl w:val="3"/>
                <w:numId w:val="37"/>
              </w:numPr>
              <w:ind w:right="-22"/>
              <w:rPr>
                <w:rFonts w:asciiTheme="minorHAnsi" w:eastAsia="Calibri" w:hAnsiTheme="minorHAnsi" w:cstheme="minorHAnsi"/>
                <w:szCs w:val="20"/>
              </w:rPr>
            </w:pPr>
            <w:r w:rsidRPr="005F0B05">
              <w:rPr>
                <w:rFonts w:asciiTheme="minorHAnsi" w:eastAsia="Calibri" w:hAnsiTheme="minorHAnsi" w:cstheme="minorHAnsi"/>
                <w:szCs w:val="20"/>
              </w:rPr>
              <w:t>FFS on other scenarios</w:t>
            </w:r>
          </w:p>
          <w:p w14:paraId="26E60F98" w14:textId="70AB37A6" w:rsidR="005F0B05" w:rsidRPr="005F0B05" w:rsidRDefault="005F0B05" w:rsidP="00324D95">
            <w:pPr>
              <w:contextualSpacing/>
              <w:rPr>
                <w:rFonts w:eastAsia="Calibri" w:cs="Times New Roman"/>
                <w:szCs w:val="20"/>
              </w:rPr>
            </w:pPr>
          </w:p>
        </w:tc>
      </w:tr>
    </w:tbl>
    <w:p w14:paraId="5E537C5A" w14:textId="7DC3DDB4" w:rsidR="005F0B05" w:rsidRDefault="005F0B05" w:rsidP="00202C59">
      <w:pPr>
        <w:ind w:right="-22"/>
        <w:rPr>
          <w:rFonts w:eastAsia="Calibri" w:cs="Times New Roman"/>
          <w:szCs w:val="20"/>
          <w:lang w:val="en-GB"/>
        </w:rPr>
      </w:pPr>
    </w:p>
    <w:p w14:paraId="1B0213B7" w14:textId="5B9B697C" w:rsidR="006C498D" w:rsidRDefault="008819DA" w:rsidP="00202C59">
      <w:pPr>
        <w:ind w:right="-22"/>
        <w:rPr>
          <w:rFonts w:eastAsia="Calibri" w:cs="Times New Roman"/>
          <w:szCs w:val="20"/>
          <w:lang w:val="en-GB"/>
        </w:rPr>
      </w:pPr>
      <w:r>
        <w:rPr>
          <w:rFonts w:eastAsia="Calibri" w:cs="Times New Roman"/>
          <w:szCs w:val="20"/>
          <w:lang w:val="en-GB"/>
        </w:rPr>
        <w:t>In RAN2 specification, the supported MR-DC handover scenarios are defined i</w:t>
      </w:r>
      <w:r w:rsidR="006C498D">
        <w:rPr>
          <w:rFonts w:eastAsia="Calibri" w:cs="Times New Roman"/>
          <w:szCs w:val="20"/>
          <w:lang w:val="en-GB"/>
        </w:rPr>
        <w:t>n RAN2 specification 37.340</w:t>
      </w:r>
      <w:r>
        <w:rPr>
          <w:rFonts w:eastAsia="Calibri" w:cs="Times New Roman"/>
          <w:szCs w:val="20"/>
          <w:lang w:val="en-GB"/>
        </w:rPr>
        <w:t xml:space="preserve"> Annex B as below: </w:t>
      </w:r>
    </w:p>
    <w:tbl>
      <w:tblPr>
        <w:tblStyle w:val="TableGrid"/>
        <w:tblW w:w="0" w:type="auto"/>
        <w:tblLook w:val="04A0" w:firstRow="1" w:lastRow="0" w:firstColumn="1" w:lastColumn="0" w:noHBand="0" w:noVBand="1"/>
      </w:tblPr>
      <w:tblGrid>
        <w:gridCol w:w="9617"/>
      </w:tblGrid>
      <w:tr w:rsidR="006C498D" w14:paraId="389BD735" w14:textId="77777777" w:rsidTr="006C498D">
        <w:tc>
          <w:tcPr>
            <w:tcW w:w="9617" w:type="dxa"/>
          </w:tcPr>
          <w:p w14:paraId="5FC235EE" w14:textId="5462D23C" w:rsidR="006C498D" w:rsidRDefault="006C498D" w:rsidP="00202C59">
            <w:pPr>
              <w:ind w:right="-22"/>
              <w:rPr>
                <w:rFonts w:eastAsia="Calibri" w:cs="Times New Roman"/>
                <w:szCs w:val="20"/>
                <w:lang w:val="en-GB"/>
              </w:rPr>
            </w:pPr>
            <w:r>
              <w:object w:dxaOrig="11670" w:dyaOrig="3830" w14:anchorId="6834F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54.5pt" o:ole="">
                  <v:imagedata r:id="rId13" o:title=""/>
                </v:shape>
                <o:OLEObject Type="Embed" ProgID="PBrush" ShapeID="_x0000_i1025" DrawAspect="Content" ObjectID="_1678930517" r:id="rId14"/>
              </w:object>
            </w:r>
          </w:p>
        </w:tc>
      </w:tr>
    </w:tbl>
    <w:p w14:paraId="21F9C502" w14:textId="04077857" w:rsidR="006C498D" w:rsidRDefault="006C498D" w:rsidP="00202C59">
      <w:pPr>
        <w:ind w:right="-22"/>
        <w:rPr>
          <w:rFonts w:eastAsia="Calibri" w:cs="Times New Roman"/>
          <w:szCs w:val="20"/>
          <w:lang w:val="en-GB"/>
        </w:rPr>
      </w:pPr>
    </w:p>
    <w:p w14:paraId="05B948E0" w14:textId="77777777" w:rsidR="008A7CBA" w:rsidRDefault="008A7CBA" w:rsidP="00202C59">
      <w:pPr>
        <w:ind w:right="-22"/>
        <w:rPr>
          <w:rFonts w:eastAsia="Calibri" w:cs="Times New Roman"/>
          <w:szCs w:val="20"/>
          <w:lang w:val="en-GB"/>
        </w:rPr>
      </w:pPr>
      <w:r>
        <w:rPr>
          <w:rFonts w:eastAsia="Calibri" w:cs="Times New Roman"/>
          <w:szCs w:val="20"/>
          <w:lang w:val="en-GB"/>
        </w:rPr>
        <w:t>H</w:t>
      </w:r>
      <w:r w:rsidR="00AB5001">
        <w:rPr>
          <w:rFonts w:eastAsia="Calibri" w:cs="Times New Roman"/>
          <w:szCs w:val="20"/>
          <w:lang w:val="en-GB"/>
        </w:rPr>
        <w:t xml:space="preserve">andover with </w:t>
      </w:r>
      <w:proofErr w:type="spellStart"/>
      <w:r w:rsidR="00AB5001">
        <w:rPr>
          <w:rFonts w:eastAsia="Calibri" w:cs="Times New Roman"/>
          <w:szCs w:val="20"/>
          <w:lang w:val="en-GB"/>
        </w:rPr>
        <w:t>PSCell</w:t>
      </w:r>
      <w:proofErr w:type="spellEnd"/>
      <w:r>
        <w:rPr>
          <w:rFonts w:eastAsia="Calibri" w:cs="Times New Roman"/>
          <w:szCs w:val="20"/>
          <w:lang w:val="en-GB"/>
        </w:rPr>
        <w:t xml:space="preserve"> is the procedure which will include </w:t>
      </w:r>
      <w:proofErr w:type="spellStart"/>
      <w:r>
        <w:rPr>
          <w:rFonts w:eastAsia="Calibri" w:cs="Times New Roman"/>
          <w:szCs w:val="20"/>
          <w:lang w:val="en-GB"/>
        </w:rPr>
        <w:t>PSCell</w:t>
      </w:r>
      <w:proofErr w:type="spellEnd"/>
      <w:r>
        <w:rPr>
          <w:rFonts w:eastAsia="Calibri" w:cs="Times New Roman"/>
          <w:szCs w:val="20"/>
          <w:lang w:val="en-GB"/>
        </w:rPr>
        <w:t xml:space="preserve"> addition or change during handover</w:t>
      </w:r>
      <w:r w:rsidR="00AB5001">
        <w:rPr>
          <w:rFonts w:eastAsia="Calibri" w:cs="Times New Roman"/>
          <w:szCs w:val="20"/>
          <w:lang w:val="en-GB"/>
        </w:rPr>
        <w:t>,</w:t>
      </w:r>
      <w:r>
        <w:rPr>
          <w:rFonts w:eastAsia="Calibri" w:cs="Times New Roman"/>
          <w:szCs w:val="20"/>
          <w:lang w:val="en-GB"/>
        </w:rPr>
        <w:t xml:space="preserve"> the supported scenarios for MR-DC handover which will include </w:t>
      </w:r>
      <w:proofErr w:type="spellStart"/>
      <w:r>
        <w:rPr>
          <w:rFonts w:eastAsia="Calibri" w:cs="Times New Roman"/>
          <w:szCs w:val="20"/>
          <w:lang w:val="en-GB"/>
        </w:rPr>
        <w:t>PSCell</w:t>
      </w:r>
      <w:proofErr w:type="spellEnd"/>
      <w:r>
        <w:rPr>
          <w:rFonts w:eastAsia="Calibri" w:cs="Times New Roman"/>
          <w:szCs w:val="20"/>
          <w:lang w:val="en-GB"/>
        </w:rPr>
        <w:t xml:space="preserve"> should be applicable for HO with </w:t>
      </w:r>
      <w:proofErr w:type="spellStart"/>
      <w:r>
        <w:rPr>
          <w:rFonts w:eastAsia="Calibri" w:cs="Times New Roman"/>
          <w:szCs w:val="20"/>
          <w:lang w:val="en-GB"/>
        </w:rPr>
        <w:t>PSCell</w:t>
      </w:r>
      <w:proofErr w:type="spellEnd"/>
      <w:r>
        <w:rPr>
          <w:rFonts w:eastAsia="Calibri" w:cs="Times New Roman"/>
          <w:szCs w:val="20"/>
          <w:lang w:val="en-GB"/>
        </w:rPr>
        <w:t xml:space="preserve"> in MR-DC. </w:t>
      </w:r>
    </w:p>
    <w:p w14:paraId="2DA0548F" w14:textId="43E317DA" w:rsidR="00AB5001" w:rsidRDefault="008A7CBA" w:rsidP="00202C59">
      <w:pPr>
        <w:ind w:right="-22"/>
        <w:rPr>
          <w:rFonts w:eastAsia="Calibri" w:cs="Times New Roman"/>
          <w:szCs w:val="20"/>
          <w:lang w:val="en-GB"/>
        </w:rPr>
      </w:pPr>
      <w:r>
        <w:rPr>
          <w:rFonts w:eastAsia="Calibri" w:cs="Times New Roman"/>
          <w:szCs w:val="20"/>
          <w:lang w:val="en-GB"/>
        </w:rPr>
        <w:t xml:space="preserve">According the supported scenarios for MR-DC handover as above, </w:t>
      </w:r>
      <w:r w:rsidR="00EC5CF0">
        <w:rPr>
          <w:rFonts w:eastAsia="Calibri" w:cs="Times New Roman"/>
          <w:szCs w:val="20"/>
          <w:lang w:val="en-GB"/>
        </w:rPr>
        <w:t>b</w:t>
      </w:r>
      <w:r>
        <w:rPr>
          <w:rFonts w:eastAsia="Calibri" w:cs="Times New Roman"/>
          <w:szCs w:val="20"/>
          <w:lang w:val="en-GB"/>
        </w:rPr>
        <w:t xml:space="preserve">esides the agreed supported scenarios in last RAN4#98e meeting which are </w:t>
      </w:r>
      <w:r w:rsidRPr="008819DA">
        <w:rPr>
          <w:rFonts w:eastAsia="Calibri" w:cs="Times New Roman"/>
          <w:szCs w:val="20"/>
          <w:lang w:val="en-GB"/>
        </w:rPr>
        <w:t>“from NR SA to EN-DC”,  “from EN-DC to EN-DC”, “from NE-DC to NE-DC” and “from NR-DC to NR-DC”</w:t>
      </w:r>
      <w:r>
        <w:rPr>
          <w:rFonts w:eastAsia="Calibri" w:cs="Times New Roman"/>
          <w:szCs w:val="20"/>
          <w:lang w:val="en-GB"/>
        </w:rPr>
        <w:t xml:space="preserve">, </w:t>
      </w:r>
      <w:r w:rsidR="00EC5CF0">
        <w:rPr>
          <w:rFonts w:eastAsia="Calibri" w:cs="Times New Roman"/>
          <w:szCs w:val="20"/>
          <w:lang w:val="en-GB"/>
        </w:rPr>
        <w:t xml:space="preserve">we should support “from NR SA to NR-DC”, “from NR SA to NE-DC” and “from E-UTAN to EN-DC” scenarios for HO with </w:t>
      </w:r>
      <w:proofErr w:type="spellStart"/>
      <w:r w:rsidR="00EC5CF0">
        <w:rPr>
          <w:rFonts w:eastAsia="Calibri" w:cs="Times New Roman"/>
          <w:szCs w:val="20"/>
          <w:lang w:val="en-GB"/>
        </w:rPr>
        <w:t>PSCell</w:t>
      </w:r>
      <w:proofErr w:type="spellEnd"/>
      <w:r w:rsidR="00EC5CF0">
        <w:rPr>
          <w:rFonts w:eastAsia="Calibri" w:cs="Times New Roman"/>
          <w:szCs w:val="20"/>
          <w:lang w:val="en-GB"/>
        </w:rPr>
        <w:t xml:space="preserve"> as well. </w:t>
      </w:r>
    </w:p>
    <w:p w14:paraId="7730BBF9" w14:textId="16657AEC" w:rsidR="00AB5001" w:rsidRDefault="00AB5001" w:rsidP="00AB5001">
      <w:pPr>
        <w:pStyle w:val="RAN4proposal"/>
      </w:pPr>
      <w:r>
        <w:t xml:space="preserve">RAN4 specifies RRM requirements for handover with </w:t>
      </w:r>
      <w:proofErr w:type="spellStart"/>
      <w:r>
        <w:t>PSCell</w:t>
      </w:r>
      <w:proofErr w:type="spellEnd"/>
      <w:r>
        <w:t xml:space="preserve"> for following scenarios besides of the agreed scenarios in RAN4#98e: </w:t>
      </w:r>
    </w:p>
    <w:p w14:paraId="77632E0F" w14:textId="1C11F5F2" w:rsidR="00AB5001" w:rsidRPr="00AB5001" w:rsidRDefault="00AB5001" w:rsidP="00AB5001">
      <w:pPr>
        <w:pStyle w:val="ListParagraph"/>
        <w:numPr>
          <w:ilvl w:val="0"/>
          <w:numId w:val="39"/>
        </w:numPr>
        <w:rPr>
          <w:b/>
          <w:bCs/>
        </w:rPr>
      </w:pPr>
      <w:r w:rsidRPr="00AB5001">
        <w:rPr>
          <w:b/>
          <w:bCs/>
        </w:rPr>
        <w:t>From NR SA to NR-DC</w:t>
      </w:r>
    </w:p>
    <w:p w14:paraId="7814F9E3" w14:textId="40AC28CE" w:rsidR="00AB5001" w:rsidRPr="00AB5001" w:rsidRDefault="00AB5001" w:rsidP="00AB5001">
      <w:pPr>
        <w:pStyle w:val="ListParagraph"/>
        <w:numPr>
          <w:ilvl w:val="0"/>
          <w:numId w:val="39"/>
        </w:numPr>
        <w:rPr>
          <w:b/>
          <w:bCs/>
        </w:rPr>
      </w:pPr>
      <w:r w:rsidRPr="00AB5001">
        <w:rPr>
          <w:b/>
          <w:bCs/>
        </w:rPr>
        <w:t>From NR SA to NE-DC</w:t>
      </w:r>
    </w:p>
    <w:p w14:paraId="37975793" w14:textId="681B65C0" w:rsidR="00AB5001" w:rsidRDefault="00AB5001" w:rsidP="00AB5001">
      <w:pPr>
        <w:pStyle w:val="ListParagraph"/>
        <w:numPr>
          <w:ilvl w:val="0"/>
          <w:numId w:val="39"/>
        </w:numPr>
        <w:rPr>
          <w:b/>
          <w:bCs/>
        </w:rPr>
      </w:pPr>
      <w:r w:rsidRPr="00AB5001">
        <w:rPr>
          <w:b/>
          <w:bCs/>
        </w:rPr>
        <w:t>From E-UTRAN to EN-DC</w:t>
      </w:r>
    </w:p>
    <w:p w14:paraId="7E1B5229" w14:textId="77777777" w:rsidR="00324D95" w:rsidRPr="00AB5001" w:rsidRDefault="00324D95" w:rsidP="00324D95">
      <w:pPr>
        <w:pStyle w:val="ListParagraph"/>
        <w:rPr>
          <w:b/>
          <w:bCs/>
        </w:rPr>
      </w:pPr>
    </w:p>
    <w:p w14:paraId="5DA4B369" w14:textId="42A4C449" w:rsidR="009976ED" w:rsidRDefault="009976ED" w:rsidP="009976ED">
      <w:pPr>
        <w:pStyle w:val="RAN4H2"/>
        <w:rPr>
          <w:rFonts w:eastAsia="Calibri"/>
          <w:lang w:val="en-GB"/>
        </w:rPr>
      </w:pPr>
      <w:r>
        <w:rPr>
          <w:rFonts w:eastAsia="Calibri"/>
          <w:lang w:val="en-GB"/>
        </w:rPr>
        <w:t xml:space="preserve">NE-DC and NR-DC mode for HO with </w:t>
      </w:r>
      <w:proofErr w:type="spellStart"/>
      <w:r>
        <w:rPr>
          <w:rFonts w:eastAsia="Calibri"/>
          <w:lang w:val="en-GB"/>
        </w:rPr>
        <w:t>PSCell</w:t>
      </w:r>
      <w:proofErr w:type="spellEnd"/>
    </w:p>
    <w:p w14:paraId="22968510" w14:textId="1499AB56" w:rsidR="009976ED" w:rsidRDefault="009976ED" w:rsidP="009976ED">
      <w:pPr>
        <w:ind w:right="-22"/>
        <w:rPr>
          <w:rFonts w:eastAsia="Calibri" w:cs="Times New Roman"/>
          <w:szCs w:val="20"/>
          <w:lang w:val="en-GB"/>
        </w:rPr>
      </w:pPr>
      <w:r>
        <w:rPr>
          <w:rFonts w:eastAsia="Calibri" w:cs="Times New Roman"/>
          <w:szCs w:val="20"/>
          <w:lang w:val="en-GB"/>
        </w:rPr>
        <w:t xml:space="preserve">In last meeting, we </w:t>
      </w:r>
      <w:r w:rsidR="00324D95">
        <w:rPr>
          <w:rFonts w:eastAsia="Calibri" w:cs="Times New Roman"/>
          <w:szCs w:val="20"/>
          <w:lang w:val="en-GB"/>
        </w:rPr>
        <w:t xml:space="preserve">also discussed NE-DC and NR-DC mode </w:t>
      </w:r>
      <w:r>
        <w:rPr>
          <w:rFonts w:eastAsia="Calibri" w:cs="Times New Roman"/>
          <w:szCs w:val="20"/>
          <w:lang w:val="en-GB"/>
        </w:rPr>
        <w:t xml:space="preserve">for handover with </w:t>
      </w:r>
      <w:proofErr w:type="spellStart"/>
      <w:r>
        <w:rPr>
          <w:rFonts w:eastAsia="Calibri" w:cs="Times New Roman"/>
          <w:szCs w:val="20"/>
          <w:lang w:val="en-GB"/>
        </w:rPr>
        <w:t>PSCell</w:t>
      </w:r>
      <w:proofErr w:type="spellEnd"/>
      <w:r>
        <w:rPr>
          <w:rFonts w:eastAsia="Calibri" w:cs="Times New Roman"/>
          <w:szCs w:val="20"/>
          <w:lang w:val="en-GB"/>
        </w:rPr>
        <w:t xml:space="preserve"> and captured the discussion in the agreed WF [2]</w:t>
      </w:r>
      <w:r w:rsidR="00324D95">
        <w:rPr>
          <w:rFonts w:eastAsia="Calibri" w:cs="Times New Roman"/>
          <w:szCs w:val="20"/>
          <w:lang w:val="en-GB"/>
        </w:rPr>
        <w:t xml:space="preserve"> as below</w:t>
      </w:r>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9976ED" w14:paraId="1333F26F" w14:textId="77777777" w:rsidTr="0087359B">
        <w:tc>
          <w:tcPr>
            <w:tcW w:w="9617" w:type="dxa"/>
          </w:tcPr>
          <w:p w14:paraId="4AAF63AC" w14:textId="77777777" w:rsidR="005F0B05" w:rsidRPr="005F0B05" w:rsidRDefault="005F0B05" w:rsidP="0012173E">
            <w:pPr>
              <w:numPr>
                <w:ilvl w:val="0"/>
                <w:numId w:val="37"/>
              </w:numPr>
              <w:ind w:left="0" w:right="-22"/>
              <w:rPr>
                <w:rFonts w:asciiTheme="minorHAnsi" w:eastAsia="Calibri" w:hAnsiTheme="minorHAnsi" w:cstheme="minorHAnsi"/>
                <w:szCs w:val="20"/>
              </w:rPr>
            </w:pPr>
            <w:r w:rsidRPr="005F0B05">
              <w:rPr>
                <w:rFonts w:asciiTheme="minorHAnsi" w:eastAsia="Calibri" w:hAnsiTheme="minorHAnsi" w:cstheme="minorHAnsi"/>
                <w:szCs w:val="20"/>
              </w:rPr>
              <w:t xml:space="preserve">Issue 2-1-2: NR-DC and NE-DC mode in HO with </w:t>
            </w:r>
            <w:proofErr w:type="spellStart"/>
            <w:r w:rsidRPr="005F0B05">
              <w:rPr>
                <w:rFonts w:asciiTheme="minorHAnsi" w:eastAsia="Calibri" w:hAnsiTheme="minorHAnsi" w:cstheme="minorHAnsi"/>
                <w:szCs w:val="20"/>
              </w:rPr>
              <w:t>PSCell</w:t>
            </w:r>
            <w:proofErr w:type="spellEnd"/>
          </w:p>
          <w:p w14:paraId="458F8BDC" w14:textId="77777777" w:rsidR="005F0B05" w:rsidRPr="005F0B05" w:rsidRDefault="005F0B05" w:rsidP="0012173E">
            <w:pPr>
              <w:numPr>
                <w:ilvl w:val="1"/>
                <w:numId w:val="37"/>
              </w:numPr>
              <w:ind w:left="720" w:right="-22"/>
              <w:rPr>
                <w:rFonts w:asciiTheme="minorHAnsi" w:eastAsia="Calibri" w:hAnsiTheme="minorHAnsi" w:cstheme="minorHAnsi"/>
                <w:szCs w:val="20"/>
              </w:rPr>
            </w:pPr>
            <w:r w:rsidRPr="005F0B05">
              <w:rPr>
                <w:rFonts w:asciiTheme="minorHAnsi" w:eastAsia="Calibri" w:hAnsiTheme="minorHAnsi" w:cstheme="minorHAnsi"/>
                <w:szCs w:val="20"/>
              </w:rPr>
              <w:t>FFS:</w:t>
            </w:r>
          </w:p>
          <w:p w14:paraId="2EF5509D" w14:textId="77777777" w:rsidR="005F0B05" w:rsidRPr="005F0B05" w:rsidRDefault="005F0B05" w:rsidP="0012173E">
            <w:pPr>
              <w:numPr>
                <w:ilvl w:val="2"/>
                <w:numId w:val="37"/>
              </w:numPr>
              <w:ind w:left="1440" w:right="-22"/>
              <w:rPr>
                <w:rFonts w:asciiTheme="minorHAnsi" w:eastAsia="Calibri" w:hAnsiTheme="minorHAnsi" w:cstheme="minorHAnsi"/>
                <w:szCs w:val="20"/>
              </w:rPr>
            </w:pPr>
            <w:r w:rsidRPr="005F0B05">
              <w:rPr>
                <w:rFonts w:asciiTheme="minorHAnsi" w:eastAsia="Calibri" w:hAnsiTheme="minorHAnsi" w:cstheme="minorHAnsi"/>
                <w:szCs w:val="20"/>
              </w:rPr>
              <w:t xml:space="preserve">Option 1(Apple, CATT, QC, MTK): In R17 RAN4 only considers legacy FR1+FR2 NR-DC for HO with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from NR-DC to NR-DC, and only considers FR1+LTE NE-DC for HO with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from NE-DC to NE-DC.</w:t>
            </w:r>
          </w:p>
          <w:p w14:paraId="14225AC6" w14:textId="77777777" w:rsidR="005F0B05" w:rsidRPr="005F0B05" w:rsidRDefault="005F0B05" w:rsidP="0012173E">
            <w:pPr>
              <w:numPr>
                <w:ilvl w:val="2"/>
                <w:numId w:val="37"/>
              </w:numPr>
              <w:ind w:left="1440" w:right="-22"/>
              <w:rPr>
                <w:rFonts w:asciiTheme="minorHAnsi" w:eastAsia="Calibri" w:hAnsiTheme="minorHAnsi" w:cstheme="minorHAnsi"/>
                <w:szCs w:val="20"/>
              </w:rPr>
            </w:pPr>
            <w:r w:rsidRPr="005F0B05">
              <w:rPr>
                <w:rFonts w:asciiTheme="minorHAnsi" w:eastAsia="Calibri" w:hAnsiTheme="minorHAnsi" w:cstheme="minorHAnsi"/>
                <w:szCs w:val="20"/>
              </w:rPr>
              <w:t xml:space="preserve">Option 2(Huawei, Ericsson): In R17 RAN4 considers FR1+FR2 NR-DC and FR1+FR1 NR-DC for HO with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from NR-DC to NR-DC, and only considers FR1+LTE NE-DC for HO with </w:t>
            </w:r>
            <w:proofErr w:type="spellStart"/>
            <w:r w:rsidRPr="005F0B05">
              <w:rPr>
                <w:rFonts w:asciiTheme="minorHAnsi" w:eastAsia="Calibri" w:hAnsiTheme="minorHAnsi" w:cstheme="minorHAnsi"/>
                <w:szCs w:val="20"/>
              </w:rPr>
              <w:t>PSCell</w:t>
            </w:r>
            <w:proofErr w:type="spellEnd"/>
            <w:r w:rsidRPr="005F0B05">
              <w:rPr>
                <w:rFonts w:asciiTheme="minorHAnsi" w:eastAsia="Calibri" w:hAnsiTheme="minorHAnsi" w:cstheme="minorHAnsi"/>
                <w:szCs w:val="20"/>
              </w:rPr>
              <w:t xml:space="preserve"> from NE-DC to NE-DC.</w:t>
            </w:r>
          </w:p>
          <w:p w14:paraId="05011934" w14:textId="77777777" w:rsidR="005F0B05" w:rsidRPr="005F0B05" w:rsidRDefault="005F0B05" w:rsidP="0012173E">
            <w:pPr>
              <w:numPr>
                <w:ilvl w:val="2"/>
                <w:numId w:val="37"/>
              </w:numPr>
              <w:ind w:left="1440" w:right="-22"/>
              <w:rPr>
                <w:rFonts w:asciiTheme="minorHAnsi" w:eastAsia="Calibri" w:hAnsiTheme="minorHAnsi" w:cstheme="minorHAnsi"/>
                <w:szCs w:val="20"/>
              </w:rPr>
            </w:pPr>
            <w:r w:rsidRPr="005F0B05">
              <w:rPr>
                <w:rFonts w:asciiTheme="minorHAnsi" w:eastAsia="Calibri" w:hAnsiTheme="minorHAnsi" w:cstheme="minorHAnsi"/>
                <w:szCs w:val="20"/>
              </w:rPr>
              <w:t xml:space="preserve">Option 3(tentative compromise)(Apple): </w:t>
            </w:r>
          </w:p>
          <w:p w14:paraId="16308702" w14:textId="77777777" w:rsidR="005F0B05" w:rsidRPr="005F0B05" w:rsidRDefault="005F0B05" w:rsidP="0012173E">
            <w:pPr>
              <w:numPr>
                <w:ilvl w:val="3"/>
                <w:numId w:val="38"/>
              </w:numPr>
              <w:ind w:left="252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 xml:space="preserve">For HO with </w:t>
            </w:r>
            <w:proofErr w:type="spellStart"/>
            <w:r w:rsidRPr="005F0B05">
              <w:rPr>
                <w:rFonts w:asciiTheme="minorHAnsi" w:eastAsia="+mn-ea" w:hAnsiTheme="minorHAnsi" w:cstheme="minorHAnsi"/>
                <w:color w:val="000000"/>
                <w:kern w:val="24"/>
                <w:sz w:val="18"/>
                <w:szCs w:val="18"/>
                <w:lang w:eastAsia="zh-CN"/>
              </w:rPr>
              <w:t>PSCell</w:t>
            </w:r>
            <w:proofErr w:type="spellEnd"/>
            <w:r w:rsidRPr="005F0B05">
              <w:rPr>
                <w:rFonts w:asciiTheme="minorHAnsi" w:eastAsia="+mn-ea" w:hAnsiTheme="minorHAnsi" w:cstheme="minorHAnsi"/>
                <w:color w:val="000000"/>
                <w:kern w:val="24"/>
                <w:sz w:val="18"/>
                <w:szCs w:val="18"/>
                <w:lang w:eastAsia="zh-CN"/>
              </w:rPr>
              <w:t xml:space="preserve"> from NR-DC to NR-DC, following scenario(s) are considered in RAN4, </w:t>
            </w:r>
          </w:p>
          <w:p w14:paraId="5EB80428" w14:textId="77777777" w:rsidR="005F0B05" w:rsidRPr="005F0B05"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FR1+FR2 NR-DC</w:t>
            </w:r>
          </w:p>
          <w:p w14:paraId="548467B8" w14:textId="77777777" w:rsidR="005F0B05" w:rsidRPr="005F0B05"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FFS: FR1+FR1 NR-DC</w:t>
            </w:r>
          </w:p>
          <w:p w14:paraId="768BDAFA" w14:textId="77777777" w:rsidR="005F0B05" w:rsidRPr="005F0B05" w:rsidRDefault="005F0B05" w:rsidP="0012173E">
            <w:pPr>
              <w:numPr>
                <w:ilvl w:val="3"/>
                <w:numId w:val="38"/>
              </w:numPr>
              <w:ind w:left="252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lastRenderedPageBreak/>
              <w:t xml:space="preserve">For HO with </w:t>
            </w:r>
            <w:proofErr w:type="spellStart"/>
            <w:r w:rsidRPr="005F0B05">
              <w:rPr>
                <w:rFonts w:asciiTheme="minorHAnsi" w:eastAsia="+mn-ea" w:hAnsiTheme="minorHAnsi" w:cstheme="minorHAnsi"/>
                <w:color w:val="000000"/>
                <w:kern w:val="24"/>
                <w:sz w:val="18"/>
                <w:szCs w:val="18"/>
                <w:lang w:eastAsia="zh-CN"/>
              </w:rPr>
              <w:t>PSCell</w:t>
            </w:r>
            <w:proofErr w:type="spellEnd"/>
            <w:r w:rsidRPr="005F0B05">
              <w:rPr>
                <w:rFonts w:asciiTheme="minorHAnsi" w:eastAsia="+mn-ea" w:hAnsiTheme="minorHAnsi" w:cstheme="minorHAnsi"/>
                <w:color w:val="000000"/>
                <w:kern w:val="24"/>
                <w:sz w:val="18"/>
                <w:szCs w:val="18"/>
                <w:lang w:eastAsia="zh-CN"/>
              </w:rPr>
              <w:t xml:space="preserve"> from NE-DC to NE-DC, following scenario(s) are considered in RAN4, </w:t>
            </w:r>
          </w:p>
          <w:p w14:paraId="6E5CA08E" w14:textId="77777777" w:rsidR="005F0B05" w:rsidRPr="005F0B05"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FR1+LTE NE-DC</w:t>
            </w:r>
          </w:p>
          <w:p w14:paraId="72884B9D" w14:textId="77777777" w:rsidR="005F0B05" w:rsidRPr="005F0B05"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 xml:space="preserve">FFS: FR2+LTE NE-DC </w:t>
            </w:r>
          </w:p>
          <w:p w14:paraId="71C9B2C1" w14:textId="77777777" w:rsidR="005F0B05" w:rsidRPr="005F0B05" w:rsidRDefault="005F0B05" w:rsidP="0012173E">
            <w:pPr>
              <w:numPr>
                <w:ilvl w:val="2"/>
                <w:numId w:val="37"/>
              </w:numPr>
              <w:ind w:left="1440" w:right="-22"/>
              <w:rPr>
                <w:rFonts w:asciiTheme="minorHAnsi" w:eastAsia="Calibri" w:hAnsiTheme="minorHAnsi" w:cstheme="minorHAnsi"/>
                <w:szCs w:val="20"/>
              </w:rPr>
            </w:pPr>
            <w:r w:rsidRPr="005F0B05">
              <w:rPr>
                <w:rFonts w:asciiTheme="minorHAnsi" w:eastAsia="Calibri" w:hAnsiTheme="minorHAnsi" w:cstheme="minorHAnsi"/>
                <w:szCs w:val="20"/>
              </w:rPr>
              <w:t xml:space="preserve">Option 4(Nokia): </w:t>
            </w:r>
          </w:p>
          <w:p w14:paraId="61DB8588" w14:textId="77777777" w:rsidR="005F0B05" w:rsidRPr="005F0B05" w:rsidRDefault="005F0B05" w:rsidP="0012173E">
            <w:pPr>
              <w:numPr>
                <w:ilvl w:val="3"/>
                <w:numId w:val="38"/>
              </w:numPr>
              <w:ind w:left="252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 xml:space="preserve">For HO with </w:t>
            </w:r>
            <w:proofErr w:type="spellStart"/>
            <w:r w:rsidRPr="005F0B05">
              <w:rPr>
                <w:rFonts w:asciiTheme="minorHAnsi" w:eastAsia="+mn-ea" w:hAnsiTheme="minorHAnsi" w:cstheme="minorHAnsi"/>
                <w:color w:val="000000"/>
                <w:kern w:val="24"/>
                <w:sz w:val="18"/>
                <w:szCs w:val="18"/>
                <w:lang w:eastAsia="zh-CN"/>
              </w:rPr>
              <w:t>PSCell</w:t>
            </w:r>
            <w:proofErr w:type="spellEnd"/>
            <w:r w:rsidRPr="005F0B05">
              <w:rPr>
                <w:rFonts w:asciiTheme="minorHAnsi" w:eastAsia="+mn-ea" w:hAnsiTheme="minorHAnsi" w:cstheme="minorHAnsi"/>
                <w:color w:val="000000"/>
                <w:kern w:val="24"/>
                <w:sz w:val="18"/>
                <w:szCs w:val="18"/>
                <w:lang w:eastAsia="zh-CN"/>
              </w:rPr>
              <w:t xml:space="preserve"> from NR-DC to NR-DC, following scenario(s) are considered in RAN4, </w:t>
            </w:r>
          </w:p>
          <w:p w14:paraId="3D9E9024" w14:textId="77777777" w:rsidR="009976ED" w:rsidRPr="00006E89"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FR1+FR2 NR-DC</w:t>
            </w:r>
          </w:p>
          <w:p w14:paraId="070C97D6" w14:textId="77777777" w:rsidR="005F0B05" w:rsidRPr="005F0B05" w:rsidRDefault="009976ED" w:rsidP="0012173E">
            <w:pPr>
              <w:numPr>
                <w:ilvl w:val="4"/>
                <w:numId w:val="38"/>
              </w:numPr>
              <w:ind w:left="3240"/>
              <w:contextualSpacing/>
              <w:rPr>
                <w:rFonts w:asciiTheme="minorHAnsi" w:eastAsia="+mn-ea" w:hAnsiTheme="minorHAnsi" w:cstheme="minorHAnsi"/>
                <w:color w:val="000000"/>
                <w:kern w:val="24"/>
                <w:sz w:val="18"/>
                <w:szCs w:val="18"/>
                <w:lang w:eastAsia="zh-CN"/>
              </w:rPr>
            </w:pPr>
            <w:r w:rsidRPr="00006E89">
              <w:rPr>
                <w:rFonts w:asciiTheme="minorHAnsi" w:eastAsia="+mn-ea" w:hAnsiTheme="minorHAnsi" w:cstheme="minorHAnsi"/>
                <w:color w:val="000000"/>
                <w:kern w:val="24"/>
                <w:sz w:val="18"/>
                <w:szCs w:val="18"/>
                <w:lang w:eastAsia="zh-CN"/>
              </w:rPr>
              <w:t>FR1+FR1 NR-DC</w:t>
            </w:r>
          </w:p>
          <w:p w14:paraId="0929AFA8" w14:textId="77777777" w:rsidR="005F0B05" w:rsidRPr="005F0B05" w:rsidRDefault="005F0B05" w:rsidP="0012173E">
            <w:pPr>
              <w:numPr>
                <w:ilvl w:val="3"/>
                <w:numId w:val="38"/>
              </w:numPr>
              <w:ind w:left="252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 xml:space="preserve">For HO with </w:t>
            </w:r>
            <w:proofErr w:type="spellStart"/>
            <w:r w:rsidRPr="005F0B05">
              <w:rPr>
                <w:rFonts w:asciiTheme="minorHAnsi" w:eastAsia="+mn-ea" w:hAnsiTheme="minorHAnsi" w:cstheme="minorHAnsi"/>
                <w:color w:val="000000"/>
                <w:kern w:val="24"/>
                <w:sz w:val="18"/>
                <w:szCs w:val="18"/>
                <w:lang w:eastAsia="zh-CN"/>
              </w:rPr>
              <w:t>PSCell</w:t>
            </w:r>
            <w:proofErr w:type="spellEnd"/>
            <w:r w:rsidRPr="005F0B05">
              <w:rPr>
                <w:rFonts w:asciiTheme="minorHAnsi" w:eastAsia="+mn-ea" w:hAnsiTheme="minorHAnsi" w:cstheme="minorHAnsi"/>
                <w:color w:val="000000"/>
                <w:kern w:val="24"/>
                <w:sz w:val="18"/>
                <w:szCs w:val="18"/>
                <w:lang w:eastAsia="zh-CN"/>
              </w:rPr>
              <w:t xml:space="preserve"> from NE-DC to NE-DC, following scenario(s) are considered in RAN4, </w:t>
            </w:r>
          </w:p>
          <w:p w14:paraId="1F447B60" w14:textId="77777777" w:rsidR="005F0B05" w:rsidRPr="005F0B05"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FR1+LTE NE-DC</w:t>
            </w:r>
          </w:p>
          <w:p w14:paraId="213DE652" w14:textId="77777777" w:rsidR="005F0B05" w:rsidRPr="005F0B05" w:rsidRDefault="005F0B05" w:rsidP="0012173E">
            <w:pPr>
              <w:numPr>
                <w:ilvl w:val="4"/>
                <w:numId w:val="38"/>
              </w:numPr>
              <w:ind w:left="3240"/>
              <w:contextualSpacing/>
              <w:rPr>
                <w:rFonts w:asciiTheme="minorHAnsi" w:eastAsia="Times New Roman" w:hAnsiTheme="minorHAnsi" w:cstheme="minorHAnsi"/>
                <w:sz w:val="18"/>
                <w:szCs w:val="24"/>
                <w:lang w:eastAsia="zh-CN"/>
              </w:rPr>
            </w:pPr>
            <w:r w:rsidRPr="005F0B05">
              <w:rPr>
                <w:rFonts w:asciiTheme="minorHAnsi" w:eastAsia="+mn-ea" w:hAnsiTheme="minorHAnsi" w:cstheme="minorHAnsi"/>
                <w:color w:val="000000"/>
                <w:kern w:val="24"/>
                <w:sz w:val="18"/>
                <w:szCs w:val="18"/>
                <w:lang w:eastAsia="zh-CN"/>
              </w:rPr>
              <w:t>FFS: FR2+LTE NE-DC</w:t>
            </w:r>
          </w:p>
          <w:p w14:paraId="5EB9A676" w14:textId="77777777" w:rsidR="009976ED" w:rsidRPr="005F0B05" w:rsidRDefault="009976ED" w:rsidP="0087359B">
            <w:pPr>
              <w:ind w:right="-22"/>
              <w:rPr>
                <w:rFonts w:eastAsia="Calibri" w:cs="Times New Roman"/>
                <w:szCs w:val="20"/>
              </w:rPr>
            </w:pPr>
          </w:p>
        </w:tc>
      </w:tr>
    </w:tbl>
    <w:p w14:paraId="4AE83F93" w14:textId="77777777" w:rsidR="009976ED" w:rsidRDefault="009976ED" w:rsidP="009976ED">
      <w:pPr>
        <w:ind w:right="-22"/>
        <w:rPr>
          <w:rFonts w:eastAsia="Calibri" w:cs="Times New Roman"/>
          <w:szCs w:val="20"/>
          <w:lang w:val="en-GB"/>
        </w:rPr>
      </w:pPr>
    </w:p>
    <w:p w14:paraId="2FCA1913" w14:textId="586F766D" w:rsidR="00AB5001" w:rsidRDefault="0012593D" w:rsidP="00202C59">
      <w:pPr>
        <w:ind w:right="-22"/>
        <w:rPr>
          <w:rFonts w:eastAsia="Calibri" w:cs="Times New Roman"/>
          <w:szCs w:val="20"/>
        </w:rPr>
      </w:pPr>
      <w:r>
        <w:rPr>
          <w:rFonts w:eastAsia="Calibri" w:cs="Times New Roman"/>
          <w:szCs w:val="20"/>
        </w:rPr>
        <w:t xml:space="preserve">FR1+FR2 NR-DC is what legacy supported NR-DC scenarios since Rel-15. </w:t>
      </w:r>
      <w:r w:rsidR="00984F96">
        <w:rPr>
          <w:rFonts w:eastAsia="Calibri" w:cs="Times New Roman"/>
          <w:szCs w:val="20"/>
        </w:rPr>
        <w:t>In Rel-16, we support FR1+FR1 NR-DC in RF specification in TS38.101-1</w:t>
      </w:r>
      <w:r>
        <w:rPr>
          <w:rFonts w:eastAsia="Calibri" w:cs="Times New Roman"/>
          <w:szCs w:val="20"/>
        </w:rPr>
        <w:t xml:space="preserve"> as well</w:t>
      </w:r>
      <w:r w:rsidR="00984F96">
        <w:rPr>
          <w:rFonts w:eastAsia="Calibri" w:cs="Times New Roman"/>
          <w:szCs w:val="20"/>
        </w:rPr>
        <w:t xml:space="preserve">, </w:t>
      </w:r>
      <w:r>
        <w:rPr>
          <w:rFonts w:eastAsia="Calibri" w:cs="Times New Roman"/>
          <w:szCs w:val="20"/>
        </w:rPr>
        <w:t xml:space="preserve">it is no doubt to exclude FR1+FR1 NR-DC scenario when we start to define RRM requirements for HO with </w:t>
      </w:r>
      <w:proofErr w:type="spellStart"/>
      <w:r>
        <w:rPr>
          <w:rFonts w:eastAsia="Calibri" w:cs="Times New Roman"/>
          <w:szCs w:val="20"/>
        </w:rPr>
        <w:t>PSCell</w:t>
      </w:r>
      <w:proofErr w:type="spellEnd"/>
      <w:r>
        <w:rPr>
          <w:rFonts w:eastAsia="Calibri" w:cs="Times New Roman"/>
          <w:szCs w:val="20"/>
        </w:rPr>
        <w:t xml:space="preserve"> in Rel-17.</w:t>
      </w:r>
    </w:p>
    <w:p w14:paraId="6C3D8157" w14:textId="7FE77A98" w:rsidR="00984F96" w:rsidRDefault="00984F96" w:rsidP="00984F96">
      <w:pPr>
        <w:pStyle w:val="RAN4proposal"/>
      </w:pPr>
      <w:bookmarkStart w:id="5" w:name="_Hlk68180104"/>
      <w:r>
        <w:t xml:space="preserve">Both FR1+FR2 NR-DC and FR1+FR1 NR-DC should be supported for RRM requirements for handover with </w:t>
      </w:r>
      <w:proofErr w:type="spellStart"/>
      <w:r>
        <w:t>PSCell</w:t>
      </w:r>
      <w:proofErr w:type="spellEnd"/>
      <w:r>
        <w:t xml:space="preserve"> </w:t>
      </w:r>
      <w:r w:rsidR="004534D7">
        <w:t>in “from NR-DC to NR-DC” scenario.</w:t>
      </w:r>
      <w:bookmarkEnd w:id="5"/>
      <w:r>
        <w:t xml:space="preserve"> </w:t>
      </w:r>
    </w:p>
    <w:p w14:paraId="4CF4F234" w14:textId="41B1EAEF" w:rsidR="004534D7" w:rsidRPr="004534D7" w:rsidRDefault="0012593D" w:rsidP="004534D7">
      <w:r>
        <w:t xml:space="preserve">Regarding NE-DC scenario, Previously, FR1+LTE NE-DC defined in RF specification 38.101-3. </w:t>
      </w:r>
      <w:r w:rsidR="004534D7">
        <w:t>In Rel-17, FR2 + LTE NE-DC is</w:t>
      </w:r>
      <w:r>
        <w:t xml:space="preserve"> also</w:t>
      </w:r>
      <w:r w:rsidR="004534D7">
        <w:t xml:space="preserve"> supported in RF specification 38.101-3 v17.0.0 in section 5.5B.5a. </w:t>
      </w:r>
      <w:r>
        <w:t xml:space="preserve">As general understanding, </w:t>
      </w:r>
      <w:r w:rsidR="004534D7">
        <w:t xml:space="preserve">RRM requirements should follow RF </w:t>
      </w:r>
      <w:r>
        <w:t xml:space="preserve">definition, hence, we should support both FR1+LTE NE-DC and FR2+LTE NE-DC scenarios for HO with </w:t>
      </w:r>
      <w:proofErr w:type="spellStart"/>
      <w:r>
        <w:t>PSCell</w:t>
      </w:r>
      <w:proofErr w:type="spellEnd"/>
      <w:r>
        <w:t>.</w:t>
      </w:r>
    </w:p>
    <w:p w14:paraId="23F1E77D" w14:textId="23FB4EC5" w:rsidR="004534D7" w:rsidRDefault="004534D7" w:rsidP="004534D7">
      <w:pPr>
        <w:pStyle w:val="RAN4proposal"/>
      </w:pPr>
      <w:r>
        <w:t xml:space="preserve">Both FR1+LTE NE-DC and FR2+LTE NE-DC should be supported for RRM requirements for handover with </w:t>
      </w:r>
      <w:proofErr w:type="spellStart"/>
      <w:r>
        <w:t>PSCell</w:t>
      </w:r>
      <w:proofErr w:type="spellEnd"/>
      <w:r>
        <w:t xml:space="preserve"> in “from NE-DC to NE-DC” scenario and “from NR SA to NE-DC” scenario. </w:t>
      </w:r>
    </w:p>
    <w:p w14:paraId="7B09A7FD" w14:textId="77777777" w:rsidR="004D7B19" w:rsidRPr="004D7B19" w:rsidRDefault="004D7B19" w:rsidP="004D7B19"/>
    <w:p w14:paraId="2BFB99E2" w14:textId="10479DD7" w:rsidR="004E72B6" w:rsidRDefault="00C9312F" w:rsidP="004E72B6">
      <w:pPr>
        <w:pStyle w:val="RAN4H2"/>
        <w:rPr>
          <w:rFonts w:eastAsia="Calibri"/>
          <w:lang w:val="en-GB"/>
        </w:rPr>
      </w:pPr>
      <w:bookmarkStart w:id="6" w:name="_Hlk68192330"/>
      <w:r>
        <w:rPr>
          <w:rFonts w:eastAsia="Calibri"/>
          <w:lang w:val="en-GB"/>
        </w:rPr>
        <w:t>Delay requirements</w:t>
      </w:r>
      <w:r w:rsidR="004E72B6">
        <w:rPr>
          <w:rFonts w:eastAsia="Calibri"/>
          <w:lang w:val="en-GB"/>
        </w:rPr>
        <w:t xml:space="preserve"> for HO with </w:t>
      </w:r>
      <w:proofErr w:type="spellStart"/>
      <w:r w:rsidR="004E72B6">
        <w:rPr>
          <w:rFonts w:eastAsia="Calibri"/>
          <w:lang w:val="en-GB"/>
        </w:rPr>
        <w:t>PSCell</w:t>
      </w:r>
      <w:proofErr w:type="spellEnd"/>
    </w:p>
    <w:bookmarkEnd w:id="6"/>
    <w:p w14:paraId="2875B542" w14:textId="0DA22AE4" w:rsidR="798DE98A" w:rsidRDefault="00E972D1" w:rsidP="798DE98A">
      <w:pPr>
        <w:ind w:right="-22"/>
      </w:pPr>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 xml:space="preserve">existing requirements for HO and </w:t>
      </w:r>
      <w:proofErr w:type="spellStart"/>
      <w:r w:rsidRPr="00E972D1">
        <w:t>PSCell</w:t>
      </w:r>
      <w:proofErr w:type="spellEnd"/>
      <w:r w:rsidRPr="00E972D1">
        <w:t xml:space="preserve"> addition can be</w:t>
      </w:r>
      <w:r w:rsidR="00E75EAF">
        <w:t xml:space="preserve"> used as</w:t>
      </w:r>
      <w:r w:rsidRPr="00E972D1">
        <w:t xml:space="preserve"> </w:t>
      </w:r>
      <w:r>
        <w:t>the</w:t>
      </w:r>
      <w:r w:rsidRPr="00E972D1">
        <w:t xml:space="preserve"> baseline </w:t>
      </w:r>
      <w:r>
        <w:t xml:space="preserve">for </w:t>
      </w:r>
      <w:r w:rsidRPr="00E972D1">
        <w:t xml:space="preserve">HO with </w:t>
      </w:r>
      <w:proofErr w:type="spellStart"/>
      <w:r w:rsidRPr="00E972D1">
        <w:t>PSCell</w:t>
      </w:r>
      <w:proofErr w:type="spellEnd"/>
      <w:r>
        <w:t>, t</w:t>
      </w:r>
      <w:r w:rsidRPr="00E972D1">
        <w:t xml:space="preserve">imeline and interaction between HO and </w:t>
      </w:r>
      <w:proofErr w:type="spellStart"/>
      <w:r w:rsidRPr="00E972D1">
        <w:t>PSCell</w:t>
      </w:r>
      <w:proofErr w:type="spellEnd"/>
      <w:r w:rsidRPr="00E972D1">
        <w:t xml:space="preserve"> addition</w:t>
      </w:r>
      <w:r>
        <w:t xml:space="preserve"> need to be studied. </w:t>
      </w:r>
    </w:p>
    <w:p w14:paraId="1919AF70" w14:textId="5770158E" w:rsidR="00E972D1" w:rsidRPr="00E972D1" w:rsidRDefault="00E972D1" w:rsidP="798DE98A">
      <w:pPr>
        <w:ind w:right="-22"/>
        <w:rPr>
          <w:lang w:val="en-GB"/>
        </w:rPr>
      </w:pPr>
      <w:r>
        <w:rPr>
          <w:rFonts w:eastAsia="Calibri" w:cs="Times New Roman"/>
          <w:szCs w:val="20"/>
          <w:lang w:val="en-GB"/>
        </w:rPr>
        <w:t xml:space="preserve">In last meeting, we discussed the RRM requirements for HO with </w:t>
      </w:r>
      <w:proofErr w:type="spellStart"/>
      <w:r>
        <w:rPr>
          <w:rFonts w:eastAsia="Calibri" w:cs="Times New Roman"/>
          <w:szCs w:val="20"/>
          <w:lang w:val="en-GB"/>
        </w:rPr>
        <w:t>PSCell</w:t>
      </w:r>
      <w:proofErr w:type="spellEnd"/>
      <w:r>
        <w:rPr>
          <w:rFonts w:eastAsia="Calibri" w:cs="Times New Roman"/>
          <w:szCs w:val="20"/>
          <w:lang w:val="en-GB"/>
        </w:rPr>
        <w:t>, However,</w:t>
      </w:r>
      <w:r w:rsidR="00E75EAF">
        <w:rPr>
          <w:rFonts w:eastAsia="Calibri" w:cs="Times New Roman"/>
          <w:szCs w:val="20"/>
          <w:lang w:val="en-GB"/>
        </w:rPr>
        <w:t xml:space="preserve"> as a common sense, </w:t>
      </w:r>
      <w:r w:rsidR="00346693">
        <w:rPr>
          <w:rFonts w:eastAsia="Calibri" w:cs="Times New Roman"/>
          <w:szCs w:val="20"/>
          <w:lang w:val="en-GB"/>
        </w:rPr>
        <w:t xml:space="preserve">if the timeline for HO with </w:t>
      </w:r>
      <w:proofErr w:type="spellStart"/>
      <w:r w:rsidR="00346693">
        <w:rPr>
          <w:rFonts w:eastAsia="Calibri" w:cs="Times New Roman"/>
          <w:szCs w:val="20"/>
          <w:lang w:val="en-GB"/>
        </w:rPr>
        <w:t>PSCell</w:t>
      </w:r>
      <w:proofErr w:type="spellEnd"/>
      <w:r w:rsidR="00346693">
        <w:rPr>
          <w:rFonts w:eastAsia="Calibri" w:cs="Times New Roman"/>
          <w:szCs w:val="20"/>
          <w:lang w:val="en-GB"/>
        </w:rPr>
        <w:t xml:space="preserve"> is not clear, it is hard to discuss the detail delay requirements for HO with </w:t>
      </w:r>
      <w:proofErr w:type="spellStart"/>
      <w:r w:rsidR="00346693">
        <w:rPr>
          <w:rFonts w:eastAsia="Calibri" w:cs="Times New Roman"/>
          <w:szCs w:val="20"/>
          <w:lang w:val="en-GB"/>
        </w:rPr>
        <w:t>PSCell</w:t>
      </w:r>
      <w:proofErr w:type="spellEnd"/>
      <w:r w:rsidR="00E75EAF">
        <w:rPr>
          <w:rFonts w:eastAsia="Calibri" w:cs="Times New Roman"/>
          <w:szCs w:val="20"/>
          <w:lang w:val="en-GB"/>
        </w:rPr>
        <w:t xml:space="preserve">. </w:t>
      </w:r>
      <w:r w:rsidR="00346693">
        <w:rPr>
          <w:rFonts w:eastAsia="Calibri" w:cs="Times New Roman"/>
          <w:szCs w:val="20"/>
          <w:lang w:val="en-GB"/>
        </w:rPr>
        <w:t>T</w:t>
      </w:r>
      <w:r>
        <w:rPr>
          <w:rFonts w:eastAsia="Calibri" w:cs="Times New Roman"/>
          <w:szCs w:val="20"/>
          <w:lang w:val="en-GB"/>
        </w:rPr>
        <w:t xml:space="preserve">he discussion </w:t>
      </w:r>
      <w:r w:rsidR="00C548FE">
        <w:rPr>
          <w:rFonts w:eastAsia="Calibri" w:cs="Times New Roman"/>
          <w:szCs w:val="20"/>
          <w:lang w:val="en-GB"/>
        </w:rPr>
        <w:t xml:space="preserve">about timeline </w:t>
      </w:r>
      <w:r w:rsidR="00346693">
        <w:rPr>
          <w:rFonts w:eastAsia="Calibri" w:cs="Times New Roman"/>
          <w:szCs w:val="20"/>
          <w:lang w:val="en-GB"/>
        </w:rPr>
        <w:t xml:space="preserve">was captured </w:t>
      </w:r>
      <w:r>
        <w:rPr>
          <w:rFonts w:eastAsia="Calibri" w:cs="Times New Roman"/>
          <w:szCs w:val="20"/>
          <w:lang w:val="en-GB"/>
        </w:rPr>
        <w:t>in the agreed WF [2] as below:</w:t>
      </w:r>
    </w:p>
    <w:tbl>
      <w:tblPr>
        <w:tblStyle w:val="TableGrid"/>
        <w:tblW w:w="0" w:type="auto"/>
        <w:tblLook w:val="04A0" w:firstRow="1" w:lastRow="0" w:firstColumn="1" w:lastColumn="0" w:noHBand="0" w:noVBand="1"/>
      </w:tblPr>
      <w:tblGrid>
        <w:gridCol w:w="9617"/>
      </w:tblGrid>
      <w:tr w:rsidR="00340DC9" w14:paraId="5AD8C4D0" w14:textId="77777777" w:rsidTr="00340DC9">
        <w:tc>
          <w:tcPr>
            <w:tcW w:w="9617" w:type="dxa"/>
          </w:tcPr>
          <w:p w14:paraId="54CB3115" w14:textId="77777777" w:rsidR="00340DC9" w:rsidRPr="00340DC9" w:rsidRDefault="00340DC9" w:rsidP="00340DC9">
            <w:pPr>
              <w:numPr>
                <w:ilvl w:val="0"/>
                <w:numId w:val="41"/>
              </w:numPr>
              <w:ind w:right="-22"/>
              <w:rPr>
                <w:rFonts w:asciiTheme="minorHAnsi" w:hAnsiTheme="minorHAnsi" w:cstheme="minorHAnsi"/>
              </w:rPr>
            </w:pPr>
            <w:r w:rsidRPr="00340DC9">
              <w:rPr>
                <w:rFonts w:asciiTheme="minorHAnsi" w:hAnsiTheme="minorHAnsi" w:cstheme="minorHAnsi"/>
              </w:rPr>
              <w:t xml:space="preserve">Issue 2-2-3: timeline for HO with </w:t>
            </w:r>
            <w:proofErr w:type="spellStart"/>
            <w:r w:rsidRPr="00340DC9">
              <w:rPr>
                <w:rFonts w:asciiTheme="minorHAnsi" w:hAnsiTheme="minorHAnsi" w:cstheme="minorHAnsi"/>
              </w:rPr>
              <w:t>PSCell</w:t>
            </w:r>
            <w:proofErr w:type="spellEnd"/>
          </w:p>
          <w:p w14:paraId="1226E353" w14:textId="77777777" w:rsidR="00340DC9" w:rsidRPr="00340DC9" w:rsidRDefault="00340DC9" w:rsidP="00340DC9">
            <w:pPr>
              <w:numPr>
                <w:ilvl w:val="1"/>
                <w:numId w:val="41"/>
              </w:numPr>
              <w:ind w:right="-22"/>
              <w:rPr>
                <w:rFonts w:asciiTheme="minorHAnsi" w:hAnsiTheme="minorHAnsi" w:cstheme="minorHAnsi"/>
              </w:rPr>
            </w:pPr>
            <w:r w:rsidRPr="00340DC9">
              <w:rPr>
                <w:rFonts w:asciiTheme="minorHAnsi" w:hAnsiTheme="minorHAnsi" w:cstheme="minorHAnsi"/>
              </w:rPr>
              <w:t>Agreement</w:t>
            </w:r>
          </w:p>
          <w:p w14:paraId="78EBA1D1" w14:textId="77777777" w:rsidR="00340DC9" w:rsidRPr="00340DC9" w:rsidRDefault="00340DC9" w:rsidP="00340DC9">
            <w:pPr>
              <w:numPr>
                <w:ilvl w:val="2"/>
                <w:numId w:val="41"/>
              </w:numPr>
              <w:ind w:right="-22"/>
              <w:rPr>
                <w:rFonts w:asciiTheme="minorHAnsi" w:hAnsiTheme="minorHAnsi" w:cstheme="minorHAnsi"/>
              </w:rPr>
            </w:pPr>
            <w:r w:rsidRPr="00340DC9">
              <w:rPr>
                <w:rFonts w:asciiTheme="minorHAnsi" w:hAnsiTheme="minorHAnsi" w:cstheme="minorHAnsi"/>
              </w:rPr>
              <w:t xml:space="preserve">Identify the detailed components of “HO with </w:t>
            </w:r>
            <w:proofErr w:type="spellStart"/>
            <w:r w:rsidRPr="00340DC9">
              <w:rPr>
                <w:rFonts w:asciiTheme="minorHAnsi" w:hAnsiTheme="minorHAnsi" w:cstheme="minorHAnsi"/>
              </w:rPr>
              <w:t>PSCell</w:t>
            </w:r>
            <w:proofErr w:type="spellEnd"/>
            <w:r w:rsidRPr="00340DC9">
              <w:rPr>
                <w:rFonts w:asciiTheme="minorHAnsi" w:hAnsiTheme="minorHAnsi" w:cstheme="minorHAnsi"/>
              </w:rPr>
              <w:t>” procedure</w:t>
            </w:r>
          </w:p>
          <w:p w14:paraId="02ABD7C0" w14:textId="77777777" w:rsidR="00340DC9" w:rsidRPr="00340DC9" w:rsidRDefault="00340DC9" w:rsidP="00340DC9">
            <w:pPr>
              <w:numPr>
                <w:ilvl w:val="3"/>
                <w:numId w:val="41"/>
              </w:numPr>
              <w:ind w:right="-22"/>
              <w:rPr>
                <w:rFonts w:asciiTheme="minorHAnsi" w:hAnsiTheme="minorHAnsi" w:cstheme="minorHAnsi"/>
              </w:rPr>
            </w:pPr>
            <w:r w:rsidRPr="00340DC9">
              <w:rPr>
                <w:rFonts w:asciiTheme="minorHAnsi" w:hAnsiTheme="minorHAnsi" w:cstheme="minorHAnsi"/>
              </w:rPr>
              <w:t>Further discuss whether the procedures could be performed in parallel or sequentially based on the existing requirements.</w:t>
            </w:r>
          </w:p>
          <w:p w14:paraId="7226F02C" w14:textId="77777777" w:rsidR="00340DC9" w:rsidRDefault="00340DC9" w:rsidP="798DE98A">
            <w:pPr>
              <w:ind w:right="-22"/>
            </w:pPr>
          </w:p>
        </w:tc>
      </w:tr>
    </w:tbl>
    <w:p w14:paraId="5699B434" w14:textId="649DC531" w:rsidR="00E75EAF" w:rsidRDefault="00E75EAF" w:rsidP="798DE98A">
      <w:pPr>
        <w:ind w:right="-22"/>
      </w:pPr>
    </w:p>
    <w:p w14:paraId="13A2E5A2" w14:textId="47222B27" w:rsidR="00BC1F1E" w:rsidRDefault="00BC1F1E" w:rsidP="798DE98A">
      <w:pPr>
        <w:ind w:right="-22"/>
      </w:pPr>
      <w:r>
        <w:t xml:space="preserve">Firstly, we need to find the starting point and ending point for UE with HO with </w:t>
      </w:r>
      <w:proofErr w:type="spellStart"/>
      <w:r>
        <w:t>PSCell</w:t>
      </w:r>
      <w:proofErr w:type="spellEnd"/>
      <w:r>
        <w:t xml:space="preserve"> procedure.</w:t>
      </w:r>
      <w:r w:rsidR="00AE1CB8">
        <w:t xml:space="preserve"> Then, we will discuss the timeline for HO with </w:t>
      </w:r>
      <w:proofErr w:type="spellStart"/>
      <w:r w:rsidR="00AE1CB8">
        <w:t>PSCell</w:t>
      </w:r>
      <w:proofErr w:type="spellEnd"/>
      <w:r w:rsidR="00AE1CB8">
        <w:t xml:space="preserve"> and the delay requirements.</w:t>
      </w:r>
    </w:p>
    <w:p w14:paraId="04DE5069" w14:textId="515A5FDD" w:rsidR="00AE1CB8" w:rsidRDefault="00AE1CB8" w:rsidP="00AE1CB8">
      <w:pPr>
        <w:pStyle w:val="ListParagraph"/>
        <w:numPr>
          <w:ilvl w:val="0"/>
          <w:numId w:val="44"/>
        </w:numPr>
        <w:ind w:right="-22"/>
      </w:pPr>
      <w:bookmarkStart w:id="7" w:name="_Hlk68305425"/>
      <w:r>
        <w:t xml:space="preserve">Starting point and ending point for HO with </w:t>
      </w:r>
      <w:proofErr w:type="spellStart"/>
      <w:r>
        <w:t>PSCell</w:t>
      </w:r>
      <w:proofErr w:type="spellEnd"/>
    </w:p>
    <w:bookmarkEnd w:id="7"/>
    <w:p w14:paraId="4C33499A" w14:textId="77777777" w:rsidR="002C0CD7" w:rsidRDefault="002C0CD7" w:rsidP="002C0CD7">
      <w:r>
        <w:t xml:space="preserve">RAN4 has specified handover delay requirements and </w:t>
      </w:r>
      <w:proofErr w:type="spellStart"/>
      <w:r>
        <w:t>PSCell</w:t>
      </w:r>
      <w:proofErr w:type="spellEnd"/>
      <w:r>
        <w:t xml:space="preserve"> addition delay requirements. The starting point for these two procedures is when the UE receives the RRC message, and the ending point is when the UE is ready to transmit PRACH preamble towards target PCell for HO procedure or towards target </w:t>
      </w:r>
      <w:proofErr w:type="spellStart"/>
      <w:r>
        <w:t>PSCell</w:t>
      </w:r>
      <w:proofErr w:type="spellEnd"/>
      <w:r>
        <w:t xml:space="preserve"> for </w:t>
      </w:r>
      <w:proofErr w:type="spellStart"/>
      <w:r>
        <w:t>PSCell</w:t>
      </w:r>
      <w:proofErr w:type="spellEnd"/>
      <w:r>
        <w:t xml:space="preserve"> addition procedure. Let’s take NR FR1 – NR FR1 handover requirements and NR-DC </w:t>
      </w:r>
      <w:proofErr w:type="spellStart"/>
      <w:r>
        <w:t>PSCell</w:t>
      </w:r>
      <w:proofErr w:type="spellEnd"/>
      <w:r>
        <w:t xml:space="preserve"> addition requirements as an example as below:</w:t>
      </w:r>
    </w:p>
    <w:p w14:paraId="669B85F7" w14:textId="77777777" w:rsidR="002C0CD7" w:rsidRPr="00714632" w:rsidRDefault="002C0CD7" w:rsidP="002C0CD7">
      <w:pPr>
        <w:rPr>
          <w:lang w:val="da-DK"/>
        </w:rPr>
      </w:pPr>
      <w:r w:rsidRPr="00714632">
        <w:rPr>
          <w:lang w:val="da-DK"/>
        </w:rPr>
        <w:t xml:space="preserve">NR FR1 – NR FR1 </w:t>
      </w:r>
      <w:proofErr w:type="spellStart"/>
      <w:r w:rsidRPr="00714632">
        <w:rPr>
          <w:lang w:val="da-DK"/>
        </w:rPr>
        <w:t>handover</w:t>
      </w:r>
      <w:proofErr w:type="spellEnd"/>
      <w:r w:rsidRPr="00714632">
        <w:rPr>
          <w:lang w:val="da-DK"/>
        </w:rPr>
        <w:t>:</w:t>
      </w:r>
    </w:p>
    <w:tbl>
      <w:tblPr>
        <w:tblStyle w:val="TableGrid"/>
        <w:tblW w:w="0" w:type="auto"/>
        <w:tblLook w:val="04A0" w:firstRow="1" w:lastRow="0" w:firstColumn="1" w:lastColumn="0" w:noHBand="0" w:noVBand="1"/>
      </w:tblPr>
      <w:tblGrid>
        <w:gridCol w:w="9617"/>
      </w:tblGrid>
      <w:tr w:rsidR="002C0CD7" w14:paraId="1CDEB583" w14:textId="77777777" w:rsidTr="00BD4DC8">
        <w:tc>
          <w:tcPr>
            <w:tcW w:w="9617" w:type="dxa"/>
          </w:tcPr>
          <w:p w14:paraId="776F3995" w14:textId="77777777" w:rsidR="002C0CD7" w:rsidRPr="009C5807" w:rsidRDefault="002C0CD7" w:rsidP="00BD4DC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eastAsia="zh-CN"/>
              </w:rPr>
              <w:t>msec</w:t>
            </w:r>
            <w:proofErr w:type="spellEnd"/>
            <w:r w:rsidRPr="009C5807">
              <w:rPr>
                <w:rFonts w:cs="v4.2.0" w:hint="eastAsia"/>
                <w:lang w:eastAsia="zh-CN"/>
              </w:rPr>
              <w:t xml:space="preserve"> </w:t>
            </w:r>
            <w:r w:rsidRPr="009C5807">
              <w:rPr>
                <w:rFonts w:cs="v4.2.0"/>
              </w:rPr>
              <w:t>from the end of the last TTI containing the RRC command.</w:t>
            </w:r>
          </w:p>
          <w:p w14:paraId="0100F5B4" w14:textId="77777777" w:rsidR="002C0CD7" w:rsidRDefault="002C0CD7" w:rsidP="00BD4DC8"/>
        </w:tc>
      </w:tr>
    </w:tbl>
    <w:p w14:paraId="26E62222" w14:textId="77777777" w:rsidR="002C0CD7" w:rsidRDefault="002C0CD7" w:rsidP="002C0CD7">
      <w:pPr>
        <w:ind w:right="-22"/>
      </w:pPr>
    </w:p>
    <w:p w14:paraId="65B83287" w14:textId="77777777" w:rsidR="002C0CD7" w:rsidRDefault="002C0CD7" w:rsidP="002C0CD7">
      <w:pPr>
        <w:ind w:right="-22"/>
      </w:pPr>
      <w:r>
        <w:t xml:space="preserve">FR1 + FR2 NR-DC </w:t>
      </w:r>
      <w:proofErr w:type="spellStart"/>
      <w:r>
        <w:t>PSCell</w:t>
      </w:r>
      <w:proofErr w:type="spellEnd"/>
      <w:r>
        <w:t xml:space="preserve"> addition:</w:t>
      </w:r>
    </w:p>
    <w:tbl>
      <w:tblPr>
        <w:tblStyle w:val="TableGrid"/>
        <w:tblW w:w="0" w:type="auto"/>
        <w:tblLook w:val="04A0" w:firstRow="1" w:lastRow="0" w:firstColumn="1" w:lastColumn="0" w:noHBand="0" w:noVBand="1"/>
      </w:tblPr>
      <w:tblGrid>
        <w:gridCol w:w="9617"/>
      </w:tblGrid>
      <w:tr w:rsidR="002C0CD7" w14:paraId="3D15432D" w14:textId="77777777" w:rsidTr="00BD4DC8">
        <w:tc>
          <w:tcPr>
            <w:tcW w:w="9617" w:type="dxa"/>
          </w:tcPr>
          <w:p w14:paraId="667741C4" w14:textId="77777777" w:rsidR="002C0CD7" w:rsidRDefault="002C0CD7" w:rsidP="00BD4DC8">
            <w:pPr>
              <w:ind w:right="-22"/>
              <w:rPr>
                <w:vertAlign w:val="subscript"/>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p>
          <w:p w14:paraId="0822E0C3" w14:textId="77777777" w:rsidR="002C0CD7" w:rsidRPr="00F639BD" w:rsidRDefault="002C0CD7" w:rsidP="00BD4DC8">
            <w:pPr>
              <w:ind w:right="-22"/>
              <w:rPr>
                <w:vertAlign w:val="subscript"/>
                <w:lang w:eastAsia="ja-JP"/>
              </w:rPr>
            </w:pPr>
          </w:p>
        </w:tc>
      </w:tr>
    </w:tbl>
    <w:p w14:paraId="73BEE0DF" w14:textId="2112ED30" w:rsidR="002C0CD7" w:rsidRDefault="002C0CD7" w:rsidP="002C0CD7">
      <w:pPr>
        <w:ind w:right="-22"/>
      </w:pPr>
    </w:p>
    <w:p w14:paraId="3474A22E" w14:textId="04EA752C" w:rsidR="00254F6B" w:rsidRDefault="00BC1F1E" w:rsidP="00254F6B">
      <w:pPr>
        <w:ind w:right="-22"/>
      </w:pPr>
      <w:r>
        <w:t xml:space="preserve">An RRC message implying HO with </w:t>
      </w:r>
      <w:proofErr w:type="spellStart"/>
      <w:r>
        <w:t>PSCell</w:t>
      </w:r>
      <w:proofErr w:type="spellEnd"/>
      <w:r>
        <w:t xml:space="preserve"> will be sent to UE to perform, this procedure will include both </w:t>
      </w:r>
      <w:proofErr w:type="spellStart"/>
      <w:r>
        <w:t>PCell</w:t>
      </w:r>
      <w:proofErr w:type="spellEnd"/>
      <w:r>
        <w:t xml:space="preserve"> HO and </w:t>
      </w:r>
      <w:proofErr w:type="spellStart"/>
      <w:r>
        <w:t>PSCell</w:t>
      </w:r>
      <w:proofErr w:type="spellEnd"/>
      <w:r>
        <w:t xml:space="preserve"> addition.</w:t>
      </w:r>
      <w:r w:rsidR="00254F6B">
        <w:t xml:space="preserve"> Legacy HO will be performed when UE receives RRC message implying HO, from this point, it is no difference between HO with </w:t>
      </w:r>
      <w:proofErr w:type="spellStart"/>
      <w:r w:rsidR="00254F6B">
        <w:t>PSCell</w:t>
      </w:r>
      <w:proofErr w:type="spellEnd"/>
      <w:r w:rsidR="00254F6B">
        <w:t xml:space="preserve"> and legacy HO procedure. Hence, we can reuse the starting point of legacy HO for HO with </w:t>
      </w:r>
      <w:proofErr w:type="spellStart"/>
      <w:r w:rsidR="00254F6B">
        <w:t>PSCell</w:t>
      </w:r>
      <w:proofErr w:type="spellEnd"/>
      <w:r w:rsidR="00254F6B" w:rsidRPr="00732BCE">
        <w:t xml:space="preserve">, i.e., the end of the last TTI containing the RRC command implying </w:t>
      </w:r>
      <w:r>
        <w:t>HO</w:t>
      </w:r>
      <w:r w:rsidR="00254F6B" w:rsidRPr="00732BCE">
        <w:t xml:space="preserve"> with </w:t>
      </w:r>
      <w:proofErr w:type="spellStart"/>
      <w:r w:rsidR="00254F6B" w:rsidRPr="00732BCE">
        <w:t>PSCell</w:t>
      </w:r>
      <w:proofErr w:type="spellEnd"/>
      <w:r w:rsidR="00254F6B" w:rsidRPr="00732BCE">
        <w:t>.</w:t>
      </w:r>
      <w:r>
        <w:t xml:space="preserve"> </w:t>
      </w:r>
    </w:p>
    <w:p w14:paraId="713FA3B9" w14:textId="77777777" w:rsidR="00C82047" w:rsidRDefault="00C82047" w:rsidP="00C82047">
      <w:pPr>
        <w:pStyle w:val="RAN4proposal"/>
      </w:pPr>
      <w:r w:rsidRPr="001A39BD">
        <w:t xml:space="preserve">Starting point </w:t>
      </w:r>
      <w:r>
        <w:t xml:space="preserve">of the delay requirements for HO with </w:t>
      </w:r>
      <w:proofErr w:type="spellStart"/>
      <w:r>
        <w:t>PSCell</w:t>
      </w:r>
      <w:proofErr w:type="spellEnd"/>
      <w:r>
        <w:t xml:space="preserve"> can reuse the starting point of legacy HO.</w:t>
      </w:r>
    </w:p>
    <w:p w14:paraId="510982B8" w14:textId="2FB39E50" w:rsidR="00BC1F1E" w:rsidRDefault="00BC1F1E" w:rsidP="00254F6B">
      <w:pPr>
        <w:ind w:right="-22"/>
      </w:pPr>
      <w:r>
        <w:t xml:space="preserve">The ending point for legacy HO and legacy </w:t>
      </w:r>
      <w:proofErr w:type="spellStart"/>
      <w:r>
        <w:t>PSCell</w:t>
      </w:r>
      <w:proofErr w:type="spellEnd"/>
      <w:r>
        <w:t xml:space="preserve"> addition is when the UE is ready to transmit PRACH preamble towards target PCell for HO procedure or towards target </w:t>
      </w:r>
      <w:proofErr w:type="spellStart"/>
      <w:r>
        <w:t>PSCell</w:t>
      </w:r>
      <w:proofErr w:type="spellEnd"/>
      <w:r>
        <w:t xml:space="preserve"> for </w:t>
      </w:r>
      <w:proofErr w:type="spellStart"/>
      <w:r>
        <w:t>PSCell</w:t>
      </w:r>
      <w:proofErr w:type="spellEnd"/>
      <w:r>
        <w:t xml:space="preserve"> addition procedure. Since HO with </w:t>
      </w:r>
      <w:proofErr w:type="spellStart"/>
      <w:r>
        <w:t>PSCell</w:t>
      </w:r>
      <w:proofErr w:type="spellEnd"/>
      <w:r>
        <w:t xml:space="preserve"> procedure include </w:t>
      </w:r>
      <w:proofErr w:type="spellStart"/>
      <w:r>
        <w:t>PCell</w:t>
      </w:r>
      <w:proofErr w:type="spellEnd"/>
      <w:r>
        <w:t xml:space="preserve"> HO and </w:t>
      </w:r>
      <w:proofErr w:type="spellStart"/>
      <w:r>
        <w:t>PSCell</w:t>
      </w:r>
      <w:proofErr w:type="spellEnd"/>
      <w:r>
        <w:t xml:space="preserve"> addition, the ending point </w:t>
      </w:r>
      <w:r w:rsidR="00714632">
        <w:t xml:space="preserve">for the </w:t>
      </w:r>
      <w:proofErr w:type="spellStart"/>
      <w:r w:rsidR="00714632">
        <w:t>PSCell</w:t>
      </w:r>
      <w:proofErr w:type="spellEnd"/>
      <w:r w:rsidR="00714632">
        <w:t xml:space="preserve"> part </w:t>
      </w:r>
      <w:r>
        <w:t xml:space="preserve">will be the later that </w:t>
      </w:r>
      <w:r w:rsidR="00714632">
        <w:t xml:space="preserve">of the PCell. </w:t>
      </w:r>
      <w:r>
        <w:t xml:space="preserve">UE is ready to transmit PRACH preamble towards target PCell </w:t>
      </w:r>
      <w:r w:rsidR="00714632">
        <w:t>first and indicate ending point for the PCell part of the HO. UE is ready to transmit PRACH preamble towards</w:t>
      </w:r>
      <w:r>
        <w:t xml:space="preserve"> target </w:t>
      </w:r>
      <w:proofErr w:type="spellStart"/>
      <w:r>
        <w:t>PSCell</w:t>
      </w:r>
      <w:proofErr w:type="spellEnd"/>
      <w:r w:rsidR="00714632">
        <w:t xml:space="preserve"> afterwards</w:t>
      </w:r>
      <w:r>
        <w:t xml:space="preserve">. </w:t>
      </w:r>
    </w:p>
    <w:p w14:paraId="45EE95CC" w14:textId="77777777" w:rsidR="005740FF" w:rsidRDefault="00AE7ABD" w:rsidP="798DE98A">
      <w:pPr>
        <w:ind w:right="-22"/>
      </w:pPr>
      <w:r w:rsidRPr="00AE7ABD">
        <w:t>When looking at the procedure</w:t>
      </w:r>
      <w:r>
        <w:t xml:space="preserve"> for inter-Master Node handover with/without secondary node change</w:t>
      </w:r>
      <w:r w:rsidRPr="00AE7ABD">
        <w:t xml:space="preserve"> defined in </w:t>
      </w:r>
      <w:r w:rsidR="00A80EAF" w:rsidRPr="00AE7ABD">
        <w:t>RAN2 specification 37.340</w:t>
      </w:r>
      <w:r>
        <w:t xml:space="preserve"> in section 10.7</w:t>
      </w:r>
      <w:r w:rsidR="00A80EAF" w:rsidRPr="00AE7ABD">
        <w:t xml:space="preserve">, </w:t>
      </w:r>
      <w:r w:rsidR="00C864DC">
        <w:t>After</w:t>
      </w:r>
      <w:r w:rsidR="003A616A">
        <w:t xml:space="preserve"> UE receive RRC message for HO with </w:t>
      </w:r>
      <w:proofErr w:type="spellStart"/>
      <w:r w:rsidR="003A616A">
        <w:t>PSCell</w:t>
      </w:r>
      <w:proofErr w:type="spellEnd"/>
      <w:r w:rsidR="003A616A">
        <w:t xml:space="preserve">, UE should perform Random access procedure for target PCell firstly, after that, the random access procedure for target </w:t>
      </w:r>
      <w:proofErr w:type="spellStart"/>
      <w:r w:rsidR="003A616A">
        <w:t>PSCell</w:t>
      </w:r>
      <w:proofErr w:type="spellEnd"/>
      <w:r w:rsidR="003A616A">
        <w:t xml:space="preserve"> will be performed. </w:t>
      </w:r>
      <w:r w:rsidR="005E64D7">
        <w:t xml:space="preserve">Hence, </w:t>
      </w:r>
      <w:r w:rsidR="00AF7F95">
        <w:t>the combined HO is done in a</w:t>
      </w:r>
      <w:r w:rsidR="005E64D7">
        <w:t xml:space="preserve"> sequen</w:t>
      </w:r>
      <w:r w:rsidR="00AF7F95">
        <w:t>tial</w:t>
      </w:r>
      <w:r w:rsidR="005E64D7">
        <w:t xml:space="preserve"> way</w:t>
      </w:r>
      <w:r w:rsidR="00382B26">
        <w:t>.</w:t>
      </w:r>
      <w:r w:rsidR="005E64D7">
        <w:t xml:space="preserve"> </w:t>
      </w:r>
      <w:r w:rsidR="00382B26">
        <w:t xml:space="preserve">Hence, the </w:t>
      </w:r>
      <w:r w:rsidR="005E64D7">
        <w:t xml:space="preserve">UE </w:t>
      </w:r>
      <w:r w:rsidR="00382B26">
        <w:t>will initially</w:t>
      </w:r>
      <w:r w:rsidR="005E64D7">
        <w:t xml:space="preserve"> perform Random access procedure for target PCell </w:t>
      </w:r>
      <w:r w:rsidR="00382B26">
        <w:t>followed by random access procedure</w:t>
      </w:r>
      <w:r w:rsidR="005740FF">
        <w:t xml:space="preserve"> to</w:t>
      </w:r>
      <w:r w:rsidR="005E64D7">
        <w:t xml:space="preserve"> target </w:t>
      </w:r>
      <w:proofErr w:type="spellStart"/>
      <w:r w:rsidR="005E64D7">
        <w:t>PSCell</w:t>
      </w:r>
      <w:proofErr w:type="spellEnd"/>
      <w:r w:rsidR="005E64D7">
        <w:t xml:space="preserve">. </w:t>
      </w:r>
    </w:p>
    <w:p w14:paraId="34003978" w14:textId="24276149" w:rsidR="00667320" w:rsidRDefault="005740FF" w:rsidP="798DE98A">
      <w:pPr>
        <w:ind w:right="-22"/>
      </w:pPr>
      <w:r>
        <w:t>We propose</w:t>
      </w:r>
      <w:r w:rsidR="00667320">
        <w:t xml:space="preserve"> that </w:t>
      </w:r>
      <w:r>
        <w:t xml:space="preserve">once the </w:t>
      </w:r>
      <w:r w:rsidR="00667320">
        <w:t xml:space="preserve">UE is ready to transmit PRACH preamble towards target </w:t>
      </w:r>
      <w:proofErr w:type="spellStart"/>
      <w:r w:rsidR="00667320">
        <w:t>PSCell</w:t>
      </w:r>
      <w:proofErr w:type="spellEnd"/>
      <w:r w:rsidR="00667320">
        <w:t xml:space="preserve"> is the ending point for HO with </w:t>
      </w:r>
      <w:proofErr w:type="spellStart"/>
      <w:r w:rsidR="00667320">
        <w:t>PSCell</w:t>
      </w:r>
      <w:proofErr w:type="spellEnd"/>
      <w:r w:rsidR="000A06BD">
        <w:t xml:space="preserve"> procedure</w:t>
      </w:r>
      <w:r w:rsidR="00667320">
        <w:t>.</w:t>
      </w:r>
    </w:p>
    <w:p w14:paraId="15CC0590" w14:textId="21E12F67" w:rsidR="000A06BD" w:rsidRDefault="000A06BD" w:rsidP="000A06BD">
      <w:pPr>
        <w:pStyle w:val="RAN4proposal"/>
      </w:pPr>
      <w:r>
        <w:t xml:space="preserve">Once the UE is ready to transmit PRACH preamble towards target </w:t>
      </w:r>
      <w:proofErr w:type="spellStart"/>
      <w:r>
        <w:t>PSCell</w:t>
      </w:r>
      <w:proofErr w:type="spellEnd"/>
      <w:r>
        <w:t xml:space="preserve"> marks the ending point for HO with </w:t>
      </w:r>
      <w:proofErr w:type="spellStart"/>
      <w:r>
        <w:t>PSCell</w:t>
      </w:r>
      <w:proofErr w:type="spellEnd"/>
      <w:r>
        <w:t xml:space="preserve"> procedure.</w:t>
      </w:r>
    </w:p>
    <w:p w14:paraId="2F3BA88E" w14:textId="2BF6BEBE" w:rsidR="000770CB" w:rsidRDefault="005E64D7" w:rsidP="798DE98A">
      <w:pPr>
        <w:ind w:right="-22"/>
      </w:pPr>
      <w:r>
        <w:t>An</w:t>
      </w:r>
      <w:r w:rsidR="003A616A">
        <w:t xml:space="preserve"> example of </w:t>
      </w:r>
      <w:r w:rsidR="00E823EE">
        <w:t xml:space="preserve">inter-Master Node handover with/without secondary node change in EN-DC in </w:t>
      </w:r>
      <w:r w:rsidR="000770CB">
        <w:t>RAN2 specification</w:t>
      </w:r>
      <w:r>
        <w:t xml:space="preserve"> is showed as below</w:t>
      </w:r>
      <w:r w:rsidR="000770CB">
        <w:t>:</w:t>
      </w:r>
    </w:p>
    <w:tbl>
      <w:tblPr>
        <w:tblStyle w:val="TableGrid"/>
        <w:tblW w:w="0" w:type="auto"/>
        <w:tblLook w:val="04A0" w:firstRow="1" w:lastRow="0" w:firstColumn="1" w:lastColumn="0" w:noHBand="0" w:noVBand="1"/>
      </w:tblPr>
      <w:tblGrid>
        <w:gridCol w:w="9617"/>
      </w:tblGrid>
      <w:tr w:rsidR="000770CB" w14:paraId="57DE55E6" w14:textId="77777777" w:rsidTr="000770CB">
        <w:tc>
          <w:tcPr>
            <w:tcW w:w="9617" w:type="dxa"/>
          </w:tcPr>
          <w:p w14:paraId="1FB0ACB5" w14:textId="5073DC55" w:rsidR="000770CB" w:rsidRDefault="00E823EE" w:rsidP="798DE98A">
            <w:pPr>
              <w:ind w:right="-22"/>
            </w:pPr>
            <w:r>
              <w:object w:dxaOrig="9970" w:dyaOrig="7270" w14:anchorId="53D23A51">
                <v:shape id="_x0000_i1026" type="#_x0000_t75" style="width:413pt;height:301pt" o:ole="">
                  <v:imagedata r:id="rId15" o:title=""/>
                </v:shape>
                <o:OLEObject Type="Embed" ProgID="PBrush" ShapeID="_x0000_i1026" DrawAspect="Content" ObjectID="_1678930518" r:id="rId16"/>
              </w:object>
            </w:r>
          </w:p>
        </w:tc>
      </w:tr>
    </w:tbl>
    <w:p w14:paraId="19B0BAB0" w14:textId="77777777" w:rsidR="00667320" w:rsidRDefault="00667320" w:rsidP="798DE98A">
      <w:pPr>
        <w:ind w:right="-22"/>
      </w:pPr>
    </w:p>
    <w:p w14:paraId="58572A48" w14:textId="2185ECD1" w:rsidR="00AE1CB8" w:rsidRDefault="00AE1CB8" w:rsidP="00AE1CB8">
      <w:pPr>
        <w:pStyle w:val="ListParagraph"/>
        <w:numPr>
          <w:ilvl w:val="0"/>
          <w:numId w:val="44"/>
        </w:numPr>
        <w:ind w:right="-22"/>
      </w:pPr>
      <w:r>
        <w:t xml:space="preserve">Timeline for HO with </w:t>
      </w:r>
      <w:proofErr w:type="spellStart"/>
      <w:r>
        <w:t>PSCell</w:t>
      </w:r>
      <w:proofErr w:type="spellEnd"/>
    </w:p>
    <w:p w14:paraId="164A47C7" w14:textId="2D5E3A67" w:rsidR="00C864DC" w:rsidRDefault="00AE1CB8" w:rsidP="798DE98A">
      <w:pPr>
        <w:ind w:right="-22"/>
      </w:pPr>
      <w:r>
        <w:t xml:space="preserve">As we said, </w:t>
      </w:r>
      <w:r w:rsidR="00C864DC">
        <w:t xml:space="preserve">HO with </w:t>
      </w:r>
      <w:proofErr w:type="spellStart"/>
      <w:r w:rsidR="00C864DC">
        <w:t>PSCell</w:t>
      </w:r>
      <w:proofErr w:type="spellEnd"/>
      <w:r w:rsidR="00C864DC">
        <w:t xml:space="preserve"> procedure include</w:t>
      </w:r>
      <w:r>
        <w:t>s</w:t>
      </w:r>
      <w:r w:rsidR="00C864DC">
        <w:t xml:space="preserve"> </w:t>
      </w:r>
      <w:proofErr w:type="spellStart"/>
      <w:r w:rsidR="00C864DC">
        <w:t>PCell</w:t>
      </w:r>
      <w:proofErr w:type="spellEnd"/>
      <w:r w:rsidR="00C864DC">
        <w:t xml:space="preserve"> change and </w:t>
      </w:r>
      <w:proofErr w:type="spellStart"/>
      <w:r w:rsidR="00C864DC">
        <w:t>PSCell</w:t>
      </w:r>
      <w:proofErr w:type="spellEnd"/>
      <w:r w:rsidR="00C864DC">
        <w:t xml:space="preserve"> addition. After UE receives the </w:t>
      </w:r>
      <w:proofErr w:type="spellStart"/>
      <w:r w:rsidR="00C864DC" w:rsidRPr="00C864DC">
        <w:rPr>
          <w:i/>
          <w:iCs/>
        </w:rPr>
        <w:t>RRCConnectionReconfiguration</w:t>
      </w:r>
      <w:proofErr w:type="spellEnd"/>
      <w:r w:rsidR="00C864DC">
        <w:t xml:space="preserve"> implying HO with </w:t>
      </w:r>
      <w:proofErr w:type="spellStart"/>
      <w:r w:rsidR="00C864DC">
        <w:t>PSCell</w:t>
      </w:r>
      <w:proofErr w:type="spellEnd"/>
      <w:r w:rsidR="00C864DC">
        <w:t xml:space="preserve">, UE will perform </w:t>
      </w:r>
      <w:proofErr w:type="spellStart"/>
      <w:r w:rsidR="00C864DC">
        <w:t>PCell</w:t>
      </w:r>
      <w:proofErr w:type="spellEnd"/>
      <w:r w:rsidR="00C864DC">
        <w:t xml:space="preserve"> HO and </w:t>
      </w:r>
      <w:proofErr w:type="spellStart"/>
      <w:r w:rsidR="00C864DC">
        <w:t>PSCell</w:t>
      </w:r>
      <w:proofErr w:type="spellEnd"/>
      <w:r w:rsidR="00C864DC">
        <w:t xml:space="preserve"> addition. Current RAN4 has specified the requirements for </w:t>
      </w:r>
      <w:proofErr w:type="spellStart"/>
      <w:r w:rsidR="00C864DC">
        <w:t>PCell</w:t>
      </w:r>
      <w:proofErr w:type="spellEnd"/>
      <w:r w:rsidR="00C864DC">
        <w:t xml:space="preserve"> HO and </w:t>
      </w:r>
      <w:proofErr w:type="spellStart"/>
      <w:r w:rsidR="00C864DC">
        <w:t>PSCell</w:t>
      </w:r>
      <w:proofErr w:type="spellEnd"/>
      <w:r w:rsidR="00C864DC">
        <w:t xml:space="preserve"> addition in different scenarios. The components in delay requirements for </w:t>
      </w:r>
      <w:proofErr w:type="spellStart"/>
      <w:r w:rsidR="00C864DC">
        <w:t>PCell</w:t>
      </w:r>
      <w:proofErr w:type="spellEnd"/>
      <w:r w:rsidR="00C864DC">
        <w:t xml:space="preserve"> HO and </w:t>
      </w:r>
      <w:proofErr w:type="spellStart"/>
      <w:r w:rsidR="00C864DC">
        <w:t>PSCell</w:t>
      </w:r>
      <w:proofErr w:type="spellEnd"/>
      <w:r w:rsidR="00C864DC">
        <w:t xml:space="preserve"> addition are similar.</w:t>
      </w:r>
      <w:r>
        <w:t xml:space="preserve"> T</w:t>
      </w:r>
      <w:r w:rsidR="00C864DC">
        <w:t>he example</w:t>
      </w:r>
      <w:r w:rsidR="00072DD1">
        <w:t>s</w:t>
      </w:r>
      <w:r w:rsidR="00C864DC">
        <w:t xml:space="preserve"> for </w:t>
      </w:r>
      <w:r w:rsidR="00072DD1">
        <w:t>them</w:t>
      </w:r>
      <w:r>
        <w:t xml:space="preserve"> show as below</w:t>
      </w:r>
      <w:r w:rsidR="00072DD1">
        <w:t>:</w:t>
      </w:r>
    </w:p>
    <w:p w14:paraId="4923FF52" w14:textId="77777777" w:rsidR="00254F6B" w:rsidRDefault="00254F6B" w:rsidP="00254F6B">
      <w:pPr>
        <w:ind w:right="-22"/>
      </w:pPr>
      <w:r>
        <w:t>NR FR1 – NR FR1 Handover delay requirements in section 6.1.1.2 in 38.133:</w:t>
      </w:r>
    </w:p>
    <w:tbl>
      <w:tblPr>
        <w:tblStyle w:val="TableGrid"/>
        <w:tblW w:w="0" w:type="auto"/>
        <w:tblLook w:val="04A0" w:firstRow="1" w:lastRow="0" w:firstColumn="1" w:lastColumn="0" w:noHBand="0" w:noVBand="1"/>
      </w:tblPr>
      <w:tblGrid>
        <w:gridCol w:w="9617"/>
      </w:tblGrid>
      <w:tr w:rsidR="00254F6B" w14:paraId="18EE74FB" w14:textId="77777777" w:rsidTr="00BD4DC8">
        <w:tc>
          <w:tcPr>
            <w:tcW w:w="9617" w:type="dxa"/>
          </w:tcPr>
          <w:p w14:paraId="0506DB2A" w14:textId="77777777" w:rsidR="00254F6B" w:rsidRPr="009C5807" w:rsidRDefault="00254F6B" w:rsidP="00BD4DC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eastAsia="zh-CN"/>
              </w:rPr>
              <w:t>msec</w:t>
            </w:r>
            <w:proofErr w:type="spellEnd"/>
            <w:r w:rsidRPr="009C5807">
              <w:rPr>
                <w:rFonts w:cs="v4.2.0" w:hint="eastAsia"/>
                <w:lang w:eastAsia="zh-CN"/>
              </w:rPr>
              <w:t xml:space="preserve"> </w:t>
            </w:r>
            <w:r w:rsidRPr="009C5807">
              <w:rPr>
                <w:rFonts w:cs="v4.2.0"/>
              </w:rPr>
              <w:t>from the end of the last TTI containing the RRC command.</w:t>
            </w:r>
          </w:p>
          <w:p w14:paraId="73127CB9" w14:textId="77777777" w:rsidR="00254F6B" w:rsidRPr="009C5807" w:rsidRDefault="00254F6B" w:rsidP="00BD4DC8">
            <w:pPr>
              <w:rPr>
                <w:rFonts w:cs="v4.2.0"/>
              </w:rPr>
            </w:pPr>
            <w:r w:rsidRPr="009C5807">
              <w:rPr>
                <w:rFonts w:cs="v4.2.0"/>
              </w:rPr>
              <w:t>Where:</w:t>
            </w:r>
          </w:p>
          <w:p w14:paraId="2747B454" w14:textId="77777777" w:rsidR="00254F6B" w:rsidRPr="00056D6D" w:rsidRDefault="00254F6B" w:rsidP="00BD4DC8">
            <w:proofErr w:type="spellStart"/>
            <w:r w:rsidRPr="00056D6D">
              <w:rPr>
                <w:lang w:val="en-GB"/>
              </w:rPr>
              <w:t>D</w:t>
            </w:r>
            <w:r w:rsidRPr="00056D6D">
              <w:rPr>
                <w:vertAlign w:val="subscript"/>
                <w:lang w:val="en-GB"/>
              </w:rPr>
              <w:t>handover</w:t>
            </w:r>
            <w:proofErr w:type="spellEnd"/>
            <w:r w:rsidRPr="00056D6D">
              <w:rPr>
                <w:lang w:val="en-GB"/>
              </w:rPr>
              <w:t xml:space="preserve"> = </w:t>
            </w:r>
            <w:proofErr w:type="spellStart"/>
            <w:r w:rsidRPr="00056D6D">
              <w:rPr>
                <w:lang w:val="en-GB"/>
              </w:rPr>
              <w:t>T</w:t>
            </w:r>
            <w:r w:rsidRPr="00056D6D">
              <w:rPr>
                <w:vertAlign w:val="subscript"/>
                <w:lang w:val="en-GB"/>
              </w:rPr>
              <w:t>RRC_delay</w:t>
            </w:r>
            <w:proofErr w:type="spellEnd"/>
            <w:r w:rsidRPr="00056D6D">
              <w:rPr>
                <w:lang w:val="en-GB"/>
              </w:rPr>
              <w:t xml:space="preserve"> + </w:t>
            </w:r>
            <w:proofErr w:type="spellStart"/>
            <w:r w:rsidRPr="00056D6D">
              <w:rPr>
                <w:lang w:val="en-GB"/>
              </w:rPr>
              <w:t>T</w:t>
            </w:r>
            <w:r w:rsidRPr="00056D6D">
              <w:rPr>
                <w:vertAlign w:val="subscript"/>
                <w:lang w:val="en-GB"/>
              </w:rPr>
              <w:t>interrupt</w:t>
            </w:r>
            <w:proofErr w:type="spellEnd"/>
          </w:p>
          <w:p w14:paraId="04DDBC62" w14:textId="77777777" w:rsidR="00254F6B" w:rsidRPr="00056D6D" w:rsidRDefault="00254F6B" w:rsidP="00BD4DC8">
            <w:r w:rsidRPr="00056D6D">
              <w:rPr>
                <w:vertAlign w:val="subscript"/>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4990A21D" w14:textId="77777777" w:rsidR="00254F6B" w:rsidRPr="00056D6D" w:rsidRDefault="00254F6B" w:rsidP="00BD4DC8">
            <w:r w:rsidRPr="00056D6D">
              <w:tab/>
            </w:r>
            <w:r w:rsidRPr="00056D6D">
              <w:rPr>
                <w:lang w:val="en-GB"/>
              </w:rPr>
              <w:t xml:space="preserve"> </w:t>
            </w:r>
            <w:proofErr w:type="spellStart"/>
            <w:r w:rsidRPr="002C0CD7">
              <w:rPr>
                <w:highlight w:val="yellow"/>
                <w:lang w:val="en-GB"/>
              </w:rPr>
              <w:t>T</w:t>
            </w:r>
            <w:r w:rsidRPr="002C0CD7">
              <w:rPr>
                <w:highlight w:val="yellow"/>
                <w:vertAlign w:val="subscript"/>
                <w:lang w:val="en-GB"/>
              </w:rPr>
              <w:t>interrupt</w:t>
            </w:r>
            <w:proofErr w:type="spellEnd"/>
            <w:r w:rsidRPr="002C0CD7">
              <w:rPr>
                <w:highlight w:val="yellow"/>
                <w:lang w:val="en-GB"/>
              </w:rPr>
              <w:t xml:space="preserve"> = </w:t>
            </w:r>
            <w:proofErr w:type="spellStart"/>
            <w:r w:rsidRPr="002C0CD7">
              <w:rPr>
                <w:highlight w:val="yellow"/>
                <w:lang w:val="en-GB"/>
              </w:rPr>
              <w:t>T</w:t>
            </w:r>
            <w:r w:rsidRPr="002C0CD7">
              <w:rPr>
                <w:highlight w:val="yellow"/>
                <w:vertAlign w:val="subscript"/>
                <w:lang w:val="en-GB"/>
              </w:rPr>
              <w:t>search</w:t>
            </w:r>
            <w:proofErr w:type="spellEnd"/>
            <w:r w:rsidRPr="002C0CD7">
              <w:rPr>
                <w:highlight w:val="yellow"/>
                <w:lang w:val="en-GB"/>
              </w:rPr>
              <w:t xml:space="preserve"> + T</w:t>
            </w:r>
            <w:r w:rsidRPr="002C0CD7">
              <w:rPr>
                <w:highlight w:val="yellow"/>
                <w:vertAlign w:val="subscript"/>
                <w:lang w:val="en-GB"/>
              </w:rPr>
              <w:t>IU</w:t>
            </w:r>
            <w:r w:rsidRPr="002C0CD7">
              <w:rPr>
                <w:highlight w:val="yellow"/>
                <w:lang w:val="en-GB"/>
              </w:rPr>
              <w:t xml:space="preserve"> + </w:t>
            </w:r>
            <w:proofErr w:type="spellStart"/>
            <w:r w:rsidRPr="002C0CD7">
              <w:rPr>
                <w:highlight w:val="yellow"/>
                <w:lang w:val="en-GB"/>
              </w:rPr>
              <w:t>T</w:t>
            </w:r>
            <w:r w:rsidRPr="002C0CD7">
              <w:rPr>
                <w:highlight w:val="yellow"/>
                <w:vertAlign w:val="subscript"/>
                <w:lang w:val="en-GB"/>
              </w:rPr>
              <w:t>processing</w:t>
            </w:r>
            <w:proofErr w:type="spellEnd"/>
            <w:r w:rsidRPr="002C0CD7">
              <w:rPr>
                <w:highlight w:val="yellow"/>
                <w:vertAlign w:val="subscript"/>
                <w:lang w:val="en-GB"/>
              </w:rPr>
              <w:t xml:space="preserve"> </w:t>
            </w:r>
            <w:r w:rsidRPr="002C0CD7">
              <w:rPr>
                <w:highlight w:val="yellow"/>
                <w:lang w:val="en-GB"/>
              </w:rPr>
              <w:t>+ T</w:t>
            </w:r>
            <w:r w:rsidRPr="002C0CD7">
              <w:rPr>
                <w:highlight w:val="yellow"/>
                <w:vertAlign w:val="subscript"/>
                <w:lang w:val="en-GB"/>
              </w:rPr>
              <w:t>∆</w:t>
            </w:r>
            <w:r w:rsidRPr="002C0CD7">
              <w:rPr>
                <w:highlight w:val="yellow"/>
                <w:lang w:val="en-GB"/>
              </w:rPr>
              <w:t xml:space="preserve"> + </w:t>
            </w:r>
            <w:proofErr w:type="spellStart"/>
            <w:r w:rsidRPr="002C0CD7">
              <w:rPr>
                <w:highlight w:val="yellow"/>
                <w:lang w:val="en-GB"/>
              </w:rPr>
              <w:t>T</w:t>
            </w:r>
            <w:r w:rsidRPr="002C0CD7">
              <w:rPr>
                <w:highlight w:val="yellow"/>
                <w:vertAlign w:val="subscript"/>
                <w:lang w:val="en-GB"/>
              </w:rPr>
              <w:t>margin</w:t>
            </w:r>
            <w:proofErr w:type="spellEnd"/>
            <w:r w:rsidRPr="002C0CD7">
              <w:rPr>
                <w:highlight w:val="yellow"/>
                <w:vertAlign w:val="subscript"/>
                <w:lang w:val="en-GB"/>
              </w:rPr>
              <w:t xml:space="preserve"> </w:t>
            </w:r>
            <w:proofErr w:type="spellStart"/>
            <w:r w:rsidRPr="002C0CD7">
              <w:rPr>
                <w:highlight w:val="yellow"/>
                <w:lang w:val="en-GB"/>
              </w:rPr>
              <w:t>ms</w:t>
            </w:r>
            <w:proofErr w:type="spellEnd"/>
          </w:p>
          <w:p w14:paraId="4CA81A4F" w14:textId="77777777" w:rsidR="00254F6B" w:rsidRPr="00056D6D" w:rsidRDefault="00254F6B" w:rsidP="00BD4DC8">
            <w:r w:rsidRPr="00056D6D">
              <w:rPr>
                <w:lang w:val="en-GB"/>
              </w:rPr>
              <w:t>Where:</w:t>
            </w:r>
          </w:p>
          <w:p w14:paraId="6806387D" w14:textId="77777777" w:rsidR="00254F6B" w:rsidRPr="001A39BD" w:rsidRDefault="00254F6B" w:rsidP="00BD4DC8">
            <w:pPr>
              <w:ind w:left="720"/>
              <w:rPr>
                <w:lang w:val="en-GB"/>
              </w:rPr>
            </w:pPr>
            <w:proofErr w:type="spellStart"/>
            <w:r w:rsidRPr="001A39BD">
              <w:rPr>
                <w:lang w:val="en-GB"/>
              </w:rPr>
              <w:t>T</w:t>
            </w:r>
            <w:r w:rsidRPr="001A39BD">
              <w:rPr>
                <w:vertAlign w:val="subscript"/>
                <w:lang w:val="en-GB"/>
              </w:rPr>
              <w:t>search</w:t>
            </w:r>
            <w:proofErr w:type="spellEnd"/>
            <w:r w:rsidRPr="001A39BD">
              <w:rPr>
                <w:lang w:val="en-GB"/>
              </w:rPr>
              <w:t xml:space="preserve"> is the time required to search the target cell when the target cell is not already known when the handover command is received by the UE. If the target cell is known, then </w:t>
            </w:r>
            <w:proofErr w:type="spellStart"/>
            <w:r w:rsidRPr="001A39BD">
              <w:rPr>
                <w:lang w:val="en-GB"/>
              </w:rPr>
              <w:t>T</w:t>
            </w:r>
            <w:r w:rsidRPr="001A39BD">
              <w:rPr>
                <w:vertAlign w:val="subscript"/>
                <w:lang w:val="en-GB"/>
              </w:rPr>
              <w:t>search</w:t>
            </w:r>
            <w:proofErr w:type="spellEnd"/>
            <w:r w:rsidRPr="001A39BD">
              <w:rPr>
                <w:lang w:val="en-GB"/>
              </w:rPr>
              <w:t xml:space="preserve"> = 0 </w:t>
            </w:r>
            <w:proofErr w:type="spellStart"/>
            <w:r w:rsidRPr="001A39BD">
              <w:rPr>
                <w:lang w:val="en-GB"/>
              </w:rPr>
              <w:t>ms</w:t>
            </w:r>
            <w:proofErr w:type="spellEnd"/>
            <w:r w:rsidRPr="001A39BD">
              <w:rPr>
                <w:lang w:val="en-GB"/>
              </w:rPr>
              <w:t>. If the target cell is an unknown intra-frequency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w:t>
            </w:r>
            <w:proofErr w:type="spellStart"/>
            <w:r w:rsidRPr="001A39BD">
              <w:rPr>
                <w:lang w:val="en-GB"/>
              </w:rPr>
              <w:t>T</w:t>
            </w:r>
            <w:r w:rsidRPr="001A39BD">
              <w:rPr>
                <w:vertAlign w:val="subscript"/>
                <w:lang w:val="en-GB"/>
              </w:rPr>
              <w:t>rs</w:t>
            </w:r>
            <w:proofErr w:type="spellEnd"/>
            <w:r w:rsidRPr="001A39BD" w:rsidDel="000446A6">
              <w:rPr>
                <w:lang w:val="en-GB"/>
              </w:rPr>
              <w:t xml:space="preserve"> </w:t>
            </w:r>
            <w:r w:rsidRPr="001A39BD">
              <w:rPr>
                <w:lang w:val="en-GB"/>
              </w:rPr>
              <w:t xml:space="preserve"> </w:t>
            </w:r>
            <w:proofErr w:type="spellStart"/>
            <w:r w:rsidRPr="001A39BD">
              <w:rPr>
                <w:lang w:val="en-GB"/>
              </w:rPr>
              <w:t>ms</w:t>
            </w:r>
            <w:proofErr w:type="spellEnd"/>
            <w:r w:rsidRPr="001A39BD">
              <w:rPr>
                <w:lang w:val="en-GB"/>
              </w:rPr>
              <w:t>. If the target cell is an unknown inter-frequency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3* </w:t>
            </w:r>
            <w:proofErr w:type="spellStart"/>
            <w:r w:rsidRPr="001A39BD">
              <w:rPr>
                <w:lang w:val="en-GB"/>
              </w:rPr>
              <w:t>T</w:t>
            </w:r>
            <w:r w:rsidRPr="001A39BD">
              <w:rPr>
                <w:vertAlign w:val="subscript"/>
                <w:lang w:val="en-GB"/>
              </w:rPr>
              <w:t>rs</w:t>
            </w:r>
            <w:proofErr w:type="spellEnd"/>
            <w:r w:rsidRPr="001A39BD">
              <w:rPr>
                <w:lang w:val="en-GB"/>
              </w:rPr>
              <w:t xml:space="preserve">  </w:t>
            </w:r>
            <w:proofErr w:type="spellStart"/>
            <w:r w:rsidRPr="001A39BD">
              <w:rPr>
                <w:lang w:val="en-GB"/>
              </w:rPr>
              <w:t>ms</w:t>
            </w:r>
            <w:proofErr w:type="spellEnd"/>
            <w:r w:rsidRPr="001A39BD">
              <w:rPr>
                <w:lang w:val="en-GB"/>
              </w:rPr>
              <w:t xml:space="preserve">. Regardless of whether DRX is in use by the UE, </w:t>
            </w:r>
            <w:proofErr w:type="spellStart"/>
            <w:r w:rsidRPr="001A39BD">
              <w:rPr>
                <w:lang w:val="en-GB"/>
              </w:rPr>
              <w:t>T</w:t>
            </w:r>
            <w:r w:rsidRPr="001A39BD">
              <w:rPr>
                <w:vertAlign w:val="subscript"/>
                <w:lang w:val="en-GB"/>
              </w:rPr>
              <w:t>search</w:t>
            </w:r>
            <w:proofErr w:type="spellEnd"/>
            <w:r w:rsidRPr="001A39BD">
              <w:rPr>
                <w:lang w:val="en-GB"/>
              </w:rPr>
              <w:t xml:space="preserve"> shall still be based on non-DRX target cell search times.</w:t>
            </w:r>
          </w:p>
          <w:p w14:paraId="51B213E9" w14:textId="77777777" w:rsidR="00254F6B" w:rsidRPr="001A39BD" w:rsidRDefault="00254F6B" w:rsidP="00BD4DC8">
            <w:pPr>
              <w:rPr>
                <w:lang w:val="en-GB"/>
              </w:rPr>
            </w:pPr>
            <w:r w:rsidRPr="001A39BD">
              <w:rPr>
                <w:lang w:val="en-GB"/>
              </w:rPr>
              <w:tab/>
              <w:t>T</w:t>
            </w:r>
            <w:r w:rsidRPr="001A39BD">
              <w:rPr>
                <w:vertAlign w:val="subscript"/>
                <w:lang w:val="en-GB"/>
              </w:rPr>
              <w:t>∆</w:t>
            </w:r>
            <w:r w:rsidRPr="001A39BD">
              <w:rPr>
                <w:lang w:val="en-GB"/>
              </w:rPr>
              <w:t xml:space="preserve"> is time for fine time tracking and acquiring full timing information of the target cell. T</w:t>
            </w:r>
            <w:r w:rsidRPr="001A39BD">
              <w:rPr>
                <w:vertAlign w:val="subscript"/>
                <w:lang w:val="en-GB"/>
              </w:rPr>
              <w:t>∆</w:t>
            </w:r>
            <w:r w:rsidRPr="001A39BD">
              <w:rPr>
                <w:lang w:val="en-GB"/>
              </w:rPr>
              <w:t xml:space="preserve"> = </w:t>
            </w:r>
            <w:proofErr w:type="spellStart"/>
            <w:r w:rsidRPr="001A39BD">
              <w:rPr>
                <w:lang w:val="en-GB"/>
              </w:rPr>
              <w:t>T</w:t>
            </w:r>
            <w:r w:rsidRPr="001A39BD">
              <w:rPr>
                <w:vertAlign w:val="subscript"/>
                <w:lang w:val="en-GB"/>
              </w:rPr>
              <w:t>rs</w:t>
            </w:r>
            <w:proofErr w:type="spellEnd"/>
            <w:r w:rsidRPr="001A39BD">
              <w:rPr>
                <w:lang w:val="en-GB"/>
              </w:rPr>
              <w:t>.</w:t>
            </w:r>
          </w:p>
          <w:p w14:paraId="37B2BF31" w14:textId="77777777" w:rsidR="00254F6B" w:rsidRPr="001A39BD" w:rsidRDefault="00254F6B" w:rsidP="00BD4DC8">
            <w:pPr>
              <w:rPr>
                <w:lang w:val="en-GB"/>
              </w:rPr>
            </w:pPr>
            <w:r w:rsidRPr="001A39BD">
              <w:rPr>
                <w:lang w:val="en-GB"/>
              </w:rPr>
              <w:tab/>
            </w:r>
            <w:proofErr w:type="spellStart"/>
            <w:r w:rsidRPr="001A39BD">
              <w:rPr>
                <w:lang w:val="en-GB"/>
              </w:rPr>
              <w:t>T</w:t>
            </w:r>
            <w:r w:rsidRPr="001A39BD">
              <w:rPr>
                <w:vertAlign w:val="subscript"/>
                <w:lang w:val="en-GB"/>
              </w:rPr>
              <w:t>processing</w:t>
            </w:r>
            <w:proofErr w:type="spellEnd"/>
            <w:r w:rsidRPr="001A39BD">
              <w:rPr>
                <w:lang w:val="en-GB"/>
              </w:rPr>
              <w:t xml:space="preserve"> is time for UE processing. </w:t>
            </w:r>
            <w:proofErr w:type="spellStart"/>
            <w:r w:rsidRPr="001A39BD">
              <w:rPr>
                <w:lang w:val="en-GB"/>
              </w:rPr>
              <w:t>T</w:t>
            </w:r>
            <w:r w:rsidRPr="001A39BD">
              <w:rPr>
                <w:vertAlign w:val="subscript"/>
                <w:lang w:val="en-GB"/>
              </w:rPr>
              <w:t>processing</w:t>
            </w:r>
            <w:proofErr w:type="spellEnd"/>
            <w:r w:rsidRPr="001A39BD">
              <w:rPr>
                <w:lang w:val="en-GB"/>
              </w:rPr>
              <w:t xml:space="preserve"> can be up to 20ms.</w:t>
            </w:r>
          </w:p>
          <w:p w14:paraId="5F5D83B4" w14:textId="77777777" w:rsidR="00254F6B" w:rsidRPr="001A39BD" w:rsidRDefault="00254F6B" w:rsidP="00BD4DC8">
            <w:pPr>
              <w:rPr>
                <w:lang w:val="en-GB"/>
              </w:rPr>
            </w:pPr>
            <w:r w:rsidRPr="001A39BD">
              <w:rPr>
                <w:lang w:val="en-GB"/>
              </w:rPr>
              <w:tab/>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 xml:space="preserve">is time for SSB post-processing. </w:t>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can be up to 2ms.</w:t>
            </w:r>
          </w:p>
          <w:p w14:paraId="2192867B" w14:textId="77777777" w:rsidR="00254F6B" w:rsidRPr="001A39BD" w:rsidRDefault="00254F6B" w:rsidP="00BD4DC8">
            <w:pPr>
              <w:rPr>
                <w:lang w:val="en-GB"/>
              </w:rPr>
            </w:pPr>
            <w:r w:rsidRPr="001A39BD">
              <w:rPr>
                <w:lang w:val="en-GB"/>
              </w:rPr>
              <w:tab/>
              <w:t>T</w:t>
            </w:r>
            <w:r w:rsidRPr="001A39BD">
              <w:rPr>
                <w:vertAlign w:val="subscript"/>
                <w:lang w:val="en-GB"/>
              </w:rPr>
              <w:t>IU</w:t>
            </w:r>
            <w:r w:rsidRPr="001A39BD">
              <w:rPr>
                <w:lang w:val="en-GB"/>
              </w:rPr>
              <w:t xml:space="preserve"> is the interruption uncertainty in acquiring the first available PRACH occasion in the new cell. T</w:t>
            </w:r>
            <w:r w:rsidRPr="001A39BD">
              <w:rPr>
                <w:vertAlign w:val="subscript"/>
                <w:lang w:val="en-GB"/>
              </w:rPr>
              <w:t>IU</w:t>
            </w:r>
            <w:r w:rsidRPr="001A39BD">
              <w:rPr>
                <w:lang w:val="en-GB"/>
              </w:rPr>
              <w:t xml:space="preserve"> can be up to the summation of SSB to PRACH occasion association period and 10 </w:t>
            </w:r>
            <w:proofErr w:type="spellStart"/>
            <w:r w:rsidRPr="001A39BD">
              <w:rPr>
                <w:lang w:val="en-GB"/>
              </w:rPr>
              <w:t>ms</w:t>
            </w:r>
            <w:proofErr w:type="spellEnd"/>
            <w:r w:rsidRPr="001A39BD">
              <w:rPr>
                <w:lang w:val="en-GB"/>
              </w:rPr>
              <w:t>. SSB to PRACH occasion associated period is defined in the table 8.1-1 of TS 38.213 [3].</w:t>
            </w:r>
          </w:p>
          <w:p w14:paraId="0D3DDA5A" w14:textId="77777777" w:rsidR="00254F6B" w:rsidRPr="001A39BD" w:rsidRDefault="00254F6B" w:rsidP="00BD4DC8">
            <w:pPr>
              <w:ind w:right="-22"/>
              <w:rPr>
                <w:lang w:val="en-GB"/>
              </w:rPr>
            </w:pPr>
          </w:p>
        </w:tc>
      </w:tr>
    </w:tbl>
    <w:p w14:paraId="0F0A8333" w14:textId="77777777" w:rsidR="00254F6B" w:rsidRDefault="00254F6B" w:rsidP="00254F6B">
      <w:pPr>
        <w:ind w:right="-22"/>
      </w:pPr>
    </w:p>
    <w:p w14:paraId="0912C551" w14:textId="77777777" w:rsidR="00254F6B" w:rsidRDefault="00254F6B" w:rsidP="00254F6B">
      <w:pPr>
        <w:ind w:right="-22"/>
      </w:pPr>
      <w:r>
        <w:t xml:space="preserve">NR-DC </w:t>
      </w:r>
      <w:proofErr w:type="spellStart"/>
      <w:r>
        <w:t>PSCell</w:t>
      </w:r>
      <w:proofErr w:type="spellEnd"/>
      <w:r>
        <w:t xml:space="preserve"> addition delay requirements in section 8.9.2 in 38.133 (current requirements apply for FR1 </w:t>
      </w:r>
      <w:proofErr w:type="spellStart"/>
      <w:r>
        <w:t>PCell</w:t>
      </w:r>
      <w:proofErr w:type="spellEnd"/>
      <w:r>
        <w:t xml:space="preserve"> and FR2 </w:t>
      </w:r>
      <w:proofErr w:type="spellStart"/>
      <w:r>
        <w:t>PSCell</w:t>
      </w:r>
      <w:proofErr w:type="spellEnd"/>
      <w:r>
        <w:t xml:space="preserve">): </w:t>
      </w:r>
    </w:p>
    <w:tbl>
      <w:tblPr>
        <w:tblStyle w:val="TableGrid"/>
        <w:tblW w:w="0" w:type="auto"/>
        <w:tblLook w:val="04A0" w:firstRow="1" w:lastRow="0" w:firstColumn="1" w:lastColumn="0" w:noHBand="0" w:noVBand="1"/>
      </w:tblPr>
      <w:tblGrid>
        <w:gridCol w:w="9617"/>
      </w:tblGrid>
      <w:tr w:rsidR="00254F6B" w14:paraId="5B9AA4CC" w14:textId="77777777" w:rsidTr="00BD4DC8">
        <w:tc>
          <w:tcPr>
            <w:tcW w:w="9617" w:type="dxa"/>
          </w:tcPr>
          <w:p w14:paraId="30285AB7" w14:textId="77777777" w:rsidR="00254F6B" w:rsidRPr="009C5807" w:rsidRDefault="00254F6B" w:rsidP="00BD4DC8">
            <w:pPr>
              <w:overflowPunct w:val="0"/>
              <w:autoSpaceDE w:val="0"/>
              <w:autoSpaceDN w:val="0"/>
              <w:adjustRightInd w:val="0"/>
              <w:textAlignment w:val="baseline"/>
              <w:rPr>
                <w:lang w:eastAsia="ja-JP"/>
              </w:rPr>
            </w:pPr>
            <w:r w:rsidRPr="009C5807">
              <w:rPr>
                <w:lang w:eastAsia="ko-KR"/>
              </w:rPr>
              <w:lastRenderedPageBreak/>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9C5807">
              <w:rPr>
                <w:lang w:eastAsia="ja-JP"/>
              </w:rPr>
              <w:t>:</w:t>
            </w:r>
          </w:p>
          <w:p w14:paraId="172CF15B" w14:textId="77777777" w:rsidR="00254F6B" w:rsidRPr="009C5807" w:rsidRDefault="00254F6B" w:rsidP="00BD4DC8">
            <w:r w:rsidRPr="009C5807">
              <w:t>where:</w:t>
            </w:r>
          </w:p>
          <w:p w14:paraId="3233DF7D" w14:textId="77777777" w:rsidR="00254F6B" w:rsidRPr="00056D6D" w:rsidRDefault="00254F6B" w:rsidP="00BD4DC8">
            <w:proofErr w:type="spellStart"/>
            <w:r w:rsidRPr="00A426F1">
              <w:rPr>
                <w:highlight w:val="yellow"/>
                <w:lang w:val="en-GB"/>
              </w:rPr>
              <w:t>T</w:t>
            </w:r>
            <w:r w:rsidRPr="00A426F1">
              <w:rPr>
                <w:highlight w:val="yellow"/>
                <w:vertAlign w:val="subscript"/>
                <w:lang w:val="en-GB"/>
              </w:rPr>
              <w:t>config_PSCell</w:t>
            </w:r>
            <w:proofErr w:type="spellEnd"/>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RRC_delay</w:t>
            </w:r>
            <w:proofErr w:type="spellEnd"/>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processing</w:t>
            </w:r>
            <w:proofErr w:type="spellEnd"/>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search</w:t>
            </w:r>
            <w:proofErr w:type="spellEnd"/>
            <w:r w:rsidRPr="00A426F1">
              <w:rPr>
                <w:highlight w:val="yellow"/>
                <w:lang w:val="en-GB"/>
              </w:rPr>
              <w:t xml:space="preserve"> + T</w:t>
            </w:r>
            <w:r w:rsidRPr="00A426F1">
              <w:rPr>
                <w:highlight w:val="yellow"/>
                <w:vertAlign w:val="subscript"/>
                <w:lang w:val="en-GB"/>
              </w:rPr>
              <w:t>∆</w:t>
            </w:r>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PSCell</w:t>
            </w:r>
            <w:proofErr w:type="spellEnd"/>
            <w:r w:rsidRPr="00A426F1">
              <w:rPr>
                <w:highlight w:val="yellow"/>
                <w:vertAlign w:val="subscript"/>
                <w:lang w:val="en-GB"/>
              </w:rPr>
              <w:t>_ DU</w:t>
            </w:r>
            <w:r w:rsidRPr="00A426F1">
              <w:rPr>
                <w:highlight w:val="yellow"/>
                <w:lang w:val="en-GB"/>
              </w:rPr>
              <w:t xml:space="preserve"> + 2 </w:t>
            </w:r>
            <w:proofErr w:type="spellStart"/>
            <w:r w:rsidRPr="00A426F1">
              <w:rPr>
                <w:highlight w:val="yellow"/>
                <w:lang w:val="en-GB"/>
              </w:rPr>
              <w:t>ms</w:t>
            </w:r>
            <w:proofErr w:type="spellEnd"/>
          </w:p>
          <w:p w14:paraId="0B11976E" w14:textId="77777777" w:rsidR="00254F6B" w:rsidRPr="00056D6D" w:rsidRDefault="00254F6B" w:rsidP="00BD4DC8">
            <w:r w:rsidRPr="00056D6D">
              <w:rPr>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3CEB0258" w14:textId="77777777" w:rsidR="00254F6B" w:rsidRPr="00056D6D" w:rsidRDefault="00254F6B" w:rsidP="00BD4DC8">
            <w:r w:rsidRPr="00056D6D">
              <w:rPr>
                <w:lang w:val="en-GB"/>
              </w:rPr>
              <w:tab/>
            </w:r>
            <w:proofErr w:type="spellStart"/>
            <w:r w:rsidRPr="00056D6D">
              <w:rPr>
                <w:lang w:val="en-GB"/>
              </w:rPr>
              <w:t>T</w:t>
            </w:r>
            <w:r w:rsidRPr="00056D6D">
              <w:rPr>
                <w:vertAlign w:val="subscript"/>
                <w:lang w:val="en-GB"/>
              </w:rPr>
              <w:t>processing</w:t>
            </w:r>
            <w:proofErr w:type="spellEnd"/>
            <w:r w:rsidRPr="00056D6D">
              <w:rPr>
                <w:lang w:val="en-GB"/>
              </w:rPr>
              <w:t xml:space="preserve"> is the SW processing time needed by UE, including RF warm up period. </w:t>
            </w:r>
            <w:proofErr w:type="spellStart"/>
            <w:r w:rsidRPr="00056D6D">
              <w:rPr>
                <w:lang w:val="en-GB"/>
              </w:rPr>
              <w:t>T</w:t>
            </w:r>
            <w:r w:rsidRPr="00056D6D">
              <w:rPr>
                <w:vertAlign w:val="subscript"/>
                <w:lang w:val="en-GB"/>
              </w:rPr>
              <w:t>processing</w:t>
            </w:r>
            <w:proofErr w:type="spellEnd"/>
            <w:r w:rsidRPr="00056D6D">
              <w:rPr>
                <w:lang w:val="en-GB"/>
              </w:rPr>
              <w:t xml:space="preserve"> = 40 </w:t>
            </w:r>
            <w:proofErr w:type="spellStart"/>
            <w:r w:rsidRPr="00056D6D">
              <w:rPr>
                <w:lang w:val="en-GB"/>
              </w:rPr>
              <w:t>ms</w:t>
            </w:r>
            <w:proofErr w:type="spellEnd"/>
            <w:r w:rsidRPr="00056D6D">
              <w:rPr>
                <w:lang w:val="en-GB"/>
              </w:rPr>
              <w:t>.</w:t>
            </w:r>
          </w:p>
          <w:p w14:paraId="1EC5CA54" w14:textId="77777777" w:rsidR="00254F6B" w:rsidRPr="00056D6D" w:rsidRDefault="00254F6B" w:rsidP="00BD4DC8">
            <w:r w:rsidRPr="00056D6D">
              <w:rPr>
                <w:lang w:val="en-GB"/>
              </w:rPr>
              <w:tab/>
            </w:r>
            <w:proofErr w:type="spellStart"/>
            <w:r w:rsidRPr="00056D6D">
              <w:rPr>
                <w:lang w:val="en-GB"/>
              </w:rPr>
              <w:t>T</w:t>
            </w:r>
            <w:r w:rsidRPr="00056D6D">
              <w:rPr>
                <w:vertAlign w:val="subscript"/>
                <w:lang w:val="en-GB"/>
              </w:rPr>
              <w:t>search</w:t>
            </w:r>
            <w:proofErr w:type="spellEnd"/>
            <w:r w:rsidRPr="00056D6D">
              <w:rPr>
                <w:lang w:val="en-GB"/>
              </w:rPr>
              <w:t xml:space="preserve"> is the time for AGC settling and PSS/SSS detection. If the target cell is known, </w:t>
            </w:r>
            <w:proofErr w:type="spellStart"/>
            <w:r w:rsidRPr="00056D6D">
              <w:rPr>
                <w:lang w:val="en-GB"/>
              </w:rPr>
              <w:t>T</w:t>
            </w:r>
            <w:r w:rsidRPr="00056D6D">
              <w:rPr>
                <w:vertAlign w:val="subscript"/>
                <w:lang w:val="en-GB"/>
              </w:rPr>
              <w:t>search</w:t>
            </w:r>
            <w:proofErr w:type="spellEnd"/>
            <w:r w:rsidRPr="00056D6D">
              <w:rPr>
                <w:lang w:val="en-GB"/>
              </w:rPr>
              <w:t xml:space="preserve"> = 0 </w:t>
            </w:r>
            <w:proofErr w:type="spellStart"/>
            <w:r w:rsidRPr="00056D6D">
              <w:rPr>
                <w:lang w:val="en-GB"/>
              </w:rPr>
              <w:t>ms</w:t>
            </w:r>
            <w:proofErr w:type="spellEnd"/>
            <w:r w:rsidRPr="00056D6D">
              <w:rPr>
                <w:lang w:val="en-GB"/>
              </w:rPr>
              <w:t xml:space="preserve">. If the target cell is unknown and the target cell </w:t>
            </w:r>
            <w:proofErr w:type="spellStart"/>
            <w:r w:rsidRPr="00056D6D">
              <w:rPr>
                <w:lang w:val="en-GB"/>
              </w:rPr>
              <w:t>Ês</w:t>
            </w:r>
            <w:proofErr w:type="spellEnd"/>
            <w:r w:rsidRPr="00056D6D">
              <w:rPr>
                <w:lang w:val="en-GB"/>
              </w:rPr>
              <w:t>/</w:t>
            </w:r>
            <w:proofErr w:type="spellStart"/>
            <w:r w:rsidRPr="00056D6D">
              <w:rPr>
                <w:lang w:val="en-GB"/>
              </w:rPr>
              <w:t>Iot</w:t>
            </w:r>
            <w:proofErr w:type="spellEnd"/>
            <w:r w:rsidRPr="00056D6D">
              <w:rPr>
                <w:lang w:val="en-GB"/>
              </w:rPr>
              <w:t xml:space="preserve"> </w:t>
            </w:r>
            <w:r w:rsidRPr="00056D6D">
              <w:rPr>
                <w:rFonts w:hint="eastAsia"/>
              </w:rPr>
              <w:t>≥</w:t>
            </w:r>
            <w:r w:rsidRPr="00056D6D">
              <w:t xml:space="preserve"> </w:t>
            </w:r>
            <w:r w:rsidRPr="00056D6D">
              <w:rPr>
                <w:lang w:val="en-GB"/>
              </w:rPr>
              <w:t xml:space="preserve">-2dB, </w:t>
            </w:r>
            <w:proofErr w:type="spellStart"/>
            <w:r w:rsidRPr="00056D6D">
              <w:rPr>
                <w:lang w:val="en-GB"/>
              </w:rPr>
              <w:t>T</w:t>
            </w:r>
            <w:r w:rsidRPr="00056D6D">
              <w:rPr>
                <w:vertAlign w:val="subscript"/>
                <w:lang w:val="en-GB"/>
              </w:rPr>
              <w:t>search</w:t>
            </w:r>
            <w:proofErr w:type="spellEnd"/>
            <w:r w:rsidRPr="00056D6D">
              <w:rPr>
                <w:lang w:val="en-GB"/>
              </w:rPr>
              <w:t xml:space="preserve"> = 24* </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w:t>
            </w:r>
          </w:p>
          <w:p w14:paraId="24EFC29F" w14:textId="77777777" w:rsidR="00254F6B" w:rsidRPr="00056D6D" w:rsidRDefault="00254F6B" w:rsidP="00BD4DC8">
            <w:r w:rsidRPr="00056D6D">
              <w:rPr>
                <w:lang w:val="en-GB"/>
              </w:rPr>
              <w:tab/>
              <w:t>T</w:t>
            </w:r>
            <w:r w:rsidRPr="00056D6D">
              <w:rPr>
                <w:vertAlign w:val="subscript"/>
                <w:lang w:val="en-GB"/>
              </w:rPr>
              <w:t>∆</w:t>
            </w:r>
            <w:r w:rsidRPr="00056D6D">
              <w:rPr>
                <w:lang w:val="en-GB"/>
              </w:rPr>
              <w:t xml:space="preserve"> is time for fine time tracking and acquiring full timing information of the target cell. T</w:t>
            </w:r>
            <w:r w:rsidRPr="00056D6D">
              <w:rPr>
                <w:vertAlign w:val="subscript"/>
                <w:lang w:val="en-GB"/>
              </w:rPr>
              <w:t>∆</w:t>
            </w:r>
            <w:r w:rsidRPr="00056D6D">
              <w:rPr>
                <w:lang w:val="en-GB"/>
              </w:rPr>
              <w:t xml:space="preserve"> = 1*</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 xml:space="preserve"> for a known or unknown </w:t>
            </w:r>
            <w:proofErr w:type="spellStart"/>
            <w:r w:rsidRPr="00056D6D">
              <w:rPr>
                <w:lang w:val="en-GB"/>
              </w:rPr>
              <w:t>PSCell</w:t>
            </w:r>
            <w:proofErr w:type="spellEnd"/>
            <w:r w:rsidRPr="00056D6D">
              <w:rPr>
                <w:lang w:val="en-GB"/>
              </w:rPr>
              <w:t>.</w:t>
            </w:r>
          </w:p>
          <w:p w14:paraId="1D0A19E4" w14:textId="77777777" w:rsidR="00254F6B" w:rsidRPr="00056D6D" w:rsidRDefault="00254F6B" w:rsidP="00BD4DC8">
            <w:r w:rsidRPr="00056D6D">
              <w:rPr>
                <w:lang w:val="en-GB"/>
              </w:rPr>
              <w:tab/>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the delay uncertainty in acquiring the first available PRACH occasion in the </w:t>
            </w:r>
            <w:proofErr w:type="spellStart"/>
            <w:r w:rsidRPr="00056D6D">
              <w:rPr>
                <w:lang w:val="en-GB"/>
              </w:rPr>
              <w:t>PSCell</w:t>
            </w:r>
            <w:proofErr w:type="spellEnd"/>
            <w:r w:rsidRPr="00056D6D">
              <w:rPr>
                <w:lang w:val="en-GB"/>
              </w:rPr>
              <w:t xml:space="preserve">. </w:t>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up to the summation of SSB to PRACH occasion association period and 10 </w:t>
            </w:r>
            <w:proofErr w:type="spellStart"/>
            <w:r w:rsidRPr="00056D6D">
              <w:rPr>
                <w:lang w:val="en-GB"/>
              </w:rPr>
              <w:t>ms</w:t>
            </w:r>
            <w:proofErr w:type="spellEnd"/>
            <w:r w:rsidRPr="00056D6D">
              <w:rPr>
                <w:lang w:val="en-GB"/>
              </w:rPr>
              <w:t>. SSB to PRACH occasion associated period is defined in Table 8.1-1 of TS 38.213 [3].</w:t>
            </w:r>
          </w:p>
          <w:p w14:paraId="27900849" w14:textId="77777777" w:rsidR="00254F6B" w:rsidRDefault="00254F6B" w:rsidP="00BD4DC8">
            <w:pPr>
              <w:ind w:right="-22"/>
            </w:pPr>
          </w:p>
        </w:tc>
      </w:tr>
    </w:tbl>
    <w:p w14:paraId="56B0FC80" w14:textId="6B2D2B55" w:rsidR="00254F6B" w:rsidRDefault="00254F6B" w:rsidP="00254F6B">
      <w:pPr>
        <w:ind w:right="-22"/>
      </w:pPr>
    </w:p>
    <w:p w14:paraId="513AF763" w14:textId="77777777" w:rsidR="002F1D10" w:rsidRDefault="002C0CD7" w:rsidP="00DF20FB">
      <w:pPr>
        <w:ind w:right="-22"/>
      </w:pPr>
      <w:r>
        <w:t xml:space="preserve">After UE receives the RRC msg implying HO with </w:t>
      </w:r>
      <w:proofErr w:type="spellStart"/>
      <w:r>
        <w:t>PSCell</w:t>
      </w:r>
      <w:proofErr w:type="spellEnd"/>
      <w:r>
        <w:t xml:space="preserve">, UE processing time, cell search time, time tracking, delay uncertainty in acquiring the first available PRACH occasion in the new cell are needed both to handover to target PCell and to add target </w:t>
      </w:r>
      <w:proofErr w:type="spellStart"/>
      <w:r>
        <w:t>PSCell</w:t>
      </w:r>
      <w:proofErr w:type="spellEnd"/>
      <w:r>
        <w:t xml:space="preserve">. </w:t>
      </w:r>
    </w:p>
    <w:p w14:paraId="69AAF40F" w14:textId="12B7DBFA" w:rsidR="00C9312F" w:rsidRDefault="00A00614" w:rsidP="00DF20FB">
      <w:pPr>
        <w:ind w:right="-22"/>
      </w:pPr>
      <w:r>
        <w:t>RA procedure</w:t>
      </w:r>
      <w:r w:rsidR="00ED48EA">
        <w:t>s</w:t>
      </w:r>
      <w:r>
        <w:t xml:space="preserve"> toward target PCell and </w:t>
      </w:r>
      <w:r w:rsidR="00ED48EA">
        <w:t xml:space="preserve">towards the </w:t>
      </w:r>
      <w:r>
        <w:t xml:space="preserve">target </w:t>
      </w:r>
      <w:proofErr w:type="spellStart"/>
      <w:r>
        <w:t>PSCell</w:t>
      </w:r>
      <w:proofErr w:type="spellEnd"/>
      <w:r>
        <w:t xml:space="preserve"> will be performed sequentially, </w:t>
      </w:r>
      <w:r w:rsidR="00ED48EA">
        <w:t xml:space="preserve">while </w:t>
      </w:r>
      <w:r>
        <w:t xml:space="preserve">other </w:t>
      </w:r>
      <w:r w:rsidR="00ED48EA">
        <w:t xml:space="preserve">delays </w:t>
      </w:r>
      <w:r>
        <w:t>like UE SW processing</w:t>
      </w:r>
      <w:r w:rsidR="00DF20FB">
        <w:t xml:space="preserve">, cell search, timing tracking for </w:t>
      </w:r>
      <w:proofErr w:type="spellStart"/>
      <w:r w:rsidR="00DF20FB">
        <w:t>PSCell</w:t>
      </w:r>
      <w:proofErr w:type="spellEnd"/>
      <w:r w:rsidR="00DF20FB">
        <w:t xml:space="preserve"> addition </w:t>
      </w:r>
      <w:r w:rsidR="00ED48EA">
        <w:t>can</w:t>
      </w:r>
      <w:r>
        <w:t xml:space="preserve"> be performed in parallel</w:t>
      </w:r>
      <w:r w:rsidR="00DF20FB">
        <w:t xml:space="preserve"> </w:t>
      </w:r>
      <w:r w:rsidR="00ED48EA">
        <w:t>with the</w:t>
      </w:r>
      <w:r w:rsidR="00DF20FB">
        <w:t xml:space="preserve"> PCell HO. It</w:t>
      </w:r>
      <w:r w:rsidR="00C9312F">
        <w:t xml:space="preserve"> could be illustrated as Figure 1. </w:t>
      </w:r>
    </w:p>
    <w:p w14:paraId="62A8CE7C" w14:textId="77777777" w:rsidR="00C9312F" w:rsidRDefault="00C9312F" w:rsidP="00C9312F">
      <w:pPr>
        <w:ind w:right="-22"/>
      </w:pPr>
      <w:r>
        <w:rPr>
          <w:noProof/>
        </w:rPr>
        <w:drawing>
          <wp:inline distT="0" distB="0" distL="0" distR="0" wp14:anchorId="68A768F8" wp14:editId="7972F31E">
            <wp:extent cx="5741035" cy="1238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1035" cy="1238250"/>
                    </a:xfrm>
                    <a:prstGeom prst="rect">
                      <a:avLst/>
                    </a:prstGeom>
                    <a:noFill/>
                    <a:ln>
                      <a:noFill/>
                    </a:ln>
                  </pic:spPr>
                </pic:pic>
              </a:graphicData>
            </a:graphic>
          </wp:inline>
        </w:drawing>
      </w:r>
    </w:p>
    <w:p w14:paraId="01064590" w14:textId="596E77C7" w:rsidR="00C9312F" w:rsidRDefault="00C9312F" w:rsidP="00C9312F">
      <w:pPr>
        <w:jc w:val="center"/>
      </w:pPr>
      <w:r>
        <w:t xml:space="preserve">Figure 1 </w:t>
      </w:r>
      <w:r w:rsidR="00A67BFA">
        <w:t xml:space="preserve">Timeline for </w:t>
      </w:r>
      <w:r>
        <w:t>UE perform</w:t>
      </w:r>
      <w:r w:rsidR="00A67BFA">
        <w:t>ing</w:t>
      </w:r>
      <w:r>
        <w:t xml:space="preserve"> HO with </w:t>
      </w:r>
      <w:proofErr w:type="spellStart"/>
      <w:r>
        <w:t>PSCell</w:t>
      </w:r>
      <w:proofErr w:type="spellEnd"/>
    </w:p>
    <w:p w14:paraId="69B56E60" w14:textId="77777777" w:rsidR="00C9312F" w:rsidRDefault="00C9312F" w:rsidP="798DE98A">
      <w:pPr>
        <w:ind w:right="-22"/>
      </w:pPr>
    </w:p>
    <w:p w14:paraId="3D7259BB" w14:textId="77C04324" w:rsidR="00F111D7" w:rsidRDefault="00F111D7" w:rsidP="00F111D7">
      <w:pPr>
        <w:pStyle w:val="RAN4proposal"/>
      </w:pPr>
      <w:r>
        <w:t xml:space="preserve">In HO with </w:t>
      </w:r>
      <w:proofErr w:type="spellStart"/>
      <w:r>
        <w:t>PSCell</w:t>
      </w:r>
      <w:proofErr w:type="spellEnd"/>
      <w:r>
        <w:t xml:space="preserve">, legacy HO and </w:t>
      </w:r>
      <w:proofErr w:type="spellStart"/>
      <w:r>
        <w:t>PSCell</w:t>
      </w:r>
      <w:proofErr w:type="spellEnd"/>
      <w:r>
        <w:t xml:space="preserve"> addition </w:t>
      </w:r>
      <w:r w:rsidR="00F04097">
        <w:t>operations can</w:t>
      </w:r>
      <w:r>
        <w:t xml:space="preserve"> be performed </w:t>
      </w:r>
      <w:r w:rsidR="00CA328F">
        <w:t xml:space="preserve">partly </w:t>
      </w:r>
      <w:r w:rsidR="00C9312F">
        <w:t xml:space="preserve">in parallel </w:t>
      </w:r>
      <w:r w:rsidR="008F432C">
        <w:t>while</w:t>
      </w:r>
      <w:r w:rsidR="00C9312F">
        <w:t xml:space="preserve"> RA procedure for </w:t>
      </w:r>
      <w:r w:rsidR="008F432C">
        <w:t xml:space="preserve">first for the </w:t>
      </w:r>
      <w:r w:rsidR="00C9312F">
        <w:t xml:space="preserve">target PCell and </w:t>
      </w:r>
      <w:r w:rsidR="008F432C">
        <w:t xml:space="preserve">then for the </w:t>
      </w:r>
      <w:r w:rsidR="00C9312F">
        <w:t xml:space="preserve">target </w:t>
      </w:r>
      <w:proofErr w:type="spellStart"/>
      <w:r w:rsidR="00C9312F">
        <w:t>PSCell</w:t>
      </w:r>
      <w:proofErr w:type="spellEnd"/>
      <w:r w:rsidR="00CA328F">
        <w:t xml:space="preserve"> will be performed sequentially</w:t>
      </w:r>
      <w:r>
        <w:t xml:space="preserve">. </w:t>
      </w:r>
    </w:p>
    <w:p w14:paraId="1AA3F976" w14:textId="2244F79A" w:rsidR="00DA1D04" w:rsidRDefault="00DA1D04" w:rsidP="00DA1D04">
      <w:pPr>
        <w:pStyle w:val="ListParagraph"/>
        <w:numPr>
          <w:ilvl w:val="0"/>
          <w:numId w:val="44"/>
        </w:numPr>
        <w:ind w:right="-22"/>
      </w:pPr>
      <w:r>
        <w:t xml:space="preserve">Delay requirements for HO with </w:t>
      </w:r>
      <w:proofErr w:type="spellStart"/>
      <w:r>
        <w:t>PSCell</w:t>
      </w:r>
      <w:proofErr w:type="spellEnd"/>
    </w:p>
    <w:p w14:paraId="022E6357" w14:textId="591EF018" w:rsidR="00AC382F" w:rsidRDefault="009E3BF6" w:rsidP="00202C59">
      <w:pPr>
        <w:ind w:right="-22"/>
      </w:pPr>
      <w:r>
        <w:t xml:space="preserve">The timeline for UE to perform HO with </w:t>
      </w:r>
      <w:proofErr w:type="spellStart"/>
      <w:r>
        <w:t>PSCell</w:t>
      </w:r>
      <w:proofErr w:type="spellEnd"/>
      <w:r>
        <w:t xml:space="preserve"> in Figure 1 may include all different cases, like the scenarios, the known/unknown target cells</w:t>
      </w:r>
      <w:r w:rsidR="00AC382F">
        <w:t xml:space="preserve">. For general considering, the delay for HO with </w:t>
      </w:r>
      <w:proofErr w:type="spellStart"/>
      <w:r w:rsidR="00AC382F">
        <w:t>PSCell</w:t>
      </w:r>
      <w:proofErr w:type="spellEnd"/>
      <w:r w:rsidR="00AC382F">
        <w:t xml:space="preserve"> will be mainly composed as HO delay and </w:t>
      </w:r>
      <w:r w:rsidR="00AC382F" w:rsidRPr="00056D6D">
        <w:rPr>
          <w:lang w:val="en-GB"/>
        </w:rPr>
        <w:t xml:space="preserve">the delay uncertainty in acquiring the first available PRACH occasion in the </w:t>
      </w:r>
      <w:proofErr w:type="spellStart"/>
      <w:r w:rsidR="00AC382F" w:rsidRPr="00056D6D">
        <w:rPr>
          <w:lang w:val="en-GB"/>
        </w:rPr>
        <w:t>PSCell</w:t>
      </w:r>
      <w:proofErr w:type="spellEnd"/>
      <w:r w:rsidR="00AC382F">
        <w:rPr>
          <w:lang w:val="en-GB"/>
        </w:rPr>
        <w:t xml:space="preserve">. Since when UE starts RA procedure towards target </w:t>
      </w:r>
      <w:proofErr w:type="spellStart"/>
      <w:r w:rsidR="00AC382F">
        <w:rPr>
          <w:lang w:val="en-GB"/>
        </w:rPr>
        <w:t>PSCell</w:t>
      </w:r>
      <w:proofErr w:type="spellEnd"/>
      <w:r w:rsidR="00AC382F">
        <w:rPr>
          <w:lang w:val="en-GB"/>
        </w:rPr>
        <w:t>, some additional or margin time also need to be considered.</w:t>
      </w:r>
    </w:p>
    <w:p w14:paraId="0201BDE2" w14:textId="4752CF7F" w:rsidR="00065947" w:rsidRDefault="00065947" w:rsidP="00202C59">
      <w:pPr>
        <w:ind w:right="-22"/>
      </w:pPr>
      <w:r>
        <w:t xml:space="preserve">The delay requirements for HO with </w:t>
      </w:r>
      <w:proofErr w:type="spellStart"/>
      <w:r>
        <w:t>PSCell</w:t>
      </w:r>
      <w:proofErr w:type="spellEnd"/>
      <w:r>
        <w:t xml:space="preserve"> </w:t>
      </w:r>
      <w:r w:rsidR="00665544">
        <w:t>may</w:t>
      </w:r>
      <w:r>
        <w:t xml:space="preserve"> be described as below:</w:t>
      </w:r>
    </w:p>
    <w:p w14:paraId="13F071B7" w14:textId="0C6D87DF" w:rsidR="000C05A1" w:rsidRDefault="009E3BF6" w:rsidP="00AC382F">
      <w:pPr>
        <w:ind w:right="-22" w:firstLine="720"/>
      </w:pPr>
      <w:proofErr w:type="spellStart"/>
      <w:r>
        <w:t>D</w:t>
      </w:r>
      <w:r w:rsidRPr="009E3BF6">
        <w:rPr>
          <w:vertAlign w:val="subscript"/>
        </w:rPr>
        <w:t>HO_with_PSCell</w:t>
      </w:r>
      <w:proofErr w:type="spellEnd"/>
      <w:r>
        <w:t xml:space="preserve"> =</w:t>
      </w:r>
      <w:r w:rsidR="00065947">
        <w:t xml:space="preserve"> </w:t>
      </w:r>
      <w:r w:rsidR="000C05A1" w:rsidRPr="000C05A1">
        <w:t>D</w:t>
      </w:r>
      <w:r w:rsidR="000C05A1" w:rsidRPr="000C05A1">
        <w:rPr>
          <w:vertAlign w:val="subscript"/>
        </w:rPr>
        <w:t>HO</w:t>
      </w:r>
      <w:r w:rsidR="000C05A1">
        <w:t xml:space="preserve"> + T</w:t>
      </w:r>
      <w:r w:rsidR="000C05A1" w:rsidRPr="000C05A1">
        <w:rPr>
          <w:vertAlign w:val="subscript"/>
        </w:rPr>
        <w:t>FFS</w:t>
      </w:r>
      <w:r w:rsidR="000C05A1">
        <w:t xml:space="preserve"> + </w:t>
      </w:r>
      <w:proofErr w:type="spellStart"/>
      <w:r w:rsidR="000C05A1">
        <w:t>T</w:t>
      </w:r>
      <w:r w:rsidR="000C05A1" w:rsidRPr="000C05A1">
        <w:rPr>
          <w:vertAlign w:val="subscript"/>
        </w:rPr>
        <w:t>PSCell_DU</w:t>
      </w:r>
      <w:proofErr w:type="spellEnd"/>
      <w:r w:rsidR="000C05A1" w:rsidRPr="000C05A1">
        <w:rPr>
          <w:vertAlign w:val="subscript"/>
        </w:rPr>
        <w:t xml:space="preserve"> </w:t>
      </w:r>
    </w:p>
    <w:p w14:paraId="7B778A1C" w14:textId="77777777" w:rsidR="008F593F" w:rsidRDefault="00FB72A8" w:rsidP="000C05A1">
      <w:pPr>
        <w:pStyle w:val="RAN4proposal"/>
        <w:numPr>
          <w:ilvl w:val="0"/>
          <w:numId w:val="0"/>
        </w:numPr>
        <w:rPr>
          <w:b w:val="0"/>
          <w:bCs/>
        </w:rPr>
      </w:pPr>
      <w:r>
        <w:rPr>
          <w:b w:val="0"/>
          <w:bCs/>
        </w:rPr>
        <w:t>Where T</w:t>
      </w:r>
      <w:r w:rsidRPr="008F593F">
        <w:rPr>
          <w:b w:val="0"/>
          <w:bCs/>
          <w:vertAlign w:val="subscript"/>
        </w:rPr>
        <w:t>FFS</w:t>
      </w:r>
      <w:r>
        <w:rPr>
          <w:b w:val="0"/>
          <w:bCs/>
        </w:rPr>
        <w:t xml:space="preserve"> is the delay related to performing </w:t>
      </w:r>
      <w:r w:rsidR="008F593F">
        <w:rPr>
          <w:b w:val="0"/>
          <w:bCs/>
        </w:rPr>
        <w:t xml:space="preserve">and finalizing </w:t>
      </w:r>
      <w:r>
        <w:rPr>
          <w:b w:val="0"/>
          <w:bCs/>
        </w:rPr>
        <w:t>the PCell random access procedure</w:t>
      </w:r>
      <w:r w:rsidR="008F593F">
        <w:rPr>
          <w:b w:val="0"/>
          <w:bCs/>
        </w:rPr>
        <w:t xml:space="preserve"> before the RA preamble can be transmitted on the </w:t>
      </w:r>
      <w:proofErr w:type="spellStart"/>
      <w:r w:rsidR="008F593F">
        <w:rPr>
          <w:b w:val="0"/>
          <w:bCs/>
        </w:rPr>
        <w:t>PSCell</w:t>
      </w:r>
      <w:proofErr w:type="spellEnd"/>
      <w:r w:rsidR="008F593F">
        <w:rPr>
          <w:b w:val="0"/>
          <w:bCs/>
        </w:rPr>
        <w:t>.</w:t>
      </w:r>
      <w:r>
        <w:rPr>
          <w:b w:val="0"/>
          <w:bCs/>
        </w:rPr>
        <w:t xml:space="preserve"> </w:t>
      </w:r>
    </w:p>
    <w:p w14:paraId="0678BAF9" w14:textId="5127B5D5" w:rsidR="00665544" w:rsidRDefault="00E77337" w:rsidP="000C05A1">
      <w:pPr>
        <w:pStyle w:val="RAN4proposal"/>
        <w:numPr>
          <w:ilvl w:val="0"/>
          <w:numId w:val="0"/>
        </w:numPr>
        <w:rPr>
          <w:b w:val="0"/>
          <w:bCs/>
        </w:rPr>
      </w:pPr>
      <w:r>
        <w:rPr>
          <w:b w:val="0"/>
          <w:bCs/>
        </w:rPr>
        <w:t>In different scenarios, PCell HO delay requirements are a little different,</w:t>
      </w:r>
      <w:r w:rsidR="00665544">
        <w:rPr>
          <w:b w:val="0"/>
          <w:bCs/>
        </w:rPr>
        <w:t xml:space="preserve"> </w:t>
      </w:r>
      <w:r>
        <w:rPr>
          <w:b w:val="0"/>
          <w:bCs/>
        </w:rPr>
        <w:t xml:space="preserve"> </w:t>
      </w:r>
    </w:p>
    <w:p w14:paraId="32C125B0" w14:textId="09B18D96" w:rsidR="00E77337" w:rsidRDefault="00665544" w:rsidP="000C05A1">
      <w:pPr>
        <w:pStyle w:val="RAN4proposal"/>
        <w:numPr>
          <w:ilvl w:val="0"/>
          <w:numId w:val="0"/>
        </w:numPr>
        <w:rPr>
          <w:b w:val="0"/>
          <w:bCs/>
        </w:rPr>
      </w:pPr>
      <w:r>
        <w:rPr>
          <w:b w:val="0"/>
          <w:bCs/>
        </w:rPr>
        <w:t xml:space="preserve">In NR to E-UTRAN PCell HO, the delay requirement is defined as: </w:t>
      </w:r>
      <w:proofErr w:type="spellStart"/>
      <w:r w:rsidRPr="00665544">
        <w:rPr>
          <w:b w:val="0"/>
          <w:bCs/>
        </w:rPr>
        <w:t>D</w:t>
      </w:r>
      <w:r w:rsidRPr="00665544">
        <w:rPr>
          <w:b w:val="0"/>
          <w:bCs/>
          <w:vertAlign w:val="subscript"/>
        </w:rPr>
        <w:t>handover</w:t>
      </w:r>
      <w:proofErr w:type="spellEnd"/>
      <w:r w:rsidRPr="00665544">
        <w:rPr>
          <w:b w:val="0"/>
          <w:bCs/>
        </w:rPr>
        <w:t xml:space="preserve"> = </w:t>
      </w:r>
      <w:proofErr w:type="spellStart"/>
      <w:r w:rsidRPr="00665544">
        <w:rPr>
          <w:b w:val="0"/>
          <w:bCs/>
        </w:rPr>
        <w:t>T</w:t>
      </w:r>
      <w:r w:rsidRPr="00665544">
        <w:rPr>
          <w:b w:val="0"/>
          <w:bCs/>
          <w:vertAlign w:val="subscript"/>
        </w:rPr>
        <w:t>RRC_procedure_delay</w:t>
      </w:r>
      <w:proofErr w:type="spellEnd"/>
      <w:r w:rsidRPr="00665544">
        <w:rPr>
          <w:b w:val="0"/>
          <w:bCs/>
        </w:rPr>
        <w:t xml:space="preserve"> + </w:t>
      </w:r>
      <w:proofErr w:type="spellStart"/>
      <w:r w:rsidRPr="00665544">
        <w:rPr>
          <w:b w:val="0"/>
          <w:bCs/>
        </w:rPr>
        <w:t>T</w:t>
      </w:r>
      <w:r w:rsidRPr="00665544">
        <w:rPr>
          <w:b w:val="0"/>
          <w:bCs/>
          <w:vertAlign w:val="subscript"/>
        </w:rPr>
        <w:t>search</w:t>
      </w:r>
      <w:proofErr w:type="spellEnd"/>
      <w:r w:rsidRPr="00665544">
        <w:rPr>
          <w:b w:val="0"/>
          <w:bCs/>
        </w:rPr>
        <w:t xml:space="preserve"> + T</w:t>
      </w:r>
      <w:r w:rsidRPr="00665544">
        <w:rPr>
          <w:b w:val="0"/>
          <w:bCs/>
          <w:vertAlign w:val="subscript"/>
        </w:rPr>
        <w:t>IU</w:t>
      </w:r>
      <w:r w:rsidRPr="00665544">
        <w:rPr>
          <w:b w:val="0"/>
          <w:bCs/>
        </w:rPr>
        <w:t xml:space="preserve"> + 20 </w:t>
      </w:r>
      <w:proofErr w:type="spellStart"/>
      <w:r w:rsidRPr="00665544">
        <w:rPr>
          <w:b w:val="0"/>
          <w:bCs/>
        </w:rPr>
        <w:t>ms</w:t>
      </w:r>
      <w:proofErr w:type="spellEnd"/>
    </w:p>
    <w:p w14:paraId="65B2FA71" w14:textId="43536598" w:rsidR="00665544" w:rsidRDefault="00665544" w:rsidP="00665544">
      <w:r>
        <w:t xml:space="preserve">In NR to NR PCell HO, it is defined as: </w:t>
      </w:r>
      <w:proofErr w:type="spellStart"/>
      <w:r w:rsidRPr="00665544">
        <w:t>D</w:t>
      </w:r>
      <w:r w:rsidRPr="00665544">
        <w:rPr>
          <w:vertAlign w:val="subscript"/>
        </w:rPr>
        <w:t>handover</w:t>
      </w:r>
      <w:proofErr w:type="spellEnd"/>
      <w:r w:rsidRPr="00665544">
        <w:t xml:space="preserve"> = </w:t>
      </w:r>
      <w:proofErr w:type="spellStart"/>
      <w:r w:rsidRPr="00665544">
        <w:t>T</w:t>
      </w:r>
      <w:r w:rsidRPr="00665544">
        <w:rPr>
          <w:vertAlign w:val="subscript"/>
        </w:rPr>
        <w:t>RRC_procedure_delay</w:t>
      </w:r>
      <w:proofErr w:type="spellEnd"/>
      <w:r w:rsidRPr="00665544">
        <w:rPr>
          <w:b/>
          <w:bCs/>
        </w:rPr>
        <w:t xml:space="preserve"> </w:t>
      </w:r>
      <w:r>
        <w:rPr>
          <w:b/>
          <w:bCs/>
        </w:rPr>
        <w:t xml:space="preserve">+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w:t>
      </w:r>
      <w:proofErr w:type="spellStart"/>
      <w:r w:rsidRPr="009C5807">
        <w:t>T</w:t>
      </w:r>
      <w:r w:rsidRPr="009C5807">
        <w:rPr>
          <w:vertAlign w:val="subscript"/>
          <w:lang w:eastAsia="zh-CN"/>
        </w:rPr>
        <w:t>processing</w:t>
      </w:r>
      <w:proofErr w:type="spellEnd"/>
      <w:r w:rsidRPr="009C5807" w:rsidDel="001D62E5">
        <w:rPr>
          <w:lang w:eastAsia="zh-CN"/>
        </w:rPr>
        <w:t xml:space="preserve"> </w:t>
      </w:r>
      <w:r w:rsidRPr="009C5807">
        <w:rPr>
          <w:lang w:eastAsia="zh-CN"/>
        </w:rPr>
        <w:t>+ T</w:t>
      </w:r>
      <w:r w:rsidRPr="009C5807">
        <w:rPr>
          <w:vertAlign w:val="subscript"/>
          <w:lang w:eastAsia="zh-CN"/>
        </w:rPr>
        <w:t>∆</w:t>
      </w:r>
      <w:r w:rsidRPr="009C5807">
        <w:rPr>
          <w:lang w:eastAsia="zh-CN"/>
        </w:rPr>
        <w:t xml:space="preserve"> +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proofErr w:type="spellStart"/>
      <w:r w:rsidRPr="009C5807">
        <w:t>ms</w:t>
      </w:r>
      <w:proofErr w:type="spellEnd"/>
    </w:p>
    <w:p w14:paraId="716D422C" w14:textId="69745936" w:rsidR="00665544" w:rsidRDefault="00665544" w:rsidP="00665544">
      <w:pPr>
        <w:rPr>
          <w:lang w:eastAsia="zh-CN"/>
        </w:rPr>
      </w:pPr>
      <w:r>
        <w:t xml:space="preserve">NR </w:t>
      </w:r>
      <w:proofErr w:type="spellStart"/>
      <w:r>
        <w:t>PSCell</w:t>
      </w:r>
      <w:proofErr w:type="spellEnd"/>
      <w:r>
        <w:t xml:space="preserve"> addition delay is defined as: </w:t>
      </w:r>
      <w:proofErr w:type="spellStart"/>
      <w:r w:rsidRPr="00EC61C3">
        <w:t>T</w:t>
      </w:r>
      <w:r w:rsidRPr="00EC61C3">
        <w:rPr>
          <w:vertAlign w:val="subscript"/>
        </w:rPr>
        <w:t>config_PSCell</w:t>
      </w:r>
      <w:proofErr w:type="spellEnd"/>
      <w:r w:rsidRPr="00EC61C3">
        <w:t xml:space="preserve"> = </w:t>
      </w:r>
      <w:proofErr w:type="spellStart"/>
      <w:r w:rsidRPr="00EC61C3">
        <w:t>T</w:t>
      </w:r>
      <w:r w:rsidRPr="00EC61C3">
        <w:rPr>
          <w:vertAlign w:val="subscript"/>
        </w:rPr>
        <w:t>RRC_delay</w:t>
      </w:r>
      <w:proofErr w:type="spellEnd"/>
      <w:r w:rsidRPr="00EC61C3">
        <w:t xml:space="preserve"> + </w:t>
      </w:r>
      <w:proofErr w:type="spellStart"/>
      <w:r w:rsidRPr="00EC61C3">
        <w:t>T</w:t>
      </w:r>
      <w:r w:rsidRPr="00EC61C3">
        <w:rPr>
          <w:vertAlign w:val="subscript"/>
        </w:rPr>
        <w:t>processing</w:t>
      </w:r>
      <w:proofErr w:type="spellEnd"/>
      <w:r w:rsidRPr="00EC61C3">
        <w:t xml:space="preserve"> + </w:t>
      </w:r>
      <w:proofErr w:type="spellStart"/>
      <w:r w:rsidRPr="00EC61C3">
        <w:t>T</w:t>
      </w:r>
      <w:r w:rsidRPr="00EC61C3">
        <w:rPr>
          <w:vertAlign w:val="subscript"/>
        </w:rPr>
        <w:t>search</w:t>
      </w:r>
      <w:proofErr w:type="spellEnd"/>
      <w:r w:rsidRPr="00EC61C3">
        <w:t xml:space="preserve"> + T</w:t>
      </w:r>
      <w:r w:rsidRPr="00EC61C3">
        <w:rPr>
          <w:vertAlign w:val="subscript"/>
        </w:rPr>
        <w:t>∆</w:t>
      </w:r>
      <w:r w:rsidRPr="00EC61C3">
        <w:t xml:space="preserve"> + </w:t>
      </w:r>
      <w:proofErr w:type="spellStart"/>
      <w:r w:rsidRPr="00EC61C3">
        <w:t>T</w:t>
      </w:r>
      <w:r w:rsidRPr="00EC61C3">
        <w:rPr>
          <w:vertAlign w:val="subscript"/>
        </w:rPr>
        <w:t>PSCell</w:t>
      </w:r>
      <w:proofErr w:type="spellEnd"/>
      <w:r w:rsidRPr="00EC61C3">
        <w:rPr>
          <w:vertAlign w:val="subscript"/>
        </w:rPr>
        <w:t xml:space="preserve">_ DU </w:t>
      </w:r>
      <w:r w:rsidRPr="00EC61C3">
        <w:rPr>
          <w:lang w:eastAsia="zh-CN"/>
        </w:rPr>
        <w:t>+ 2ms</w:t>
      </w:r>
    </w:p>
    <w:p w14:paraId="480754BB" w14:textId="1F600D00" w:rsidR="00665544" w:rsidRDefault="00665544" w:rsidP="00665544">
      <w:pPr>
        <w:rPr>
          <w:lang w:eastAsia="zh-CN"/>
        </w:rPr>
      </w:pPr>
      <w:r>
        <w:rPr>
          <w:lang w:eastAsia="zh-CN"/>
        </w:rPr>
        <w:lastRenderedPageBreak/>
        <w:t xml:space="preserve">Considering the parallel processing between </w:t>
      </w:r>
      <w:proofErr w:type="spellStart"/>
      <w:r>
        <w:rPr>
          <w:lang w:eastAsia="zh-CN"/>
        </w:rPr>
        <w:t>PCell</w:t>
      </w:r>
      <w:proofErr w:type="spellEnd"/>
      <w:r>
        <w:rPr>
          <w:lang w:eastAsia="zh-CN"/>
        </w:rPr>
        <w:t xml:space="preserve"> HO and </w:t>
      </w:r>
      <w:proofErr w:type="spellStart"/>
      <w:r>
        <w:rPr>
          <w:lang w:eastAsia="zh-CN"/>
        </w:rPr>
        <w:t>PSCell</w:t>
      </w:r>
      <w:proofErr w:type="spellEnd"/>
      <w:r>
        <w:rPr>
          <w:lang w:eastAsia="zh-CN"/>
        </w:rPr>
        <w:t xml:space="preserve"> addition in the HO with </w:t>
      </w:r>
      <w:proofErr w:type="spellStart"/>
      <w:r>
        <w:rPr>
          <w:lang w:eastAsia="zh-CN"/>
        </w:rPr>
        <w:t>PSCell</w:t>
      </w:r>
      <w:proofErr w:type="spellEnd"/>
      <w:r>
        <w:rPr>
          <w:lang w:eastAsia="zh-CN"/>
        </w:rPr>
        <w:t xml:space="preserve"> procedure, we should consider the maximum delay for the parallel processing in </w:t>
      </w:r>
      <w:proofErr w:type="spellStart"/>
      <w:r>
        <w:rPr>
          <w:lang w:eastAsia="zh-CN"/>
        </w:rPr>
        <w:t>PCell</w:t>
      </w:r>
      <w:proofErr w:type="spellEnd"/>
      <w:r>
        <w:rPr>
          <w:lang w:eastAsia="zh-CN"/>
        </w:rPr>
        <w:t xml:space="preserve"> HO and </w:t>
      </w:r>
      <w:proofErr w:type="spellStart"/>
      <w:r>
        <w:rPr>
          <w:lang w:eastAsia="zh-CN"/>
        </w:rPr>
        <w:t>PSCell</w:t>
      </w:r>
      <w:proofErr w:type="spellEnd"/>
      <w:r>
        <w:rPr>
          <w:lang w:eastAsia="zh-CN"/>
        </w:rPr>
        <w:t xml:space="preserve"> addition to guarantee the parallel processing will be performed both for </w:t>
      </w:r>
      <w:proofErr w:type="spellStart"/>
      <w:r>
        <w:rPr>
          <w:lang w:eastAsia="zh-CN"/>
        </w:rPr>
        <w:t>PCell</w:t>
      </w:r>
      <w:proofErr w:type="spellEnd"/>
      <w:r>
        <w:rPr>
          <w:lang w:eastAsia="zh-CN"/>
        </w:rPr>
        <w:t xml:space="preserve"> HO and </w:t>
      </w:r>
      <w:proofErr w:type="spellStart"/>
      <w:r>
        <w:rPr>
          <w:lang w:eastAsia="zh-CN"/>
        </w:rPr>
        <w:t>PSCell</w:t>
      </w:r>
      <w:proofErr w:type="spellEnd"/>
      <w:r>
        <w:rPr>
          <w:lang w:eastAsia="zh-CN"/>
        </w:rPr>
        <w:t xml:space="preserve"> addition. Hence, we can take the general components, and </w:t>
      </w:r>
      <w:r w:rsidR="00277CC6">
        <w:rPr>
          <w:lang w:eastAsia="zh-CN"/>
        </w:rPr>
        <w:t xml:space="preserve">we </w:t>
      </w:r>
      <w:r>
        <w:rPr>
          <w:lang w:eastAsia="zh-CN"/>
        </w:rPr>
        <w:t xml:space="preserve">propose the delay for HO with </w:t>
      </w:r>
      <w:proofErr w:type="spellStart"/>
      <w:r>
        <w:rPr>
          <w:lang w:eastAsia="zh-CN"/>
        </w:rPr>
        <w:t>PSCell</w:t>
      </w:r>
      <w:proofErr w:type="spellEnd"/>
      <w:r>
        <w:rPr>
          <w:lang w:eastAsia="zh-CN"/>
        </w:rPr>
        <w:t xml:space="preserve"> could be described as: </w:t>
      </w:r>
      <w:r>
        <w:t xml:space="preserve"> </w:t>
      </w:r>
      <w:proofErr w:type="spellStart"/>
      <w:r>
        <w:t>D</w:t>
      </w:r>
      <w:r w:rsidRPr="00AC382F">
        <w:rPr>
          <w:vertAlign w:val="subscript"/>
        </w:rPr>
        <w:t>HO_with_PSCell</w:t>
      </w:r>
      <w:proofErr w:type="spellEnd"/>
      <w:r>
        <w:t xml:space="preserve"> = </w:t>
      </w:r>
      <w:proofErr w:type="spellStart"/>
      <w:r>
        <w:t>T</w:t>
      </w:r>
      <w:r w:rsidRPr="00AC382F">
        <w:rPr>
          <w:vertAlign w:val="subscript"/>
        </w:rPr>
        <w:t>RRC_delay</w:t>
      </w:r>
      <w:proofErr w:type="spellEnd"/>
      <w:r>
        <w:t xml:space="preserve"> + </w:t>
      </w:r>
      <w:proofErr w:type="spellStart"/>
      <w:r w:rsidRPr="00AC382F">
        <w:rPr>
          <w:lang w:val="en-GB"/>
        </w:rPr>
        <w:t>T</w:t>
      </w:r>
      <w:r w:rsidRPr="00AC382F">
        <w:rPr>
          <w:vertAlign w:val="subscript"/>
          <w:lang w:val="en-GB"/>
        </w:rPr>
        <w:t>search</w:t>
      </w:r>
      <w:proofErr w:type="spellEnd"/>
      <w:r w:rsidRPr="00AC382F">
        <w:rPr>
          <w:lang w:val="en-GB"/>
        </w:rPr>
        <w:t xml:space="preserve"> + </w:t>
      </w:r>
      <w:proofErr w:type="spellStart"/>
      <w:r w:rsidRPr="00AC382F">
        <w:rPr>
          <w:lang w:val="en-GB"/>
        </w:rPr>
        <w:t>T</w:t>
      </w:r>
      <w:r w:rsidRPr="00AC382F">
        <w:rPr>
          <w:vertAlign w:val="subscript"/>
          <w:lang w:val="en-GB"/>
        </w:rPr>
        <w:t>processing</w:t>
      </w:r>
      <w:proofErr w:type="spellEnd"/>
      <w:r w:rsidRPr="00AC382F">
        <w:rPr>
          <w:vertAlign w:val="subscript"/>
          <w:lang w:val="en-GB"/>
        </w:rPr>
        <w:t xml:space="preserve"> </w:t>
      </w:r>
      <w:r w:rsidRPr="00AC382F">
        <w:rPr>
          <w:lang w:val="en-GB"/>
        </w:rPr>
        <w:t>+ T</w:t>
      </w:r>
      <w:r w:rsidRPr="00AC382F">
        <w:rPr>
          <w:vertAlign w:val="subscript"/>
          <w:lang w:val="en-GB"/>
        </w:rPr>
        <w:t>∆</w:t>
      </w:r>
      <w:r w:rsidRPr="00AC382F">
        <w:rPr>
          <w:lang w:val="en-GB"/>
        </w:rPr>
        <w:t xml:space="preserve"> + </w:t>
      </w:r>
      <w:proofErr w:type="spellStart"/>
      <w:r w:rsidRPr="00AC382F">
        <w:rPr>
          <w:lang w:val="en-GB"/>
        </w:rPr>
        <w:t>T</w:t>
      </w:r>
      <w:r w:rsidRPr="00AC382F">
        <w:rPr>
          <w:vertAlign w:val="subscript"/>
          <w:lang w:val="en-GB"/>
        </w:rPr>
        <w:t>margin</w:t>
      </w:r>
      <w:proofErr w:type="spellEnd"/>
      <w:r w:rsidRPr="00AC382F">
        <w:rPr>
          <w:vertAlign w:val="subscript"/>
          <w:lang w:val="en-GB"/>
        </w:rPr>
        <w:t xml:space="preserve"> </w:t>
      </w:r>
      <w:r w:rsidRPr="00AC382F">
        <w:rPr>
          <w:lang w:val="en-GB"/>
        </w:rPr>
        <w:t>+T</w:t>
      </w:r>
      <w:r w:rsidRPr="00AC382F">
        <w:rPr>
          <w:vertAlign w:val="subscript"/>
          <w:lang w:val="en-GB"/>
        </w:rPr>
        <w:t>FFS</w:t>
      </w:r>
      <w:r w:rsidRPr="00AC382F">
        <w:rPr>
          <w:lang w:val="en-GB"/>
        </w:rPr>
        <w:t xml:space="preserve"> + </w:t>
      </w:r>
      <w:proofErr w:type="spellStart"/>
      <w:r w:rsidRPr="00AC382F">
        <w:rPr>
          <w:lang w:val="en-GB"/>
        </w:rPr>
        <w:t>T</w:t>
      </w:r>
      <w:r w:rsidRPr="00AC382F">
        <w:rPr>
          <w:vertAlign w:val="subscript"/>
          <w:lang w:val="en-GB"/>
        </w:rPr>
        <w:t>PCell_IU</w:t>
      </w:r>
      <w:proofErr w:type="spellEnd"/>
      <w:r w:rsidRPr="00AC382F">
        <w:rPr>
          <w:lang w:val="en-GB"/>
        </w:rPr>
        <w:t xml:space="preserve"> + </w:t>
      </w:r>
      <w:proofErr w:type="spellStart"/>
      <w:r w:rsidRPr="00AC382F">
        <w:rPr>
          <w:lang w:val="en-GB"/>
        </w:rPr>
        <w:t>T</w:t>
      </w:r>
      <w:r w:rsidRPr="00AC382F">
        <w:rPr>
          <w:vertAlign w:val="subscript"/>
          <w:lang w:val="en-GB"/>
        </w:rPr>
        <w:t>PSCell_DU</w:t>
      </w:r>
      <w:proofErr w:type="spellEnd"/>
    </w:p>
    <w:p w14:paraId="565085C6" w14:textId="0183BDDF" w:rsidR="00AC382F" w:rsidRDefault="00AC382F" w:rsidP="00AC382F">
      <w:pPr>
        <w:pStyle w:val="RAN4proposal"/>
      </w:pPr>
      <w:r>
        <w:t xml:space="preserve">The delay requirements for HO with </w:t>
      </w:r>
      <w:proofErr w:type="spellStart"/>
      <w:r>
        <w:t>PSCell</w:t>
      </w:r>
      <w:proofErr w:type="spellEnd"/>
      <w:r>
        <w:t xml:space="preserve"> can be </w:t>
      </w:r>
      <w:r w:rsidR="00A97E04">
        <w:t xml:space="preserve">described </w:t>
      </w:r>
      <w:r>
        <w:t xml:space="preserve">as: </w:t>
      </w:r>
      <w:proofErr w:type="spellStart"/>
      <w:r>
        <w:t>D</w:t>
      </w:r>
      <w:r w:rsidRPr="00AC382F">
        <w:rPr>
          <w:vertAlign w:val="subscript"/>
        </w:rPr>
        <w:t>HO_with_PSCell</w:t>
      </w:r>
      <w:proofErr w:type="spellEnd"/>
      <w:r>
        <w:t xml:space="preserve"> = </w:t>
      </w:r>
      <w:proofErr w:type="spellStart"/>
      <w:r>
        <w:t>T</w:t>
      </w:r>
      <w:r w:rsidRPr="00AC382F">
        <w:rPr>
          <w:vertAlign w:val="subscript"/>
        </w:rPr>
        <w:t>RRC_delay</w:t>
      </w:r>
      <w:proofErr w:type="spellEnd"/>
      <w:r>
        <w:t xml:space="preserve"> + </w:t>
      </w:r>
      <w:proofErr w:type="spellStart"/>
      <w:r w:rsidRPr="00AC382F">
        <w:rPr>
          <w:lang w:val="en-GB"/>
        </w:rPr>
        <w:t>T</w:t>
      </w:r>
      <w:r w:rsidRPr="00AC382F">
        <w:rPr>
          <w:vertAlign w:val="subscript"/>
          <w:lang w:val="en-GB"/>
        </w:rPr>
        <w:t>search</w:t>
      </w:r>
      <w:proofErr w:type="spellEnd"/>
      <w:r w:rsidRPr="00AC382F">
        <w:rPr>
          <w:lang w:val="en-GB"/>
        </w:rPr>
        <w:t xml:space="preserve"> + </w:t>
      </w:r>
      <w:proofErr w:type="spellStart"/>
      <w:r w:rsidRPr="00AC382F">
        <w:rPr>
          <w:lang w:val="en-GB"/>
        </w:rPr>
        <w:t>T</w:t>
      </w:r>
      <w:r w:rsidRPr="00AC382F">
        <w:rPr>
          <w:vertAlign w:val="subscript"/>
          <w:lang w:val="en-GB"/>
        </w:rPr>
        <w:t>processing</w:t>
      </w:r>
      <w:proofErr w:type="spellEnd"/>
      <w:r w:rsidRPr="00AC382F">
        <w:rPr>
          <w:vertAlign w:val="subscript"/>
          <w:lang w:val="en-GB"/>
        </w:rPr>
        <w:t xml:space="preserve"> </w:t>
      </w:r>
      <w:r w:rsidRPr="00AC382F">
        <w:rPr>
          <w:lang w:val="en-GB"/>
        </w:rPr>
        <w:t>+ T</w:t>
      </w:r>
      <w:r w:rsidRPr="00AC382F">
        <w:rPr>
          <w:vertAlign w:val="subscript"/>
          <w:lang w:val="en-GB"/>
        </w:rPr>
        <w:t>∆</w:t>
      </w:r>
      <w:r w:rsidRPr="00AC382F">
        <w:rPr>
          <w:lang w:val="en-GB"/>
        </w:rPr>
        <w:t xml:space="preserve"> + </w:t>
      </w:r>
      <w:proofErr w:type="spellStart"/>
      <w:r w:rsidRPr="00AC382F">
        <w:rPr>
          <w:lang w:val="en-GB"/>
        </w:rPr>
        <w:t>T</w:t>
      </w:r>
      <w:r w:rsidRPr="00AC382F">
        <w:rPr>
          <w:vertAlign w:val="subscript"/>
          <w:lang w:val="en-GB"/>
        </w:rPr>
        <w:t>margin</w:t>
      </w:r>
      <w:proofErr w:type="spellEnd"/>
      <w:r w:rsidRPr="00AC382F">
        <w:rPr>
          <w:vertAlign w:val="subscript"/>
          <w:lang w:val="en-GB"/>
        </w:rPr>
        <w:t xml:space="preserve"> </w:t>
      </w:r>
      <w:r w:rsidRPr="00AC382F">
        <w:rPr>
          <w:lang w:val="en-GB"/>
        </w:rPr>
        <w:t>+T</w:t>
      </w:r>
      <w:r w:rsidRPr="00AC382F">
        <w:rPr>
          <w:vertAlign w:val="subscript"/>
          <w:lang w:val="en-GB"/>
        </w:rPr>
        <w:t>FFS</w:t>
      </w:r>
      <w:r w:rsidRPr="00AC382F">
        <w:rPr>
          <w:lang w:val="en-GB"/>
        </w:rPr>
        <w:t xml:space="preserve"> + </w:t>
      </w:r>
      <w:proofErr w:type="spellStart"/>
      <w:r w:rsidRPr="00AC382F">
        <w:rPr>
          <w:lang w:val="en-GB"/>
        </w:rPr>
        <w:t>T</w:t>
      </w:r>
      <w:r w:rsidRPr="00AC382F">
        <w:rPr>
          <w:vertAlign w:val="subscript"/>
          <w:lang w:val="en-GB"/>
        </w:rPr>
        <w:t>PCell_IU</w:t>
      </w:r>
      <w:proofErr w:type="spellEnd"/>
      <w:r w:rsidRPr="00AC382F">
        <w:rPr>
          <w:lang w:val="en-GB"/>
        </w:rPr>
        <w:t xml:space="preserve"> + </w:t>
      </w:r>
      <w:proofErr w:type="spellStart"/>
      <w:r w:rsidRPr="00AC382F">
        <w:rPr>
          <w:lang w:val="en-GB"/>
        </w:rPr>
        <w:t>T</w:t>
      </w:r>
      <w:r w:rsidRPr="00AC382F">
        <w:rPr>
          <w:vertAlign w:val="subscript"/>
          <w:lang w:val="en-GB"/>
        </w:rPr>
        <w:t>PSCell_DU</w:t>
      </w:r>
      <w:proofErr w:type="spellEnd"/>
      <w:r w:rsidR="0001359D" w:rsidRPr="0001359D">
        <w:rPr>
          <w:lang w:val="en-GB"/>
        </w:rPr>
        <w:t>.</w:t>
      </w:r>
      <w:r w:rsidR="0001359D">
        <w:rPr>
          <w:vertAlign w:val="subscript"/>
          <w:lang w:val="en-GB"/>
        </w:rPr>
        <w:t xml:space="preserve"> </w:t>
      </w:r>
      <w:r w:rsidR="0001359D" w:rsidRPr="0001359D">
        <w:rPr>
          <w:lang w:val="en-GB"/>
        </w:rPr>
        <w:t>Where T</w:t>
      </w:r>
      <w:r w:rsidR="0001359D" w:rsidRPr="0001359D">
        <w:rPr>
          <w:vertAlign w:val="subscript"/>
          <w:lang w:val="en-GB"/>
        </w:rPr>
        <w:t>FFS</w:t>
      </w:r>
      <w:r w:rsidR="0001359D" w:rsidRPr="0001359D">
        <w:rPr>
          <w:lang w:val="en-GB"/>
        </w:rPr>
        <w:t xml:space="preserve"> is the delay related to performing and finalizing the </w:t>
      </w:r>
      <w:proofErr w:type="spellStart"/>
      <w:r w:rsidR="0001359D" w:rsidRPr="0001359D">
        <w:rPr>
          <w:lang w:val="en-GB"/>
        </w:rPr>
        <w:t>PCell</w:t>
      </w:r>
      <w:proofErr w:type="spellEnd"/>
      <w:r w:rsidR="0001359D" w:rsidRPr="0001359D">
        <w:rPr>
          <w:lang w:val="en-GB"/>
        </w:rPr>
        <w:t xml:space="preserve"> random access procedure before the RA preamble can be transmitted on the </w:t>
      </w:r>
      <w:proofErr w:type="spellStart"/>
      <w:r w:rsidR="0001359D" w:rsidRPr="0001359D">
        <w:rPr>
          <w:lang w:val="en-GB"/>
        </w:rPr>
        <w:t>PSCell</w:t>
      </w:r>
      <w:bookmarkStart w:id="8" w:name="_GoBack"/>
      <w:bookmarkEnd w:id="8"/>
      <w:proofErr w:type="spellEnd"/>
    </w:p>
    <w:p w14:paraId="761516E1" w14:textId="6D38F688" w:rsidR="00CD7492" w:rsidRPr="00A67BFA" w:rsidRDefault="00CD7492" w:rsidP="00A37002">
      <w:pPr>
        <w:pStyle w:val="RAN4H1"/>
      </w:pPr>
      <w:r w:rsidRPr="00A67BFA">
        <w:t>Conclusion</w:t>
      </w:r>
    </w:p>
    <w:p w14:paraId="3D56BF9C" w14:textId="5D9FB5AC" w:rsidR="00EB7489" w:rsidRDefault="00EB7489" w:rsidP="00EB7489">
      <w:pPr>
        <w:rPr>
          <w:rFonts w:eastAsia="Calibri" w:cs="Times New Roman"/>
          <w:lang w:val="en-GB"/>
        </w:rPr>
      </w:pPr>
      <w:r>
        <w:rPr>
          <w:rFonts w:eastAsia="Calibri" w:cs="Times New Roman"/>
          <w:szCs w:val="20"/>
          <w:lang w:val="en-GB"/>
        </w:rPr>
        <w:t xml:space="preserve">In this paper we discussed </w:t>
      </w:r>
      <w:r w:rsidRPr="798DE98A">
        <w:rPr>
          <w:rFonts w:eastAsia="Calibri" w:cs="Times New Roman"/>
          <w:lang w:val="en-GB"/>
        </w:rPr>
        <w:t>the</w:t>
      </w:r>
      <w:r w:rsidR="00E87888">
        <w:rPr>
          <w:rFonts w:eastAsia="Calibri" w:cs="Times New Roman"/>
          <w:lang w:val="en-GB"/>
        </w:rPr>
        <w:t xml:space="preserve"> RRM requirements for handover with </w:t>
      </w:r>
      <w:proofErr w:type="spellStart"/>
      <w:r w:rsidR="00E87888">
        <w:rPr>
          <w:rFonts w:eastAsia="Calibri" w:cs="Times New Roman"/>
          <w:lang w:val="en-GB"/>
        </w:rPr>
        <w:t>PSCell</w:t>
      </w:r>
      <w:proofErr w:type="spellEnd"/>
      <w:r w:rsidR="00E87888">
        <w:rPr>
          <w:rFonts w:eastAsia="Calibri" w:cs="Times New Roman"/>
          <w:lang w:val="en-GB"/>
        </w:rPr>
        <w:t xml:space="preserve"> and have following proposals: </w:t>
      </w:r>
    </w:p>
    <w:p w14:paraId="35F2BD49" w14:textId="77777777" w:rsidR="0001359D" w:rsidRDefault="0001359D" w:rsidP="0001359D">
      <w:pPr>
        <w:pStyle w:val="RAN4proposal"/>
        <w:numPr>
          <w:ilvl w:val="0"/>
          <w:numId w:val="45"/>
        </w:numPr>
      </w:pPr>
      <w:r>
        <w:t xml:space="preserve">RAN4 specifies RRM requirements for handover with </w:t>
      </w:r>
      <w:proofErr w:type="spellStart"/>
      <w:r>
        <w:t>PSCell</w:t>
      </w:r>
      <w:proofErr w:type="spellEnd"/>
      <w:r>
        <w:t xml:space="preserve"> for following scenarios besides of the agreed scenarios in RAN4#98e: </w:t>
      </w:r>
    </w:p>
    <w:p w14:paraId="3C545995" w14:textId="77777777" w:rsidR="0001359D" w:rsidRPr="00AB5001" w:rsidRDefault="0001359D" w:rsidP="0001359D">
      <w:pPr>
        <w:pStyle w:val="ListParagraph"/>
        <w:numPr>
          <w:ilvl w:val="0"/>
          <w:numId w:val="39"/>
        </w:numPr>
        <w:rPr>
          <w:b/>
          <w:bCs/>
        </w:rPr>
      </w:pPr>
      <w:r w:rsidRPr="00AB5001">
        <w:rPr>
          <w:b/>
          <w:bCs/>
        </w:rPr>
        <w:t>From NR SA to NR-DC</w:t>
      </w:r>
    </w:p>
    <w:p w14:paraId="0AFD8E96" w14:textId="77777777" w:rsidR="0001359D" w:rsidRPr="00AB5001" w:rsidRDefault="0001359D" w:rsidP="0001359D">
      <w:pPr>
        <w:pStyle w:val="ListParagraph"/>
        <w:numPr>
          <w:ilvl w:val="0"/>
          <w:numId w:val="39"/>
        </w:numPr>
        <w:rPr>
          <w:b/>
          <w:bCs/>
        </w:rPr>
      </w:pPr>
      <w:r w:rsidRPr="00AB5001">
        <w:rPr>
          <w:b/>
          <w:bCs/>
        </w:rPr>
        <w:t>From NR SA to NE-DC</w:t>
      </w:r>
    </w:p>
    <w:p w14:paraId="3C53C1B8" w14:textId="77777777" w:rsidR="0001359D" w:rsidRDefault="0001359D" w:rsidP="0001359D">
      <w:pPr>
        <w:pStyle w:val="ListParagraph"/>
        <w:numPr>
          <w:ilvl w:val="0"/>
          <w:numId w:val="39"/>
        </w:numPr>
        <w:rPr>
          <w:b/>
          <w:bCs/>
        </w:rPr>
      </w:pPr>
      <w:r w:rsidRPr="00AB5001">
        <w:rPr>
          <w:b/>
          <w:bCs/>
        </w:rPr>
        <w:t>From E-UTRAN to EN-DC</w:t>
      </w:r>
    </w:p>
    <w:p w14:paraId="59F7C715" w14:textId="77777777" w:rsidR="0001359D" w:rsidRDefault="0001359D" w:rsidP="0001359D">
      <w:pPr>
        <w:pStyle w:val="RAN4proposal"/>
      </w:pPr>
      <w:r>
        <w:t xml:space="preserve">Both FR1+FR2 NR-DC and FR1+FR1 NR-DC should be supported for RRM requirements for handover with </w:t>
      </w:r>
      <w:proofErr w:type="spellStart"/>
      <w:r>
        <w:t>PSCell</w:t>
      </w:r>
      <w:proofErr w:type="spellEnd"/>
      <w:r>
        <w:t xml:space="preserve"> in “from NR-DC to NR-DC” scenario. </w:t>
      </w:r>
    </w:p>
    <w:p w14:paraId="5958B99C" w14:textId="77777777" w:rsidR="0001359D" w:rsidRDefault="0001359D" w:rsidP="0001359D">
      <w:pPr>
        <w:pStyle w:val="RAN4proposal"/>
      </w:pPr>
      <w:r>
        <w:t xml:space="preserve">Both FR1+LTE NE-DC and FR2+LTE NE-DC should be supported for RRM requirements for handover with </w:t>
      </w:r>
      <w:proofErr w:type="spellStart"/>
      <w:r>
        <w:t>PSCell</w:t>
      </w:r>
      <w:proofErr w:type="spellEnd"/>
      <w:r>
        <w:t xml:space="preserve"> in “from NE-DC to NE-DC” scenario and “from NR SA to NE-DC” scenario. </w:t>
      </w:r>
    </w:p>
    <w:p w14:paraId="097C5FBA" w14:textId="24451D96" w:rsidR="0001359D" w:rsidRDefault="0001359D" w:rsidP="0001359D">
      <w:pPr>
        <w:pStyle w:val="RAN4proposal"/>
      </w:pPr>
      <w:r w:rsidRPr="001A39BD">
        <w:t xml:space="preserve">Starting point </w:t>
      </w:r>
      <w:r>
        <w:t xml:space="preserve">of the delay requirements for HO with </w:t>
      </w:r>
      <w:proofErr w:type="spellStart"/>
      <w:r>
        <w:t>PSCell</w:t>
      </w:r>
      <w:proofErr w:type="spellEnd"/>
      <w:r>
        <w:t xml:space="preserve"> can reuse the starting point of legacy HO.</w:t>
      </w:r>
    </w:p>
    <w:p w14:paraId="54EC4766" w14:textId="77777777" w:rsidR="0001359D" w:rsidRDefault="0001359D" w:rsidP="0001359D">
      <w:pPr>
        <w:pStyle w:val="RAN4proposal"/>
      </w:pPr>
      <w:r>
        <w:t xml:space="preserve">Once the UE is ready to transmit PRACH preamble towards target </w:t>
      </w:r>
      <w:proofErr w:type="spellStart"/>
      <w:r>
        <w:t>PSCell</w:t>
      </w:r>
      <w:proofErr w:type="spellEnd"/>
      <w:r>
        <w:t xml:space="preserve"> marks the ending point for HO with </w:t>
      </w:r>
      <w:proofErr w:type="spellStart"/>
      <w:r>
        <w:t>PSCell</w:t>
      </w:r>
      <w:proofErr w:type="spellEnd"/>
      <w:r>
        <w:t xml:space="preserve"> procedure.</w:t>
      </w:r>
    </w:p>
    <w:p w14:paraId="3C9B0B3D" w14:textId="77777777" w:rsidR="0001359D" w:rsidRDefault="0001359D" w:rsidP="0001359D">
      <w:pPr>
        <w:pStyle w:val="RAN4proposal"/>
      </w:pPr>
      <w:r>
        <w:t xml:space="preserve">In HO with </w:t>
      </w:r>
      <w:proofErr w:type="spellStart"/>
      <w:r>
        <w:t>PSCell</w:t>
      </w:r>
      <w:proofErr w:type="spellEnd"/>
      <w:r>
        <w:t xml:space="preserve">, legacy HO and </w:t>
      </w:r>
      <w:proofErr w:type="spellStart"/>
      <w:r>
        <w:t>PSCell</w:t>
      </w:r>
      <w:proofErr w:type="spellEnd"/>
      <w:r>
        <w:t xml:space="preserve"> addition operations can be performed partly in parallel while RA procedure for first for the target </w:t>
      </w:r>
      <w:proofErr w:type="spellStart"/>
      <w:r>
        <w:t>PCell</w:t>
      </w:r>
      <w:proofErr w:type="spellEnd"/>
      <w:r>
        <w:t xml:space="preserve"> and then for the target </w:t>
      </w:r>
      <w:proofErr w:type="spellStart"/>
      <w:r>
        <w:t>PSCell</w:t>
      </w:r>
      <w:proofErr w:type="spellEnd"/>
      <w:r>
        <w:t xml:space="preserve"> will be performed sequentially. </w:t>
      </w:r>
    </w:p>
    <w:p w14:paraId="7548954F" w14:textId="2B499EBB" w:rsidR="0001359D" w:rsidRPr="0001359D" w:rsidRDefault="0001359D" w:rsidP="0001359D">
      <w:pPr>
        <w:pStyle w:val="RAN4proposal"/>
      </w:pPr>
      <w:r>
        <w:t xml:space="preserve">The delay requirements for HO with </w:t>
      </w:r>
      <w:proofErr w:type="spellStart"/>
      <w:r>
        <w:t>PSCell</w:t>
      </w:r>
      <w:proofErr w:type="spellEnd"/>
      <w:r>
        <w:t xml:space="preserve"> can be described as: </w:t>
      </w:r>
      <w:proofErr w:type="spellStart"/>
      <w:r>
        <w:t>D</w:t>
      </w:r>
      <w:r w:rsidRPr="00AC382F">
        <w:rPr>
          <w:vertAlign w:val="subscript"/>
        </w:rPr>
        <w:t>HO_with_PSCell</w:t>
      </w:r>
      <w:proofErr w:type="spellEnd"/>
      <w:r>
        <w:t xml:space="preserve"> = </w:t>
      </w:r>
      <w:proofErr w:type="spellStart"/>
      <w:r>
        <w:t>T</w:t>
      </w:r>
      <w:r w:rsidRPr="00AC382F">
        <w:rPr>
          <w:vertAlign w:val="subscript"/>
        </w:rPr>
        <w:t>RRC_delay</w:t>
      </w:r>
      <w:proofErr w:type="spellEnd"/>
      <w:r>
        <w:t xml:space="preserve"> + </w:t>
      </w:r>
      <w:proofErr w:type="spellStart"/>
      <w:r w:rsidRPr="00AC382F">
        <w:rPr>
          <w:lang w:val="en-GB"/>
        </w:rPr>
        <w:t>T</w:t>
      </w:r>
      <w:r w:rsidRPr="00AC382F">
        <w:rPr>
          <w:vertAlign w:val="subscript"/>
          <w:lang w:val="en-GB"/>
        </w:rPr>
        <w:t>search</w:t>
      </w:r>
      <w:proofErr w:type="spellEnd"/>
      <w:r w:rsidRPr="00AC382F">
        <w:rPr>
          <w:lang w:val="en-GB"/>
        </w:rPr>
        <w:t xml:space="preserve"> + </w:t>
      </w:r>
      <w:proofErr w:type="spellStart"/>
      <w:r w:rsidRPr="00AC382F">
        <w:rPr>
          <w:lang w:val="en-GB"/>
        </w:rPr>
        <w:t>T</w:t>
      </w:r>
      <w:r w:rsidRPr="00AC382F">
        <w:rPr>
          <w:vertAlign w:val="subscript"/>
          <w:lang w:val="en-GB"/>
        </w:rPr>
        <w:t>processing</w:t>
      </w:r>
      <w:proofErr w:type="spellEnd"/>
      <w:r w:rsidRPr="00AC382F">
        <w:rPr>
          <w:vertAlign w:val="subscript"/>
          <w:lang w:val="en-GB"/>
        </w:rPr>
        <w:t xml:space="preserve"> </w:t>
      </w:r>
      <w:r w:rsidRPr="00AC382F">
        <w:rPr>
          <w:lang w:val="en-GB"/>
        </w:rPr>
        <w:t>+ T</w:t>
      </w:r>
      <w:r w:rsidRPr="00AC382F">
        <w:rPr>
          <w:vertAlign w:val="subscript"/>
          <w:lang w:val="en-GB"/>
        </w:rPr>
        <w:t>∆</w:t>
      </w:r>
      <w:r w:rsidRPr="00AC382F">
        <w:rPr>
          <w:lang w:val="en-GB"/>
        </w:rPr>
        <w:t xml:space="preserve"> + </w:t>
      </w:r>
      <w:proofErr w:type="spellStart"/>
      <w:r w:rsidRPr="00AC382F">
        <w:rPr>
          <w:lang w:val="en-GB"/>
        </w:rPr>
        <w:t>T</w:t>
      </w:r>
      <w:r w:rsidRPr="00AC382F">
        <w:rPr>
          <w:vertAlign w:val="subscript"/>
          <w:lang w:val="en-GB"/>
        </w:rPr>
        <w:t>margin</w:t>
      </w:r>
      <w:proofErr w:type="spellEnd"/>
      <w:r w:rsidRPr="00AC382F">
        <w:rPr>
          <w:vertAlign w:val="subscript"/>
          <w:lang w:val="en-GB"/>
        </w:rPr>
        <w:t xml:space="preserve"> </w:t>
      </w:r>
      <w:r w:rsidRPr="00AC382F">
        <w:rPr>
          <w:lang w:val="en-GB"/>
        </w:rPr>
        <w:t>+T</w:t>
      </w:r>
      <w:r w:rsidRPr="00AC382F">
        <w:rPr>
          <w:vertAlign w:val="subscript"/>
          <w:lang w:val="en-GB"/>
        </w:rPr>
        <w:t>FFS</w:t>
      </w:r>
      <w:r w:rsidRPr="00AC382F">
        <w:rPr>
          <w:lang w:val="en-GB"/>
        </w:rPr>
        <w:t xml:space="preserve"> + </w:t>
      </w:r>
      <w:proofErr w:type="spellStart"/>
      <w:r w:rsidRPr="00AC382F">
        <w:rPr>
          <w:lang w:val="en-GB"/>
        </w:rPr>
        <w:t>T</w:t>
      </w:r>
      <w:r w:rsidRPr="00AC382F">
        <w:rPr>
          <w:vertAlign w:val="subscript"/>
          <w:lang w:val="en-GB"/>
        </w:rPr>
        <w:t>PCell_IU</w:t>
      </w:r>
      <w:proofErr w:type="spellEnd"/>
      <w:r w:rsidRPr="00AC382F">
        <w:rPr>
          <w:lang w:val="en-GB"/>
        </w:rPr>
        <w:t xml:space="preserve"> + </w:t>
      </w:r>
      <w:proofErr w:type="spellStart"/>
      <w:r w:rsidRPr="00AC382F">
        <w:rPr>
          <w:lang w:val="en-GB"/>
        </w:rPr>
        <w:t>T</w:t>
      </w:r>
      <w:r w:rsidRPr="00AC382F">
        <w:rPr>
          <w:vertAlign w:val="subscript"/>
          <w:lang w:val="en-GB"/>
        </w:rPr>
        <w:t>PSCell_DU</w:t>
      </w:r>
      <w:proofErr w:type="spellEnd"/>
      <w:r w:rsidRPr="0001359D">
        <w:rPr>
          <w:lang w:val="en-GB"/>
        </w:rPr>
        <w:t>.</w:t>
      </w:r>
      <w:r>
        <w:rPr>
          <w:vertAlign w:val="subscript"/>
          <w:lang w:val="en-GB"/>
        </w:rPr>
        <w:t xml:space="preserve"> </w:t>
      </w:r>
      <w:r w:rsidRPr="0001359D">
        <w:rPr>
          <w:lang w:val="en-GB"/>
        </w:rPr>
        <w:t>Where T</w:t>
      </w:r>
      <w:r w:rsidRPr="0001359D">
        <w:rPr>
          <w:vertAlign w:val="subscript"/>
          <w:lang w:val="en-GB"/>
        </w:rPr>
        <w:t>FFS</w:t>
      </w:r>
      <w:r w:rsidRPr="0001359D">
        <w:rPr>
          <w:lang w:val="en-GB"/>
        </w:rPr>
        <w:t xml:space="preserve"> is the delay related to performing and finalizing the </w:t>
      </w:r>
      <w:proofErr w:type="spellStart"/>
      <w:r w:rsidRPr="0001359D">
        <w:rPr>
          <w:lang w:val="en-GB"/>
        </w:rPr>
        <w:t>PCell</w:t>
      </w:r>
      <w:proofErr w:type="spellEnd"/>
      <w:r w:rsidRPr="0001359D">
        <w:rPr>
          <w:lang w:val="en-GB"/>
        </w:rPr>
        <w:t xml:space="preserve"> random access procedure before the RA preamble can be transmitted on the </w:t>
      </w:r>
      <w:proofErr w:type="spellStart"/>
      <w:r w:rsidRPr="0001359D">
        <w:rPr>
          <w:lang w:val="en-GB"/>
        </w:rPr>
        <w:t>PSCell</w:t>
      </w:r>
      <w:proofErr w:type="spellEnd"/>
    </w:p>
    <w:p w14:paraId="6975F3C3" w14:textId="77777777" w:rsidR="00F115E8" w:rsidRPr="00F115E8" w:rsidRDefault="00F115E8" w:rsidP="00F115E8"/>
    <w:p w14:paraId="3DAFBD41" w14:textId="77777777" w:rsidR="003B659E" w:rsidRPr="00F26F7B" w:rsidRDefault="003B659E" w:rsidP="0008612A">
      <w:pPr>
        <w:pStyle w:val="RAN4H1"/>
      </w:pPr>
      <w:r w:rsidRPr="00F26F7B">
        <w:t>References</w:t>
      </w:r>
    </w:p>
    <w:p w14:paraId="4B143BA4" w14:textId="77777777" w:rsidR="009E2D42" w:rsidRDefault="009E2D42"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3632C7C4" w14:textId="682E2729" w:rsidR="00E6539E" w:rsidRPr="00F26F7B" w:rsidRDefault="00E6539E"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w:t>
      </w:r>
      <w:r w:rsidR="009E2D42">
        <w:t>2103673</w:t>
      </w:r>
      <w:r w:rsidRPr="00F26F7B">
        <w:t xml:space="preserve">, </w:t>
      </w:r>
      <w:r w:rsidR="009E2D42" w:rsidRPr="009E2D42">
        <w:t xml:space="preserve">WF on further RRM enhancement for NR and MR-DC – Handover with </w:t>
      </w:r>
      <w:proofErr w:type="spellStart"/>
      <w:r w:rsidR="009E2D42" w:rsidRPr="009E2D42">
        <w:t>PSCell</w:t>
      </w:r>
      <w:proofErr w:type="spellEnd"/>
      <w:r w:rsidRPr="00F26F7B">
        <w:t>, Samsung</w:t>
      </w:r>
      <w:r w:rsidR="009E2D42">
        <w:t>, Apple, RAN4#98e</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75B25" w14:textId="77777777" w:rsidR="005B2D98" w:rsidRDefault="005B2D98" w:rsidP="00001C9B">
      <w:pPr>
        <w:spacing w:after="0" w:line="240" w:lineRule="auto"/>
      </w:pPr>
      <w:r>
        <w:separator/>
      </w:r>
    </w:p>
  </w:endnote>
  <w:endnote w:type="continuationSeparator" w:id="0">
    <w:p w14:paraId="1E51AD27" w14:textId="77777777" w:rsidR="005B2D98" w:rsidRDefault="005B2D98" w:rsidP="00001C9B">
      <w:pPr>
        <w:spacing w:after="0" w:line="240" w:lineRule="auto"/>
      </w:pPr>
      <w:r>
        <w:continuationSeparator/>
      </w:r>
    </w:p>
  </w:endnote>
  <w:endnote w:type="continuationNotice" w:id="1">
    <w:p w14:paraId="5FAB7C1F" w14:textId="77777777" w:rsidR="005B2D98" w:rsidRDefault="005B2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717BA" w14:textId="77777777" w:rsidR="005B2D98" w:rsidRDefault="005B2D98" w:rsidP="00001C9B">
      <w:pPr>
        <w:spacing w:after="0" w:line="240" w:lineRule="auto"/>
      </w:pPr>
      <w:r>
        <w:separator/>
      </w:r>
    </w:p>
  </w:footnote>
  <w:footnote w:type="continuationSeparator" w:id="0">
    <w:p w14:paraId="764B0AE3" w14:textId="77777777" w:rsidR="005B2D98" w:rsidRDefault="005B2D98" w:rsidP="00001C9B">
      <w:pPr>
        <w:spacing w:after="0" w:line="240" w:lineRule="auto"/>
      </w:pPr>
      <w:r>
        <w:continuationSeparator/>
      </w:r>
    </w:p>
  </w:footnote>
  <w:footnote w:type="continuationNotice" w:id="1">
    <w:p w14:paraId="3125D6A1" w14:textId="77777777" w:rsidR="005B2D98" w:rsidRDefault="005B2D98">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82740"/>
    <w:multiLevelType w:val="hybridMultilevel"/>
    <w:tmpl w:val="25E05A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C01696"/>
    <w:multiLevelType w:val="hybridMultilevel"/>
    <w:tmpl w:val="66321A0C"/>
    <w:lvl w:ilvl="0" w:tplc="9E7EF1A0">
      <w:start w:val="1"/>
      <w:numFmt w:val="bullet"/>
      <w:lvlText w:val="•"/>
      <w:lvlJc w:val="left"/>
      <w:pPr>
        <w:tabs>
          <w:tab w:val="num" w:pos="720"/>
        </w:tabs>
        <w:ind w:left="720" w:hanging="360"/>
      </w:pPr>
      <w:rPr>
        <w:rFonts w:ascii="Arial" w:hAnsi="Arial" w:hint="default"/>
      </w:rPr>
    </w:lvl>
    <w:lvl w:ilvl="1" w:tplc="28F2391A">
      <w:numFmt w:val="bullet"/>
      <w:lvlText w:val="–"/>
      <w:lvlJc w:val="left"/>
      <w:pPr>
        <w:tabs>
          <w:tab w:val="num" w:pos="1440"/>
        </w:tabs>
        <w:ind w:left="1440" w:hanging="360"/>
      </w:pPr>
      <w:rPr>
        <w:rFonts w:ascii="Arial" w:hAnsi="Arial" w:hint="default"/>
      </w:rPr>
    </w:lvl>
    <w:lvl w:ilvl="2" w:tplc="EB6E854A">
      <w:numFmt w:val="bullet"/>
      <w:lvlText w:val="•"/>
      <w:lvlJc w:val="left"/>
      <w:pPr>
        <w:tabs>
          <w:tab w:val="num" w:pos="2160"/>
        </w:tabs>
        <w:ind w:left="2160" w:hanging="360"/>
      </w:pPr>
      <w:rPr>
        <w:rFonts w:ascii="Arial" w:hAnsi="Arial" w:hint="default"/>
      </w:rPr>
    </w:lvl>
    <w:lvl w:ilvl="3" w:tplc="E8A6D566">
      <w:numFmt w:val="bullet"/>
      <w:lvlText w:val="–"/>
      <w:lvlJc w:val="left"/>
      <w:pPr>
        <w:tabs>
          <w:tab w:val="num" w:pos="2880"/>
        </w:tabs>
        <w:ind w:left="2880" w:hanging="360"/>
      </w:pPr>
      <w:rPr>
        <w:rFonts w:ascii="Arial" w:hAnsi="Arial" w:hint="default"/>
      </w:rPr>
    </w:lvl>
    <w:lvl w:ilvl="4" w:tplc="47A049E6">
      <w:numFmt w:val="bullet"/>
      <w:lvlText w:val="»"/>
      <w:lvlJc w:val="left"/>
      <w:pPr>
        <w:tabs>
          <w:tab w:val="num" w:pos="3600"/>
        </w:tabs>
        <w:ind w:left="3600" w:hanging="360"/>
      </w:pPr>
      <w:rPr>
        <w:rFonts w:ascii="Arial" w:hAnsi="Arial" w:hint="default"/>
      </w:rPr>
    </w:lvl>
    <w:lvl w:ilvl="5" w:tplc="936622AA" w:tentative="1">
      <w:start w:val="1"/>
      <w:numFmt w:val="bullet"/>
      <w:lvlText w:val="•"/>
      <w:lvlJc w:val="left"/>
      <w:pPr>
        <w:tabs>
          <w:tab w:val="num" w:pos="4320"/>
        </w:tabs>
        <w:ind w:left="4320" w:hanging="360"/>
      </w:pPr>
      <w:rPr>
        <w:rFonts w:ascii="Arial" w:hAnsi="Arial" w:hint="default"/>
      </w:rPr>
    </w:lvl>
    <w:lvl w:ilvl="6" w:tplc="3058128C" w:tentative="1">
      <w:start w:val="1"/>
      <w:numFmt w:val="bullet"/>
      <w:lvlText w:val="•"/>
      <w:lvlJc w:val="left"/>
      <w:pPr>
        <w:tabs>
          <w:tab w:val="num" w:pos="5040"/>
        </w:tabs>
        <w:ind w:left="5040" w:hanging="360"/>
      </w:pPr>
      <w:rPr>
        <w:rFonts w:ascii="Arial" w:hAnsi="Arial" w:hint="default"/>
      </w:rPr>
    </w:lvl>
    <w:lvl w:ilvl="7" w:tplc="07A234B4" w:tentative="1">
      <w:start w:val="1"/>
      <w:numFmt w:val="bullet"/>
      <w:lvlText w:val="•"/>
      <w:lvlJc w:val="left"/>
      <w:pPr>
        <w:tabs>
          <w:tab w:val="num" w:pos="5760"/>
        </w:tabs>
        <w:ind w:left="5760" w:hanging="360"/>
      </w:pPr>
      <w:rPr>
        <w:rFonts w:ascii="Arial" w:hAnsi="Arial" w:hint="default"/>
      </w:rPr>
    </w:lvl>
    <w:lvl w:ilvl="8" w:tplc="351A94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65D4F0E2"/>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B4C41"/>
    <w:multiLevelType w:val="hybridMultilevel"/>
    <w:tmpl w:val="3D4CD968"/>
    <w:lvl w:ilvl="0" w:tplc="1264E614">
      <w:start w:val="1"/>
      <w:numFmt w:val="bullet"/>
      <w:lvlText w:val="•"/>
      <w:lvlJc w:val="left"/>
      <w:pPr>
        <w:tabs>
          <w:tab w:val="num" w:pos="360"/>
        </w:tabs>
        <w:ind w:left="360" w:hanging="360"/>
      </w:pPr>
      <w:rPr>
        <w:rFonts w:ascii="Arial" w:hAnsi="Arial" w:hint="default"/>
      </w:rPr>
    </w:lvl>
    <w:lvl w:ilvl="1" w:tplc="4EA47BA4">
      <w:numFmt w:val="bullet"/>
      <w:lvlText w:val="–"/>
      <w:lvlJc w:val="left"/>
      <w:pPr>
        <w:tabs>
          <w:tab w:val="num" w:pos="1080"/>
        </w:tabs>
        <w:ind w:left="1080" w:hanging="360"/>
      </w:pPr>
      <w:rPr>
        <w:rFonts w:ascii="Arial" w:hAnsi="Arial" w:hint="default"/>
      </w:rPr>
    </w:lvl>
    <w:lvl w:ilvl="2" w:tplc="B9FA2B0A">
      <w:numFmt w:val="bullet"/>
      <w:lvlText w:val="•"/>
      <w:lvlJc w:val="left"/>
      <w:pPr>
        <w:tabs>
          <w:tab w:val="num" w:pos="1800"/>
        </w:tabs>
        <w:ind w:left="1800" w:hanging="360"/>
      </w:pPr>
      <w:rPr>
        <w:rFonts w:ascii="Arial" w:hAnsi="Arial" w:hint="default"/>
      </w:rPr>
    </w:lvl>
    <w:lvl w:ilvl="3" w:tplc="65EED584">
      <w:numFmt w:val="bullet"/>
      <w:lvlText w:val="–"/>
      <w:lvlJc w:val="left"/>
      <w:pPr>
        <w:tabs>
          <w:tab w:val="num" w:pos="2520"/>
        </w:tabs>
        <w:ind w:left="2520" w:hanging="360"/>
      </w:pPr>
      <w:rPr>
        <w:rFonts w:ascii="Arial" w:hAnsi="Arial" w:hint="default"/>
      </w:rPr>
    </w:lvl>
    <w:lvl w:ilvl="4" w:tplc="AF1A034E" w:tentative="1">
      <w:start w:val="1"/>
      <w:numFmt w:val="bullet"/>
      <w:lvlText w:val="•"/>
      <w:lvlJc w:val="left"/>
      <w:pPr>
        <w:tabs>
          <w:tab w:val="num" w:pos="3240"/>
        </w:tabs>
        <w:ind w:left="3240" w:hanging="360"/>
      </w:pPr>
      <w:rPr>
        <w:rFonts w:ascii="Arial" w:hAnsi="Arial" w:hint="default"/>
      </w:rPr>
    </w:lvl>
    <w:lvl w:ilvl="5" w:tplc="3984E7D6" w:tentative="1">
      <w:start w:val="1"/>
      <w:numFmt w:val="bullet"/>
      <w:lvlText w:val="•"/>
      <w:lvlJc w:val="left"/>
      <w:pPr>
        <w:tabs>
          <w:tab w:val="num" w:pos="3960"/>
        </w:tabs>
        <w:ind w:left="3960" w:hanging="360"/>
      </w:pPr>
      <w:rPr>
        <w:rFonts w:ascii="Arial" w:hAnsi="Arial" w:hint="default"/>
      </w:rPr>
    </w:lvl>
    <w:lvl w:ilvl="6" w:tplc="C45451FC" w:tentative="1">
      <w:start w:val="1"/>
      <w:numFmt w:val="bullet"/>
      <w:lvlText w:val="•"/>
      <w:lvlJc w:val="left"/>
      <w:pPr>
        <w:tabs>
          <w:tab w:val="num" w:pos="4680"/>
        </w:tabs>
        <w:ind w:left="4680" w:hanging="360"/>
      </w:pPr>
      <w:rPr>
        <w:rFonts w:ascii="Arial" w:hAnsi="Arial" w:hint="default"/>
      </w:rPr>
    </w:lvl>
    <w:lvl w:ilvl="7" w:tplc="9F0E539A" w:tentative="1">
      <w:start w:val="1"/>
      <w:numFmt w:val="bullet"/>
      <w:lvlText w:val="•"/>
      <w:lvlJc w:val="left"/>
      <w:pPr>
        <w:tabs>
          <w:tab w:val="num" w:pos="5400"/>
        </w:tabs>
        <w:ind w:left="5400" w:hanging="360"/>
      </w:pPr>
      <w:rPr>
        <w:rFonts w:ascii="Arial" w:hAnsi="Arial" w:hint="default"/>
      </w:rPr>
    </w:lvl>
    <w:lvl w:ilvl="8" w:tplc="B0BA4C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917E92"/>
    <w:multiLevelType w:val="hybridMultilevel"/>
    <w:tmpl w:val="F77606A2"/>
    <w:lvl w:ilvl="0" w:tplc="82DA863E">
      <w:start w:val="1"/>
      <w:numFmt w:val="bullet"/>
      <w:lvlText w:val=""/>
      <w:lvlJc w:val="left"/>
      <w:pPr>
        <w:tabs>
          <w:tab w:val="num" w:pos="720"/>
        </w:tabs>
        <w:ind w:left="720" w:hanging="360"/>
      </w:pPr>
      <w:rPr>
        <w:rFonts w:ascii="Symbol" w:hAnsi="Symbol" w:hint="default"/>
        <w:sz w:val="20"/>
      </w:rPr>
    </w:lvl>
    <w:lvl w:ilvl="1" w:tplc="9D80AE54" w:tentative="1">
      <w:start w:val="1"/>
      <w:numFmt w:val="bullet"/>
      <w:lvlText w:val=""/>
      <w:lvlJc w:val="left"/>
      <w:pPr>
        <w:tabs>
          <w:tab w:val="num" w:pos="1440"/>
        </w:tabs>
        <w:ind w:left="1440" w:hanging="360"/>
      </w:pPr>
      <w:rPr>
        <w:rFonts w:ascii="Symbol" w:hAnsi="Symbol" w:hint="default"/>
        <w:sz w:val="20"/>
      </w:rPr>
    </w:lvl>
    <w:lvl w:ilvl="2" w:tplc="42622738" w:tentative="1">
      <w:start w:val="1"/>
      <w:numFmt w:val="bullet"/>
      <w:lvlText w:val=""/>
      <w:lvlJc w:val="left"/>
      <w:pPr>
        <w:tabs>
          <w:tab w:val="num" w:pos="2160"/>
        </w:tabs>
        <w:ind w:left="2160" w:hanging="360"/>
      </w:pPr>
      <w:rPr>
        <w:rFonts w:ascii="Symbol" w:hAnsi="Symbol" w:hint="default"/>
        <w:sz w:val="20"/>
      </w:rPr>
    </w:lvl>
    <w:lvl w:ilvl="3" w:tplc="D346A0C4" w:tentative="1">
      <w:start w:val="1"/>
      <w:numFmt w:val="bullet"/>
      <w:lvlText w:val=""/>
      <w:lvlJc w:val="left"/>
      <w:pPr>
        <w:tabs>
          <w:tab w:val="num" w:pos="2880"/>
        </w:tabs>
        <w:ind w:left="2880" w:hanging="360"/>
      </w:pPr>
      <w:rPr>
        <w:rFonts w:ascii="Symbol" w:hAnsi="Symbol" w:hint="default"/>
        <w:sz w:val="20"/>
      </w:rPr>
    </w:lvl>
    <w:lvl w:ilvl="4" w:tplc="2A0097EC" w:tentative="1">
      <w:start w:val="1"/>
      <w:numFmt w:val="bullet"/>
      <w:lvlText w:val=""/>
      <w:lvlJc w:val="left"/>
      <w:pPr>
        <w:tabs>
          <w:tab w:val="num" w:pos="3600"/>
        </w:tabs>
        <w:ind w:left="3600" w:hanging="360"/>
      </w:pPr>
      <w:rPr>
        <w:rFonts w:ascii="Symbol" w:hAnsi="Symbol" w:hint="default"/>
        <w:sz w:val="20"/>
      </w:rPr>
    </w:lvl>
    <w:lvl w:ilvl="5" w:tplc="B818E8DC" w:tentative="1">
      <w:start w:val="1"/>
      <w:numFmt w:val="bullet"/>
      <w:lvlText w:val=""/>
      <w:lvlJc w:val="left"/>
      <w:pPr>
        <w:tabs>
          <w:tab w:val="num" w:pos="4320"/>
        </w:tabs>
        <w:ind w:left="4320" w:hanging="360"/>
      </w:pPr>
      <w:rPr>
        <w:rFonts w:ascii="Symbol" w:hAnsi="Symbol" w:hint="default"/>
        <w:sz w:val="20"/>
      </w:rPr>
    </w:lvl>
    <w:lvl w:ilvl="6" w:tplc="E6B8E5F4" w:tentative="1">
      <w:start w:val="1"/>
      <w:numFmt w:val="bullet"/>
      <w:lvlText w:val=""/>
      <w:lvlJc w:val="left"/>
      <w:pPr>
        <w:tabs>
          <w:tab w:val="num" w:pos="5040"/>
        </w:tabs>
        <w:ind w:left="5040" w:hanging="360"/>
      </w:pPr>
      <w:rPr>
        <w:rFonts w:ascii="Symbol" w:hAnsi="Symbol" w:hint="default"/>
        <w:sz w:val="20"/>
      </w:rPr>
    </w:lvl>
    <w:lvl w:ilvl="7" w:tplc="775EB8F2" w:tentative="1">
      <w:start w:val="1"/>
      <w:numFmt w:val="bullet"/>
      <w:lvlText w:val=""/>
      <w:lvlJc w:val="left"/>
      <w:pPr>
        <w:tabs>
          <w:tab w:val="num" w:pos="5760"/>
        </w:tabs>
        <w:ind w:left="5760" w:hanging="360"/>
      </w:pPr>
      <w:rPr>
        <w:rFonts w:ascii="Symbol" w:hAnsi="Symbol" w:hint="default"/>
        <w:sz w:val="20"/>
      </w:rPr>
    </w:lvl>
    <w:lvl w:ilvl="8" w:tplc="BC50EBBE"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67767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31AAA"/>
    <w:multiLevelType w:val="hybridMultilevel"/>
    <w:tmpl w:val="4BF2F952"/>
    <w:lvl w:ilvl="0" w:tplc="26C847B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DA60E6"/>
    <w:multiLevelType w:val="hybridMultilevel"/>
    <w:tmpl w:val="52BA2F02"/>
    <w:lvl w:ilvl="0" w:tplc="5900A602">
      <w:start w:val="1"/>
      <w:numFmt w:val="bullet"/>
      <w:lvlText w:val=""/>
      <w:lvlJc w:val="left"/>
      <w:pPr>
        <w:tabs>
          <w:tab w:val="num" w:pos="720"/>
        </w:tabs>
        <w:ind w:left="720" w:hanging="360"/>
      </w:pPr>
      <w:rPr>
        <w:rFonts w:ascii="Symbol" w:hAnsi="Symbol" w:hint="default"/>
        <w:sz w:val="20"/>
      </w:rPr>
    </w:lvl>
    <w:lvl w:ilvl="1" w:tplc="1114693E">
      <w:start w:val="1"/>
      <w:numFmt w:val="bullet"/>
      <w:lvlText w:val=""/>
      <w:lvlJc w:val="left"/>
      <w:pPr>
        <w:tabs>
          <w:tab w:val="num" w:pos="1440"/>
        </w:tabs>
        <w:ind w:left="1440" w:hanging="360"/>
      </w:pPr>
      <w:rPr>
        <w:rFonts w:ascii="Symbol" w:hAnsi="Symbol" w:hint="default"/>
        <w:sz w:val="20"/>
      </w:rPr>
    </w:lvl>
    <w:lvl w:ilvl="2" w:tplc="DEFAC1E8" w:tentative="1">
      <w:start w:val="1"/>
      <w:numFmt w:val="bullet"/>
      <w:lvlText w:val=""/>
      <w:lvlJc w:val="left"/>
      <w:pPr>
        <w:tabs>
          <w:tab w:val="num" w:pos="2160"/>
        </w:tabs>
        <w:ind w:left="2160" w:hanging="360"/>
      </w:pPr>
      <w:rPr>
        <w:rFonts w:ascii="Symbol" w:hAnsi="Symbol" w:hint="default"/>
        <w:sz w:val="20"/>
      </w:rPr>
    </w:lvl>
    <w:lvl w:ilvl="3" w:tplc="742C2E68" w:tentative="1">
      <w:start w:val="1"/>
      <w:numFmt w:val="bullet"/>
      <w:lvlText w:val=""/>
      <w:lvlJc w:val="left"/>
      <w:pPr>
        <w:tabs>
          <w:tab w:val="num" w:pos="2880"/>
        </w:tabs>
        <w:ind w:left="2880" w:hanging="360"/>
      </w:pPr>
      <w:rPr>
        <w:rFonts w:ascii="Symbol" w:hAnsi="Symbol" w:hint="default"/>
        <w:sz w:val="20"/>
      </w:rPr>
    </w:lvl>
    <w:lvl w:ilvl="4" w:tplc="C3D0B302" w:tentative="1">
      <w:start w:val="1"/>
      <w:numFmt w:val="bullet"/>
      <w:lvlText w:val=""/>
      <w:lvlJc w:val="left"/>
      <w:pPr>
        <w:tabs>
          <w:tab w:val="num" w:pos="3600"/>
        </w:tabs>
        <w:ind w:left="3600" w:hanging="360"/>
      </w:pPr>
      <w:rPr>
        <w:rFonts w:ascii="Symbol" w:hAnsi="Symbol" w:hint="default"/>
        <w:sz w:val="20"/>
      </w:rPr>
    </w:lvl>
    <w:lvl w:ilvl="5" w:tplc="E4D2D718" w:tentative="1">
      <w:start w:val="1"/>
      <w:numFmt w:val="bullet"/>
      <w:lvlText w:val=""/>
      <w:lvlJc w:val="left"/>
      <w:pPr>
        <w:tabs>
          <w:tab w:val="num" w:pos="4320"/>
        </w:tabs>
        <w:ind w:left="4320" w:hanging="360"/>
      </w:pPr>
      <w:rPr>
        <w:rFonts w:ascii="Symbol" w:hAnsi="Symbol" w:hint="default"/>
        <w:sz w:val="20"/>
      </w:rPr>
    </w:lvl>
    <w:lvl w:ilvl="6" w:tplc="732247E8" w:tentative="1">
      <w:start w:val="1"/>
      <w:numFmt w:val="bullet"/>
      <w:lvlText w:val=""/>
      <w:lvlJc w:val="left"/>
      <w:pPr>
        <w:tabs>
          <w:tab w:val="num" w:pos="5040"/>
        </w:tabs>
        <w:ind w:left="5040" w:hanging="360"/>
      </w:pPr>
      <w:rPr>
        <w:rFonts w:ascii="Symbol" w:hAnsi="Symbol" w:hint="default"/>
        <w:sz w:val="20"/>
      </w:rPr>
    </w:lvl>
    <w:lvl w:ilvl="7" w:tplc="093CA798" w:tentative="1">
      <w:start w:val="1"/>
      <w:numFmt w:val="bullet"/>
      <w:lvlText w:val=""/>
      <w:lvlJc w:val="left"/>
      <w:pPr>
        <w:tabs>
          <w:tab w:val="num" w:pos="5760"/>
        </w:tabs>
        <w:ind w:left="5760" w:hanging="360"/>
      </w:pPr>
      <w:rPr>
        <w:rFonts w:ascii="Symbol" w:hAnsi="Symbol" w:hint="default"/>
        <w:sz w:val="20"/>
      </w:rPr>
    </w:lvl>
    <w:lvl w:ilvl="8" w:tplc="EEBE988C"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54A21"/>
    <w:multiLevelType w:val="hybridMultilevel"/>
    <w:tmpl w:val="3D5A2FCA"/>
    <w:lvl w:ilvl="0" w:tplc="CE92730C">
      <w:start w:val="1"/>
      <w:numFmt w:val="bullet"/>
      <w:lvlText w:val="•"/>
      <w:lvlJc w:val="left"/>
      <w:pPr>
        <w:tabs>
          <w:tab w:val="num" w:pos="360"/>
        </w:tabs>
        <w:ind w:left="360" w:hanging="360"/>
      </w:pPr>
      <w:rPr>
        <w:rFonts w:ascii="Arial" w:hAnsi="Arial" w:hint="default"/>
      </w:rPr>
    </w:lvl>
    <w:lvl w:ilvl="1" w:tplc="FA3EC24C">
      <w:numFmt w:val="bullet"/>
      <w:lvlText w:val="–"/>
      <w:lvlJc w:val="left"/>
      <w:pPr>
        <w:tabs>
          <w:tab w:val="num" w:pos="1080"/>
        </w:tabs>
        <w:ind w:left="1080" w:hanging="360"/>
      </w:pPr>
      <w:rPr>
        <w:rFonts w:ascii="Arial" w:hAnsi="Arial" w:hint="default"/>
      </w:rPr>
    </w:lvl>
    <w:lvl w:ilvl="2" w:tplc="68F020EE">
      <w:numFmt w:val="bullet"/>
      <w:lvlText w:val="•"/>
      <w:lvlJc w:val="left"/>
      <w:pPr>
        <w:tabs>
          <w:tab w:val="num" w:pos="1800"/>
        </w:tabs>
        <w:ind w:left="1800" w:hanging="360"/>
      </w:pPr>
      <w:rPr>
        <w:rFonts w:ascii="Arial" w:hAnsi="Arial" w:hint="default"/>
      </w:rPr>
    </w:lvl>
    <w:lvl w:ilvl="3" w:tplc="A6C8B3DA">
      <w:numFmt w:val="bullet"/>
      <w:lvlText w:val="–"/>
      <w:lvlJc w:val="left"/>
      <w:pPr>
        <w:tabs>
          <w:tab w:val="num" w:pos="2520"/>
        </w:tabs>
        <w:ind w:left="2520" w:hanging="360"/>
      </w:pPr>
      <w:rPr>
        <w:rFonts w:ascii="Arial" w:hAnsi="Arial" w:hint="default"/>
      </w:rPr>
    </w:lvl>
    <w:lvl w:ilvl="4" w:tplc="4C5CD66E" w:tentative="1">
      <w:start w:val="1"/>
      <w:numFmt w:val="bullet"/>
      <w:lvlText w:val="•"/>
      <w:lvlJc w:val="left"/>
      <w:pPr>
        <w:tabs>
          <w:tab w:val="num" w:pos="3240"/>
        </w:tabs>
        <w:ind w:left="3240" w:hanging="360"/>
      </w:pPr>
      <w:rPr>
        <w:rFonts w:ascii="Arial" w:hAnsi="Arial" w:hint="default"/>
      </w:rPr>
    </w:lvl>
    <w:lvl w:ilvl="5" w:tplc="BBFC241E" w:tentative="1">
      <w:start w:val="1"/>
      <w:numFmt w:val="bullet"/>
      <w:lvlText w:val="•"/>
      <w:lvlJc w:val="left"/>
      <w:pPr>
        <w:tabs>
          <w:tab w:val="num" w:pos="3960"/>
        </w:tabs>
        <w:ind w:left="3960" w:hanging="360"/>
      </w:pPr>
      <w:rPr>
        <w:rFonts w:ascii="Arial" w:hAnsi="Arial" w:hint="default"/>
      </w:rPr>
    </w:lvl>
    <w:lvl w:ilvl="6" w:tplc="19C4F884" w:tentative="1">
      <w:start w:val="1"/>
      <w:numFmt w:val="bullet"/>
      <w:lvlText w:val="•"/>
      <w:lvlJc w:val="left"/>
      <w:pPr>
        <w:tabs>
          <w:tab w:val="num" w:pos="4680"/>
        </w:tabs>
        <w:ind w:left="4680" w:hanging="360"/>
      </w:pPr>
      <w:rPr>
        <w:rFonts w:ascii="Arial" w:hAnsi="Arial" w:hint="default"/>
      </w:rPr>
    </w:lvl>
    <w:lvl w:ilvl="7" w:tplc="93C69D14" w:tentative="1">
      <w:start w:val="1"/>
      <w:numFmt w:val="bullet"/>
      <w:lvlText w:val="•"/>
      <w:lvlJc w:val="left"/>
      <w:pPr>
        <w:tabs>
          <w:tab w:val="num" w:pos="5400"/>
        </w:tabs>
        <w:ind w:left="5400" w:hanging="360"/>
      </w:pPr>
      <w:rPr>
        <w:rFonts w:ascii="Arial" w:hAnsi="Arial" w:hint="default"/>
      </w:rPr>
    </w:lvl>
    <w:lvl w:ilvl="8" w:tplc="81EA643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1361EE"/>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C8526A"/>
    <w:multiLevelType w:val="hybridMultilevel"/>
    <w:tmpl w:val="F34EB710"/>
    <w:lvl w:ilvl="0" w:tplc="14DEF5D0">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EA7F64"/>
    <w:multiLevelType w:val="hybridMultilevel"/>
    <w:tmpl w:val="D57A483C"/>
    <w:lvl w:ilvl="0" w:tplc="73866854">
      <w:start w:val="1"/>
      <w:numFmt w:val="bullet"/>
      <w:lvlText w:val=""/>
      <w:lvlJc w:val="left"/>
      <w:pPr>
        <w:ind w:left="1080" w:hanging="360"/>
      </w:pPr>
      <w:rPr>
        <w:rFonts w:ascii="Symbol" w:hAnsi="Symbol"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22" w15:restartNumberingAfterBreak="0">
    <w:nsid w:val="55487B53"/>
    <w:multiLevelType w:val="multilevel"/>
    <w:tmpl w:val="B75A8F78"/>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01128A5"/>
    <w:multiLevelType w:val="hybridMultilevel"/>
    <w:tmpl w:val="E1A63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557057"/>
    <w:multiLevelType w:val="hybridMultilevel"/>
    <w:tmpl w:val="16507914"/>
    <w:lvl w:ilvl="0" w:tplc="70141F80">
      <w:start w:val="1"/>
      <w:numFmt w:val="bullet"/>
      <w:lvlText w:val="•"/>
      <w:lvlJc w:val="left"/>
      <w:pPr>
        <w:tabs>
          <w:tab w:val="num" w:pos="360"/>
        </w:tabs>
        <w:ind w:left="360" w:hanging="360"/>
      </w:pPr>
      <w:rPr>
        <w:rFonts w:ascii="Arial" w:hAnsi="Arial" w:hint="default"/>
      </w:rPr>
    </w:lvl>
    <w:lvl w:ilvl="1" w:tplc="C448879A">
      <w:numFmt w:val="bullet"/>
      <w:lvlText w:val="–"/>
      <w:lvlJc w:val="left"/>
      <w:pPr>
        <w:tabs>
          <w:tab w:val="num" w:pos="1080"/>
        </w:tabs>
        <w:ind w:left="1080" w:hanging="360"/>
      </w:pPr>
      <w:rPr>
        <w:rFonts w:ascii="Arial" w:hAnsi="Arial" w:hint="default"/>
      </w:rPr>
    </w:lvl>
    <w:lvl w:ilvl="2" w:tplc="C6E6F29E">
      <w:numFmt w:val="bullet"/>
      <w:lvlText w:val="•"/>
      <w:lvlJc w:val="left"/>
      <w:pPr>
        <w:tabs>
          <w:tab w:val="num" w:pos="1800"/>
        </w:tabs>
        <w:ind w:left="1800" w:hanging="360"/>
      </w:pPr>
      <w:rPr>
        <w:rFonts w:ascii="Arial" w:hAnsi="Arial" w:hint="default"/>
      </w:rPr>
    </w:lvl>
    <w:lvl w:ilvl="3" w:tplc="35348CDE">
      <w:numFmt w:val="bullet"/>
      <w:lvlText w:val="–"/>
      <w:lvlJc w:val="left"/>
      <w:pPr>
        <w:tabs>
          <w:tab w:val="num" w:pos="2520"/>
        </w:tabs>
        <w:ind w:left="2520" w:hanging="360"/>
      </w:pPr>
      <w:rPr>
        <w:rFonts w:ascii="Arial" w:hAnsi="Arial" w:hint="default"/>
      </w:rPr>
    </w:lvl>
    <w:lvl w:ilvl="4" w:tplc="C5562BB0" w:tentative="1">
      <w:start w:val="1"/>
      <w:numFmt w:val="bullet"/>
      <w:lvlText w:val="•"/>
      <w:lvlJc w:val="left"/>
      <w:pPr>
        <w:tabs>
          <w:tab w:val="num" w:pos="3240"/>
        </w:tabs>
        <w:ind w:left="3240" w:hanging="360"/>
      </w:pPr>
      <w:rPr>
        <w:rFonts w:ascii="Arial" w:hAnsi="Arial" w:hint="default"/>
      </w:rPr>
    </w:lvl>
    <w:lvl w:ilvl="5" w:tplc="5100D560" w:tentative="1">
      <w:start w:val="1"/>
      <w:numFmt w:val="bullet"/>
      <w:lvlText w:val="•"/>
      <w:lvlJc w:val="left"/>
      <w:pPr>
        <w:tabs>
          <w:tab w:val="num" w:pos="3960"/>
        </w:tabs>
        <w:ind w:left="3960" w:hanging="360"/>
      </w:pPr>
      <w:rPr>
        <w:rFonts w:ascii="Arial" w:hAnsi="Arial" w:hint="default"/>
      </w:rPr>
    </w:lvl>
    <w:lvl w:ilvl="6" w:tplc="48322E9C" w:tentative="1">
      <w:start w:val="1"/>
      <w:numFmt w:val="bullet"/>
      <w:lvlText w:val="•"/>
      <w:lvlJc w:val="left"/>
      <w:pPr>
        <w:tabs>
          <w:tab w:val="num" w:pos="4680"/>
        </w:tabs>
        <w:ind w:left="4680" w:hanging="360"/>
      </w:pPr>
      <w:rPr>
        <w:rFonts w:ascii="Arial" w:hAnsi="Arial" w:hint="default"/>
      </w:rPr>
    </w:lvl>
    <w:lvl w:ilvl="7" w:tplc="8408B3A0" w:tentative="1">
      <w:start w:val="1"/>
      <w:numFmt w:val="bullet"/>
      <w:lvlText w:val="•"/>
      <w:lvlJc w:val="left"/>
      <w:pPr>
        <w:tabs>
          <w:tab w:val="num" w:pos="5400"/>
        </w:tabs>
        <w:ind w:left="5400" w:hanging="360"/>
      </w:pPr>
      <w:rPr>
        <w:rFonts w:ascii="Arial" w:hAnsi="Arial" w:hint="default"/>
      </w:rPr>
    </w:lvl>
    <w:lvl w:ilvl="8" w:tplc="89A6338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34B728B"/>
    <w:multiLevelType w:val="hybridMultilevel"/>
    <w:tmpl w:val="2A1AAC8E"/>
    <w:lvl w:ilvl="0" w:tplc="6D94362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523B02"/>
    <w:multiLevelType w:val="hybridMultilevel"/>
    <w:tmpl w:val="C916E660"/>
    <w:lvl w:ilvl="0" w:tplc="F686FBBA">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9"/>
  </w:num>
  <w:num w:numId="4">
    <w:abstractNumId w:val="19"/>
  </w:num>
  <w:num w:numId="5">
    <w:abstractNumId w:val="8"/>
  </w:num>
  <w:num w:numId="6">
    <w:abstractNumId w:val="27"/>
  </w:num>
  <w:num w:numId="7">
    <w:abstractNumId w:val="16"/>
  </w:num>
  <w:num w:numId="8">
    <w:abstractNumId w:val="18"/>
  </w:num>
  <w:num w:numId="9">
    <w:abstractNumId w:val="18"/>
    <w:lvlOverride w:ilvl="0">
      <w:startOverride w:val="1"/>
    </w:lvlOverride>
  </w:num>
  <w:num w:numId="10">
    <w:abstractNumId w:val="18"/>
    <w:lvlOverride w:ilvl="0">
      <w:startOverride w:val="1"/>
    </w:lvlOverride>
  </w:num>
  <w:num w:numId="11">
    <w:abstractNumId w:val="18"/>
    <w:lvlOverride w:ilvl="0">
      <w:startOverride w:val="1"/>
    </w:lvlOverride>
  </w:num>
  <w:num w:numId="12">
    <w:abstractNumId w:val="16"/>
    <w:lvlOverride w:ilvl="0">
      <w:startOverride w:val="1"/>
    </w:lvlOverride>
  </w:num>
  <w:num w:numId="13">
    <w:abstractNumId w:val="18"/>
    <w:lvlOverride w:ilvl="0">
      <w:startOverride w:val="1"/>
    </w:lvlOverride>
  </w:num>
  <w:num w:numId="14">
    <w:abstractNumId w:val="16"/>
    <w:lvlOverride w:ilvl="0">
      <w:startOverride w:val="1"/>
    </w:lvlOverride>
  </w:num>
  <w:num w:numId="15">
    <w:abstractNumId w:val="18"/>
    <w:lvlOverride w:ilvl="0">
      <w:startOverride w:val="1"/>
    </w:lvlOverride>
  </w:num>
  <w:num w:numId="16">
    <w:abstractNumId w:val="28"/>
  </w:num>
  <w:num w:numId="17">
    <w:abstractNumId w:val="7"/>
  </w:num>
  <w:num w:numId="18">
    <w:abstractNumId w:val="26"/>
  </w:num>
  <w:num w:numId="19">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2"/>
  </w:num>
  <w:num w:numId="23">
    <w:abstractNumId w:val="11"/>
  </w:num>
  <w:num w:numId="24">
    <w:abstractNumId w:val="6"/>
  </w:num>
  <w:num w:numId="25">
    <w:abstractNumId w:val="29"/>
  </w:num>
  <w:num w:numId="26">
    <w:abstractNumId w:val="17"/>
  </w:num>
  <w:num w:numId="27">
    <w:abstractNumId w:val="1"/>
  </w:num>
  <w:num w:numId="28">
    <w:abstractNumId w:val="20"/>
  </w:num>
  <w:num w:numId="29">
    <w:abstractNumId w:val="30"/>
  </w:num>
  <w:num w:numId="30">
    <w:abstractNumId w:val="12"/>
  </w:num>
  <w:num w:numId="31">
    <w:abstractNumId w:val="16"/>
    <w:lvlOverride w:ilvl="0">
      <w:startOverride w:val="1"/>
    </w:lvlOverride>
  </w:num>
  <w:num w:numId="32">
    <w:abstractNumId w:val="18"/>
    <w:lvlOverride w:ilvl="0">
      <w:startOverride w:val="1"/>
    </w:lvlOverride>
  </w:num>
  <w:num w:numId="33">
    <w:abstractNumId w:val="14"/>
  </w:num>
  <w:num w:numId="34">
    <w:abstractNumId w:val="4"/>
  </w:num>
  <w:num w:numId="35">
    <w:abstractNumId w:val="3"/>
  </w:num>
  <w:num w:numId="36">
    <w:abstractNumId w:val="25"/>
  </w:num>
  <w:num w:numId="37">
    <w:abstractNumId w:val="5"/>
  </w:num>
  <w:num w:numId="38">
    <w:abstractNumId w:val="2"/>
  </w:num>
  <w:num w:numId="39">
    <w:abstractNumId w:val="4"/>
  </w:num>
  <w:num w:numId="40">
    <w:abstractNumId w:val="18"/>
    <w:lvlOverride w:ilvl="0">
      <w:startOverride w:val="1"/>
    </w:lvlOverride>
  </w:num>
  <w:num w:numId="41">
    <w:abstractNumId w:val="24"/>
  </w:num>
  <w:num w:numId="42">
    <w:abstractNumId w:val="13"/>
  </w:num>
  <w:num w:numId="43">
    <w:abstractNumId w:val="10"/>
  </w:num>
  <w:num w:numId="44">
    <w:abstractNumId w:val="23"/>
  </w:num>
  <w:num w:numId="45">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DD3"/>
    <w:rsid w:val="00006E89"/>
    <w:rsid w:val="000132EC"/>
    <w:rsid w:val="0001359D"/>
    <w:rsid w:val="0001478E"/>
    <w:rsid w:val="00042AE3"/>
    <w:rsid w:val="000514C6"/>
    <w:rsid w:val="000536CE"/>
    <w:rsid w:val="00065947"/>
    <w:rsid w:val="00066DCA"/>
    <w:rsid w:val="00072DD1"/>
    <w:rsid w:val="000770CB"/>
    <w:rsid w:val="0008612A"/>
    <w:rsid w:val="000868DC"/>
    <w:rsid w:val="000A06BD"/>
    <w:rsid w:val="000A576C"/>
    <w:rsid w:val="000B0056"/>
    <w:rsid w:val="000B3E45"/>
    <w:rsid w:val="000C05A1"/>
    <w:rsid w:val="001002C2"/>
    <w:rsid w:val="0010671C"/>
    <w:rsid w:val="00116876"/>
    <w:rsid w:val="0012173E"/>
    <w:rsid w:val="0012593D"/>
    <w:rsid w:val="001348AA"/>
    <w:rsid w:val="00135A68"/>
    <w:rsid w:val="00141D43"/>
    <w:rsid w:val="00153D0A"/>
    <w:rsid w:val="001705CD"/>
    <w:rsid w:val="001745F8"/>
    <w:rsid w:val="00176671"/>
    <w:rsid w:val="001838CF"/>
    <w:rsid w:val="00190F6B"/>
    <w:rsid w:val="001A39BD"/>
    <w:rsid w:val="001C2F6D"/>
    <w:rsid w:val="001C5C0C"/>
    <w:rsid w:val="001D21AB"/>
    <w:rsid w:val="001E30F6"/>
    <w:rsid w:val="00202C59"/>
    <w:rsid w:val="00210C9B"/>
    <w:rsid w:val="002205D6"/>
    <w:rsid w:val="00235F5C"/>
    <w:rsid w:val="00243DA9"/>
    <w:rsid w:val="00254F6B"/>
    <w:rsid w:val="00262850"/>
    <w:rsid w:val="00273CEE"/>
    <w:rsid w:val="00277CC6"/>
    <w:rsid w:val="00281EF2"/>
    <w:rsid w:val="00295EAF"/>
    <w:rsid w:val="002B4922"/>
    <w:rsid w:val="002B5C89"/>
    <w:rsid w:val="002B7420"/>
    <w:rsid w:val="002B783D"/>
    <w:rsid w:val="002C0CD7"/>
    <w:rsid w:val="002C2D19"/>
    <w:rsid w:val="002D10FA"/>
    <w:rsid w:val="002D216C"/>
    <w:rsid w:val="002D4C55"/>
    <w:rsid w:val="002E2979"/>
    <w:rsid w:val="002F1D10"/>
    <w:rsid w:val="002F60EC"/>
    <w:rsid w:val="00324D95"/>
    <w:rsid w:val="00333AE3"/>
    <w:rsid w:val="00340DC9"/>
    <w:rsid w:val="00346693"/>
    <w:rsid w:val="00352760"/>
    <w:rsid w:val="00352D1F"/>
    <w:rsid w:val="00363CF1"/>
    <w:rsid w:val="00382B26"/>
    <w:rsid w:val="003A616A"/>
    <w:rsid w:val="003B15AE"/>
    <w:rsid w:val="003B659E"/>
    <w:rsid w:val="00417AA0"/>
    <w:rsid w:val="00433DBE"/>
    <w:rsid w:val="0043750A"/>
    <w:rsid w:val="00445154"/>
    <w:rsid w:val="004534D7"/>
    <w:rsid w:val="004A02BD"/>
    <w:rsid w:val="004A5119"/>
    <w:rsid w:val="004B7B4A"/>
    <w:rsid w:val="004D7B19"/>
    <w:rsid w:val="004E54F0"/>
    <w:rsid w:val="004E5E66"/>
    <w:rsid w:val="004E72B6"/>
    <w:rsid w:val="00503B4D"/>
    <w:rsid w:val="00504EE9"/>
    <w:rsid w:val="00506EC0"/>
    <w:rsid w:val="005433E0"/>
    <w:rsid w:val="0054442C"/>
    <w:rsid w:val="00550285"/>
    <w:rsid w:val="00552711"/>
    <w:rsid w:val="00553D08"/>
    <w:rsid w:val="00566CBC"/>
    <w:rsid w:val="005740FF"/>
    <w:rsid w:val="0057736F"/>
    <w:rsid w:val="00577E81"/>
    <w:rsid w:val="00581B54"/>
    <w:rsid w:val="00582404"/>
    <w:rsid w:val="005836F8"/>
    <w:rsid w:val="005918FA"/>
    <w:rsid w:val="005A1CF3"/>
    <w:rsid w:val="005B2D98"/>
    <w:rsid w:val="005B39A5"/>
    <w:rsid w:val="005C69F4"/>
    <w:rsid w:val="005E3125"/>
    <w:rsid w:val="005E61A8"/>
    <w:rsid w:val="005E64D7"/>
    <w:rsid w:val="005F0B05"/>
    <w:rsid w:val="005F6419"/>
    <w:rsid w:val="00600CBB"/>
    <w:rsid w:val="006061BC"/>
    <w:rsid w:val="00617400"/>
    <w:rsid w:val="0064007A"/>
    <w:rsid w:val="006478ED"/>
    <w:rsid w:val="00664950"/>
    <w:rsid w:val="00665544"/>
    <w:rsid w:val="00667320"/>
    <w:rsid w:val="00677FB4"/>
    <w:rsid w:val="00683220"/>
    <w:rsid w:val="00687FA0"/>
    <w:rsid w:val="006923BC"/>
    <w:rsid w:val="006B7010"/>
    <w:rsid w:val="006C498D"/>
    <w:rsid w:val="006E700B"/>
    <w:rsid w:val="00700BDF"/>
    <w:rsid w:val="00707DD0"/>
    <w:rsid w:val="007145FF"/>
    <w:rsid w:val="00714632"/>
    <w:rsid w:val="00732BCE"/>
    <w:rsid w:val="00745359"/>
    <w:rsid w:val="007458CE"/>
    <w:rsid w:val="00751515"/>
    <w:rsid w:val="00757DAB"/>
    <w:rsid w:val="00781E1D"/>
    <w:rsid w:val="00785232"/>
    <w:rsid w:val="007C3ED0"/>
    <w:rsid w:val="007E2CD7"/>
    <w:rsid w:val="007F183F"/>
    <w:rsid w:val="007F79BA"/>
    <w:rsid w:val="00806A76"/>
    <w:rsid w:val="00810135"/>
    <w:rsid w:val="00811C9D"/>
    <w:rsid w:val="00816C80"/>
    <w:rsid w:val="00821635"/>
    <w:rsid w:val="00823E66"/>
    <w:rsid w:val="00841BCD"/>
    <w:rsid w:val="008448C4"/>
    <w:rsid w:val="00854A41"/>
    <w:rsid w:val="0087359B"/>
    <w:rsid w:val="008819DA"/>
    <w:rsid w:val="008826C1"/>
    <w:rsid w:val="00884485"/>
    <w:rsid w:val="008A7CBA"/>
    <w:rsid w:val="008C321C"/>
    <w:rsid w:val="008F432C"/>
    <w:rsid w:val="008F593F"/>
    <w:rsid w:val="009042BD"/>
    <w:rsid w:val="0091231F"/>
    <w:rsid w:val="00921682"/>
    <w:rsid w:val="009557A8"/>
    <w:rsid w:val="00971F52"/>
    <w:rsid w:val="00977E1D"/>
    <w:rsid w:val="00983D99"/>
    <w:rsid w:val="00984F96"/>
    <w:rsid w:val="009976ED"/>
    <w:rsid w:val="009B2679"/>
    <w:rsid w:val="009B6F3D"/>
    <w:rsid w:val="009C003D"/>
    <w:rsid w:val="009D1A4A"/>
    <w:rsid w:val="009D4931"/>
    <w:rsid w:val="009E2D42"/>
    <w:rsid w:val="009E3BF6"/>
    <w:rsid w:val="00A00614"/>
    <w:rsid w:val="00A101BF"/>
    <w:rsid w:val="00A22B78"/>
    <w:rsid w:val="00A25040"/>
    <w:rsid w:val="00A25AE5"/>
    <w:rsid w:val="00A37002"/>
    <w:rsid w:val="00A426F1"/>
    <w:rsid w:val="00A67BFA"/>
    <w:rsid w:val="00A704F9"/>
    <w:rsid w:val="00A80EAF"/>
    <w:rsid w:val="00A94496"/>
    <w:rsid w:val="00A949FC"/>
    <w:rsid w:val="00A97E04"/>
    <w:rsid w:val="00AA1B0E"/>
    <w:rsid w:val="00AA4E3C"/>
    <w:rsid w:val="00AA5488"/>
    <w:rsid w:val="00AB043B"/>
    <w:rsid w:val="00AB5001"/>
    <w:rsid w:val="00AC382F"/>
    <w:rsid w:val="00AC5CA7"/>
    <w:rsid w:val="00AD03AF"/>
    <w:rsid w:val="00AD1ACD"/>
    <w:rsid w:val="00AD58AB"/>
    <w:rsid w:val="00AE1CB8"/>
    <w:rsid w:val="00AE56B1"/>
    <w:rsid w:val="00AE7ABD"/>
    <w:rsid w:val="00AF05EF"/>
    <w:rsid w:val="00AF7F95"/>
    <w:rsid w:val="00B05162"/>
    <w:rsid w:val="00B21469"/>
    <w:rsid w:val="00B265C4"/>
    <w:rsid w:val="00B36E13"/>
    <w:rsid w:val="00B408EA"/>
    <w:rsid w:val="00B40E2A"/>
    <w:rsid w:val="00B73862"/>
    <w:rsid w:val="00B7447E"/>
    <w:rsid w:val="00B77125"/>
    <w:rsid w:val="00BA6900"/>
    <w:rsid w:val="00BA6E48"/>
    <w:rsid w:val="00BA724E"/>
    <w:rsid w:val="00BC1F1E"/>
    <w:rsid w:val="00BF07E3"/>
    <w:rsid w:val="00BF2218"/>
    <w:rsid w:val="00C264C8"/>
    <w:rsid w:val="00C32166"/>
    <w:rsid w:val="00C41E76"/>
    <w:rsid w:val="00C462A0"/>
    <w:rsid w:val="00C548FE"/>
    <w:rsid w:val="00C714E0"/>
    <w:rsid w:val="00C82047"/>
    <w:rsid w:val="00C83683"/>
    <w:rsid w:val="00C864DC"/>
    <w:rsid w:val="00C9312F"/>
    <w:rsid w:val="00C94120"/>
    <w:rsid w:val="00CA328F"/>
    <w:rsid w:val="00CB387E"/>
    <w:rsid w:val="00CD6170"/>
    <w:rsid w:val="00CD7492"/>
    <w:rsid w:val="00CE3A6B"/>
    <w:rsid w:val="00CF6CD0"/>
    <w:rsid w:val="00D00211"/>
    <w:rsid w:val="00D06309"/>
    <w:rsid w:val="00D27872"/>
    <w:rsid w:val="00D351EA"/>
    <w:rsid w:val="00D43403"/>
    <w:rsid w:val="00D62E71"/>
    <w:rsid w:val="00D6514E"/>
    <w:rsid w:val="00D740CA"/>
    <w:rsid w:val="00D77F8D"/>
    <w:rsid w:val="00D83808"/>
    <w:rsid w:val="00D85728"/>
    <w:rsid w:val="00D97F4E"/>
    <w:rsid w:val="00DA1D04"/>
    <w:rsid w:val="00DA2EF9"/>
    <w:rsid w:val="00DD1DDE"/>
    <w:rsid w:val="00DD31BB"/>
    <w:rsid w:val="00DD555A"/>
    <w:rsid w:val="00DF20FB"/>
    <w:rsid w:val="00DF2997"/>
    <w:rsid w:val="00E20FA4"/>
    <w:rsid w:val="00E43B78"/>
    <w:rsid w:val="00E46662"/>
    <w:rsid w:val="00E6539E"/>
    <w:rsid w:val="00E75EAF"/>
    <w:rsid w:val="00E77337"/>
    <w:rsid w:val="00E823EE"/>
    <w:rsid w:val="00E87888"/>
    <w:rsid w:val="00E972D1"/>
    <w:rsid w:val="00EA17AC"/>
    <w:rsid w:val="00EB44B2"/>
    <w:rsid w:val="00EB7489"/>
    <w:rsid w:val="00EC0118"/>
    <w:rsid w:val="00EC5CF0"/>
    <w:rsid w:val="00EC7BC3"/>
    <w:rsid w:val="00ED48EA"/>
    <w:rsid w:val="00ED7600"/>
    <w:rsid w:val="00EE21DC"/>
    <w:rsid w:val="00EF2A70"/>
    <w:rsid w:val="00F04097"/>
    <w:rsid w:val="00F111D7"/>
    <w:rsid w:val="00F115E8"/>
    <w:rsid w:val="00F1362C"/>
    <w:rsid w:val="00F17326"/>
    <w:rsid w:val="00F26F7B"/>
    <w:rsid w:val="00F51E50"/>
    <w:rsid w:val="00F639BD"/>
    <w:rsid w:val="00F678C2"/>
    <w:rsid w:val="00F76908"/>
    <w:rsid w:val="00F824F5"/>
    <w:rsid w:val="00F96A4E"/>
    <w:rsid w:val="00FA3FA5"/>
    <w:rsid w:val="00FA7769"/>
    <w:rsid w:val="00FB72A8"/>
    <w:rsid w:val="00FB7915"/>
    <w:rsid w:val="00FC29B9"/>
    <w:rsid w:val="00FC6FD3"/>
    <w:rsid w:val="00FF28B7"/>
    <w:rsid w:val="01E7F20E"/>
    <w:rsid w:val="038A661F"/>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F58B89"/>
    <w:rsid w:val="281F420F"/>
    <w:rsid w:val="287819B6"/>
    <w:rsid w:val="29F024B6"/>
    <w:rsid w:val="2B18E7E1"/>
    <w:rsid w:val="2B2E2027"/>
    <w:rsid w:val="2BA4125C"/>
    <w:rsid w:val="2C839415"/>
    <w:rsid w:val="2EAA6D7C"/>
    <w:rsid w:val="2EE75B3A"/>
    <w:rsid w:val="2EEDBC4D"/>
    <w:rsid w:val="2EFBF567"/>
    <w:rsid w:val="2F2BED82"/>
    <w:rsid w:val="2F67005D"/>
    <w:rsid w:val="317E23AA"/>
    <w:rsid w:val="32743171"/>
    <w:rsid w:val="342F53FC"/>
    <w:rsid w:val="34A6A1CA"/>
    <w:rsid w:val="34C3F82B"/>
    <w:rsid w:val="34CADDE0"/>
    <w:rsid w:val="355452B1"/>
    <w:rsid w:val="35D32DE8"/>
    <w:rsid w:val="35D3C18E"/>
    <w:rsid w:val="35FBDD0D"/>
    <w:rsid w:val="36755CA3"/>
    <w:rsid w:val="36F367AF"/>
    <w:rsid w:val="37323DC6"/>
    <w:rsid w:val="37CE8FC6"/>
    <w:rsid w:val="384C79FC"/>
    <w:rsid w:val="38B9A76B"/>
    <w:rsid w:val="39F1A6B3"/>
    <w:rsid w:val="3A43BC27"/>
    <w:rsid w:val="3A6DD5E0"/>
    <w:rsid w:val="3B0BF12B"/>
    <w:rsid w:val="3B34E271"/>
    <w:rsid w:val="3BAA70FD"/>
    <w:rsid w:val="3C50AA0A"/>
    <w:rsid w:val="3DA98EBC"/>
    <w:rsid w:val="3E5FC922"/>
    <w:rsid w:val="3E7BBBE7"/>
    <w:rsid w:val="3EAC94E3"/>
    <w:rsid w:val="3F936C90"/>
    <w:rsid w:val="3FF141F7"/>
    <w:rsid w:val="40879746"/>
    <w:rsid w:val="40F34CF5"/>
    <w:rsid w:val="411A7BD7"/>
    <w:rsid w:val="42687737"/>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B34FFB"/>
    <w:rsid w:val="5C8BB5CF"/>
    <w:rsid w:val="5C9C76C5"/>
    <w:rsid w:val="5DC22F6F"/>
    <w:rsid w:val="5E9B9F42"/>
    <w:rsid w:val="5F9A4EB0"/>
    <w:rsid w:val="601328F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9269B"/>
    <w:rsid w:val="6DBB0124"/>
    <w:rsid w:val="6EDFF91C"/>
    <w:rsid w:val="6F37EA1D"/>
    <w:rsid w:val="6FD8C0CA"/>
    <w:rsid w:val="6FE6859B"/>
    <w:rsid w:val="7103E755"/>
    <w:rsid w:val="711916A2"/>
    <w:rsid w:val="712A273C"/>
    <w:rsid w:val="72AF8E35"/>
    <w:rsid w:val="741C4FC2"/>
    <w:rsid w:val="7522B1E6"/>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460C164F-3E75-4BFA-AA61-E1A23937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paragraph" w:styleId="NormalWeb">
    <w:name w:val="Normal (Web)"/>
    <w:basedOn w:val="Normal"/>
    <w:uiPriority w:val="99"/>
    <w:unhideWhenUsed/>
    <w:rsid w:val="0091231F"/>
    <w:pPr>
      <w:spacing w:before="100" w:beforeAutospacing="1" w:after="100" w:afterAutospacing="1" w:line="240" w:lineRule="auto"/>
    </w:pPr>
    <w:rPr>
      <w:rFonts w:eastAsia="宋体" w:cs="Times New Roman"/>
      <w:sz w:val="24"/>
      <w:szCs w:val="24"/>
    </w:rPr>
  </w:style>
  <w:style w:type="paragraph" w:customStyle="1" w:styleId="B1">
    <w:name w:val="B1"/>
    <w:basedOn w:val="Normal"/>
    <w:link w:val="B1Char"/>
    <w:qFormat/>
    <w:rsid w:val="006923BC"/>
    <w:pPr>
      <w:spacing w:after="180" w:line="240" w:lineRule="auto"/>
      <w:ind w:left="568" w:hanging="284"/>
    </w:pPr>
    <w:rPr>
      <w:rFonts w:eastAsia="宋体" w:cs="Times New Roman"/>
      <w:szCs w:val="20"/>
      <w:lang w:val="en-GB"/>
    </w:rPr>
  </w:style>
  <w:style w:type="character" w:customStyle="1" w:styleId="B1Char">
    <w:name w:val="B1 Char"/>
    <w:link w:val="B1"/>
    <w:qFormat/>
    <w:rsid w:val="006923BC"/>
    <w:rPr>
      <w:rFonts w:ascii="Times New Roman" w:eastAsia="宋体" w:hAnsi="Times New Roman" w:cs="Times New Roman"/>
      <w:sz w:val="20"/>
      <w:szCs w:val="20"/>
      <w:lang w:val="en-GB"/>
    </w:rPr>
  </w:style>
  <w:style w:type="paragraph" w:customStyle="1" w:styleId="NO">
    <w:name w:val="NO"/>
    <w:basedOn w:val="Normal"/>
    <w:link w:val="NOChar"/>
    <w:rsid w:val="0092168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921682"/>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3151763">
          <w:marLeft w:val="547"/>
          <w:marRight w:val="0"/>
          <w:marTop w:val="67"/>
          <w:marBottom w:val="0"/>
          <w:divBdr>
            <w:top w:val="none" w:sz="0" w:space="0" w:color="auto"/>
            <w:left w:val="none" w:sz="0" w:space="0" w:color="auto"/>
            <w:bottom w:val="none" w:sz="0" w:space="0" w:color="auto"/>
            <w:right w:val="none" w:sz="0" w:space="0" w:color="auto"/>
          </w:divBdr>
        </w:div>
        <w:div w:id="912206268">
          <w:marLeft w:val="1166"/>
          <w:marRight w:val="0"/>
          <w:marTop w:val="67"/>
          <w:marBottom w:val="0"/>
          <w:divBdr>
            <w:top w:val="none" w:sz="0" w:space="0" w:color="auto"/>
            <w:left w:val="none" w:sz="0" w:space="0" w:color="auto"/>
            <w:bottom w:val="none" w:sz="0" w:space="0" w:color="auto"/>
            <w:right w:val="none" w:sz="0" w:space="0" w:color="auto"/>
          </w:divBdr>
        </w:div>
        <w:div w:id="978073322">
          <w:marLeft w:val="1800"/>
          <w:marRight w:val="0"/>
          <w:marTop w:val="67"/>
          <w:marBottom w:val="0"/>
          <w:divBdr>
            <w:top w:val="none" w:sz="0" w:space="0" w:color="auto"/>
            <w:left w:val="none" w:sz="0" w:space="0" w:color="auto"/>
            <w:bottom w:val="none" w:sz="0" w:space="0" w:color="auto"/>
            <w:right w:val="none" w:sz="0" w:space="0" w:color="auto"/>
          </w:divBdr>
        </w:div>
        <w:div w:id="1460297798">
          <w:marLeft w:val="2520"/>
          <w:marRight w:val="0"/>
          <w:marTop w:val="67"/>
          <w:marBottom w:val="0"/>
          <w:divBdr>
            <w:top w:val="none" w:sz="0" w:space="0" w:color="auto"/>
            <w:left w:val="none" w:sz="0" w:space="0" w:color="auto"/>
            <w:bottom w:val="none" w:sz="0" w:space="0" w:color="auto"/>
            <w:right w:val="none" w:sz="0" w:space="0" w:color="auto"/>
          </w:divBdr>
        </w:div>
      </w:divsChild>
    </w:div>
    <w:div w:id="610011826">
      <w:bodyDiv w:val="1"/>
      <w:marLeft w:val="0"/>
      <w:marRight w:val="0"/>
      <w:marTop w:val="0"/>
      <w:marBottom w:val="0"/>
      <w:divBdr>
        <w:top w:val="none" w:sz="0" w:space="0" w:color="auto"/>
        <w:left w:val="none" w:sz="0" w:space="0" w:color="auto"/>
        <w:bottom w:val="none" w:sz="0" w:space="0" w:color="auto"/>
        <w:right w:val="none" w:sz="0" w:space="0" w:color="auto"/>
      </w:divBdr>
      <w:divsChild>
        <w:div w:id="1118258723">
          <w:marLeft w:val="547"/>
          <w:marRight w:val="0"/>
          <w:marTop w:val="106"/>
          <w:marBottom w:val="0"/>
          <w:divBdr>
            <w:top w:val="none" w:sz="0" w:space="0" w:color="auto"/>
            <w:left w:val="none" w:sz="0" w:space="0" w:color="auto"/>
            <w:bottom w:val="none" w:sz="0" w:space="0" w:color="auto"/>
            <w:right w:val="none" w:sz="0" w:space="0" w:color="auto"/>
          </w:divBdr>
        </w:div>
        <w:div w:id="398134006">
          <w:marLeft w:val="1166"/>
          <w:marRight w:val="0"/>
          <w:marTop w:val="106"/>
          <w:marBottom w:val="0"/>
          <w:divBdr>
            <w:top w:val="none" w:sz="0" w:space="0" w:color="auto"/>
            <w:left w:val="none" w:sz="0" w:space="0" w:color="auto"/>
            <w:bottom w:val="none" w:sz="0" w:space="0" w:color="auto"/>
            <w:right w:val="none" w:sz="0" w:space="0" w:color="auto"/>
          </w:divBdr>
        </w:div>
        <w:div w:id="221333422">
          <w:marLeft w:val="1800"/>
          <w:marRight w:val="0"/>
          <w:marTop w:val="106"/>
          <w:marBottom w:val="0"/>
          <w:divBdr>
            <w:top w:val="none" w:sz="0" w:space="0" w:color="auto"/>
            <w:left w:val="none" w:sz="0" w:space="0" w:color="auto"/>
            <w:bottom w:val="none" w:sz="0" w:space="0" w:color="auto"/>
            <w:right w:val="none" w:sz="0" w:space="0" w:color="auto"/>
          </w:divBdr>
        </w:div>
        <w:div w:id="951017372">
          <w:marLeft w:val="2520"/>
          <w:marRight w:val="0"/>
          <w:marTop w:val="106"/>
          <w:marBottom w:val="0"/>
          <w:divBdr>
            <w:top w:val="none" w:sz="0" w:space="0" w:color="auto"/>
            <w:left w:val="none" w:sz="0" w:space="0" w:color="auto"/>
            <w:bottom w:val="none" w:sz="0" w:space="0" w:color="auto"/>
            <w:right w:val="none" w:sz="0" w:space="0" w:color="auto"/>
          </w:divBdr>
        </w:div>
        <w:div w:id="1517118153">
          <w:marLeft w:val="2520"/>
          <w:marRight w:val="0"/>
          <w:marTop w:val="106"/>
          <w:marBottom w:val="0"/>
          <w:divBdr>
            <w:top w:val="none" w:sz="0" w:space="0" w:color="auto"/>
            <w:left w:val="none" w:sz="0" w:space="0" w:color="auto"/>
            <w:bottom w:val="none" w:sz="0" w:space="0" w:color="auto"/>
            <w:right w:val="none" w:sz="0" w:space="0" w:color="auto"/>
          </w:divBdr>
        </w:div>
        <w:div w:id="698164937">
          <w:marLeft w:val="2520"/>
          <w:marRight w:val="0"/>
          <w:marTop w:val="106"/>
          <w:marBottom w:val="0"/>
          <w:divBdr>
            <w:top w:val="none" w:sz="0" w:space="0" w:color="auto"/>
            <w:left w:val="none" w:sz="0" w:space="0" w:color="auto"/>
            <w:bottom w:val="none" w:sz="0" w:space="0" w:color="auto"/>
            <w:right w:val="none" w:sz="0" w:space="0" w:color="auto"/>
          </w:divBdr>
        </w:div>
        <w:div w:id="522213315">
          <w:marLeft w:val="2520"/>
          <w:marRight w:val="0"/>
          <w:marTop w:val="106"/>
          <w:marBottom w:val="0"/>
          <w:divBdr>
            <w:top w:val="none" w:sz="0" w:space="0" w:color="auto"/>
            <w:left w:val="none" w:sz="0" w:space="0" w:color="auto"/>
            <w:bottom w:val="none" w:sz="0" w:space="0" w:color="auto"/>
            <w:right w:val="none" w:sz="0" w:space="0" w:color="auto"/>
          </w:divBdr>
        </w:div>
        <w:div w:id="782924629">
          <w:marLeft w:val="2520"/>
          <w:marRight w:val="0"/>
          <w:marTop w:val="106"/>
          <w:marBottom w:val="0"/>
          <w:divBdr>
            <w:top w:val="none" w:sz="0" w:space="0" w:color="auto"/>
            <w:left w:val="none" w:sz="0" w:space="0" w:color="auto"/>
            <w:bottom w:val="none" w:sz="0" w:space="0" w:color="auto"/>
            <w:right w:val="none" w:sz="0" w:space="0" w:color="auto"/>
          </w:divBdr>
        </w:div>
      </w:divsChild>
    </w:div>
    <w:div w:id="702244327">
      <w:bodyDiv w:val="1"/>
      <w:marLeft w:val="0"/>
      <w:marRight w:val="0"/>
      <w:marTop w:val="0"/>
      <w:marBottom w:val="0"/>
      <w:divBdr>
        <w:top w:val="none" w:sz="0" w:space="0" w:color="auto"/>
        <w:left w:val="none" w:sz="0" w:space="0" w:color="auto"/>
        <w:bottom w:val="none" w:sz="0" w:space="0" w:color="auto"/>
        <w:right w:val="none" w:sz="0" w:space="0" w:color="auto"/>
      </w:divBdr>
    </w:div>
    <w:div w:id="941453376">
      <w:bodyDiv w:val="1"/>
      <w:marLeft w:val="0"/>
      <w:marRight w:val="0"/>
      <w:marTop w:val="0"/>
      <w:marBottom w:val="0"/>
      <w:divBdr>
        <w:top w:val="none" w:sz="0" w:space="0" w:color="auto"/>
        <w:left w:val="none" w:sz="0" w:space="0" w:color="auto"/>
        <w:bottom w:val="none" w:sz="0" w:space="0" w:color="auto"/>
        <w:right w:val="none" w:sz="0" w:space="0" w:color="auto"/>
      </w:divBdr>
      <w:divsChild>
        <w:div w:id="1271431068">
          <w:marLeft w:val="547"/>
          <w:marRight w:val="0"/>
          <w:marTop w:val="106"/>
          <w:marBottom w:val="0"/>
          <w:divBdr>
            <w:top w:val="none" w:sz="0" w:space="0" w:color="auto"/>
            <w:left w:val="none" w:sz="0" w:space="0" w:color="auto"/>
            <w:bottom w:val="none" w:sz="0" w:space="0" w:color="auto"/>
            <w:right w:val="none" w:sz="0" w:space="0" w:color="auto"/>
          </w:divBdr>
        </w:div>
        <w:div w:id="1141506068">
          <w:marLeft w:val="1166"/>
          <w:marRight w:val="0"/>
          <w:marTop w:val="106"/>
          <w:marBottom w:val="0"/>
          <w:divBdr>
            <w:top w:val="none" w:sz="0" w:space="0" w:color="auto"/>
            <w:left w:val="none" w:sz="0" w:space="0" w:color="auto"/>
            <w:bottom w:val="none" w:sz="0" w:space="0" w:color="auto"/>
            <w:right w:val="none" w:sz="0" w:space="0" w:color="auto"/>
          </w:divBdr>
        </w:div>
        <w:div w:id="269289062">
          <w:marLeft w:val="1800"/>
          <w:marRight w:val="0"/>
          <w:marTop w:val="106"/>
          <w:marBottom w:val="0"/>
          <w:divBdr>
            <w:top w:val="none" w:sz="0" w:space="0" w:color="auto"/>
            <w:left w:val="none" w:sz="0" w:space="0" w:color="auto"/>
            <w:bottom w:val="none" w:sz="0" w:space="0" w:color="auto"/>
            <w:right w:val="none" w:sz="0" w:space="0" w:color="auto"/>
          </w:divBdr>
        </w:div>
        <w:div w:id="1795707394">
          <w:marLeft w:val="2520"/>
          <w:marRight w:val="0"/>
          <w:marTop w:val="106"/>
          <w:marBottom w:val="0"/>
          <w:divBdr>
            <w:top w:val="none" w:sz="0" w:space="0" w:color="auto"/>
            <w:left w:val="none" w:sz="0" w:space="0" w:color="auto"/>
            <w:bottom w:val="none" w:sz="0" w:space="0" w:color="auto"/>
            <w:right w:val="none" w:sz="0" w:space="0" w:color="auto"/>
          </w:divBdr>
        </w:div>
        <w:div w:id="283075221">
          <w:marLeft w:val="2520"/>
          <w:marRight w:val="0"/>
          <w:marTop w:val="106"/>
          <w:marBottom w:val="0"/>
          <w:divBdr>
            <w:top w:val="none" w:sz="0" w:space="0" w:color="auto"/>
            <w:left w:val="none" w:sz="0" w:space="0" w:color="auto"/>
            <w:bottom w:val="none" w:sz="0" w:space="0" w:color="auto"/>
            <w:right w:val="none" w:sz="0" w:space="0" w:color="auto"/>
          </w:divBdr>
        </w:div>
        <w:div w:id="1946186847">
          <w:marLeft w:val="2520"/>
          <w:marRight w:val="0"/>
          <w:marTop w:val="106"/>
          <w:marBottom w:val="0"/>
          <w:divBdr>
            <w:top w:val="none" w:sz="0" w:space="0" w:color="auto"/>
            <w:left w:val="none" w:sz="0" w:space="0" w:color="auto"/>
            <w:bottom w:val="none" w:sz="0" w:space="0" w:color="auto"/>
            <w:right w:val="none" w:sz="0" w:space="0" w:color="auto"/>
          </w:divBdr>
        </w:div>
        <w:div w:id="514618488">
          <w:marLeft w:val="2520"/>
          <w:marRight w:val="0"/>
          <w:marTop w:val="106"/>
          <w:marBottom w:val="0"/>
          <w:divBdr>
            <w:top w:val="none" w:sz="0" w:space="0" w:color="auto"/>
            <w:left w:val="none" w:sz="0" w:space="0" w:color="auto"/>
            <w:bottom w:val="none" w:sz="0" w:space="0" w:color="auto"/>
            <w:right w:val="none" w:sz="0" w:space="0" w:color="auto"/>
          </w:divBdr>
        </w:div>
        <w:div w:id="1120034277">
          <w:marLeft w:val="2520"/>
          <w:marRight w:val="0"/>
          <w:marTop w:val="106"/>
          <w:marBottom w:val="0"/>
          <w:divBdr>
            <w:top w:val="none" w:sz="0" w:space="0" w:color="auto"/>
            <w:left w:val="none" w:sz="0" w:space="0" w:color="auto"/>
            <w:bottom w:val="none" w:sz="0" w:space="0" w:color="auto"/>
            <w:right w:val="none" w:sz="0" w:space="0" w:color="auto"/>
          </w:divBdr>
        </w:div>
      </w:divsChild>
    </w:div>
    <w:div w:id="1138844463">
      <w:bodyDiv w:val="1"/>
      <w:marLeft w:val="0"/>
      <w:marRight w:val="0"/>
      <w:marTop w:val="0"/>
      <w:marBottom w:val="0"/>
      <w:divBdr>
        <w:top w:val="none" w:sz="0" w:space="0" w:color="auto"/>
        <w:left w:val="none" w:sz="0" w:space="0" w:color="auto"/>
        <w:bottom w:val="none" w:sz="0" w:space="0" w:color="auto"/>
        <w:right w:val="none" w:sz="0" w:space="0" w:color="auto"/>
      </w:divBdr>
      <w:divsChild>
        <w:div w:id="728922742">
          <w:marLeft w:val="547"/>
          <w:marRight w:val="0"/>
          <w:marTop w:val="67"/>
          <w:marBottom w:val="0"/>
          <w:divBdr>
            <w:top w:val="none" w:sz="0" w:space="0" w:color="auto"/>
            <w:left w:val="none" w:sz="0" w:space="0" w:color="auto"/>
            <w:bottom w:val="none" w:sz="0" w:space="0" w:color="auto"/>
            <w:right w:val="none" w:sz="0" w:space="0" w:color="auto"/>
          </w:divBdr>
        </w:div>
        <w:div w:id="1157838486">
          <w:marLeft w:val="1166"/>
          <w:marRight w:val="0"/>
          <w:marTop w:val="67"/>
          <w:marBottom w:val="0"/>
          <w:divBdr>
            <w:top w:val="none" w:sz="0" w:space="0" w:color="auto"/>
            <w:left w:val="none" w:sz="0" w:space="0" w:color="auto"/>
            <w:bottom w:val="none" w:sz="0" w:space="0" w:color="auto"/>
            <w:right w:val="none" w:sz="0" w:space="0" w:color="auto"/>
          </w:divBdr>
        </w:div>
        <w:div w:id="1300384509">
          <w:marLeft w:val="1800"/>
          <w:marRight w:val="0"/>
          <w:marTop w:val="67"/>
          <w:marBottom w:val="0"/>
          <w:divBdr>
            <w:top w:val="none" w:sz="0" w:space="0" w:color="auto"/>
            <w:left w:val="none" w:sz="0" w:space="0" w:color="auto"/>
            <w:bottom w:val="none" w:sz="0" w:space="0" w:color="auto"/>
            <w:right w:val="none" w:sz="0" w:space="0" w:color="auto"/>
          </w:divBdr>
        </w:div>
        <w:div w:id="1495608818">
          <w:marLeft w:val="2520"/>
          <w:marRight w:val="0"/>
          <w:marTop w:val="67"/>
          <w:marBottom w:val="0"/>
          <w:divBdr>
            <w:top w:val="none" w:sz="0" w:space="0" w:color="auto"/>
            <w:left w:val="none" w:sz="0" w:space="0" w:color="auto"/>
            <w:bottom w:val="none" w:sz="0" w:space="0" w:color="auto"/>
            <w:right w:val="none" w:sz="0" w:space="0" w:color="auto"/>
          </w:divBdr>
        </w:div>
      </w:divsChild>
    </w:div>
    <w:div w:id="1333334889">
      <w:bodyDiv w:val="1"/>
      <w:marLeft w:val="0"/>
      <w:marRight w:val="0"/>
      <w:marTop w:val="0"/>
      <w:marBottom w:val="0"/>
      <w:divBdr>
        <w:top w:val="none" w:sz="0" w:space="0" w:color="auto"/>
        <w:left w:val="none" w:sz="0" w:space="0" w:color="auto"/>
        <w:bottom w:val="none" w:sz="0" w:space="0" w:color="auto"/>
        <w:right w:val="none" w:sz="0" w:space="0" w:color="auto"/>
      </w:divBdr>
      <w:divsChild>
        <w:div w:id="1612862108">
          <w:marLeft w:val="547"/>
          <w:marRight w:val="0"/>
          <w:marTop w:val="43"/>
          <w:marBottom w:val="0"/>
          <w:divBdr>
            <w:top w:val="none" w:sz="0" w:space="0" w:color="auto"/>
            <w:left w:val="none" w:sz="0" w:space="0" w:color="auto"/>
            <w:bottom w:val="none" w:sz="0" w:space="0" w:color="auto"/>
            <w:right w:val="none" w:sz="0" w:space="0" w:color="auto"/>
          </w:divBdr>
        </w:div>
        <w:div w:id="1183276735">
          <w:marLeft w:val="1166"/>
          <w:marRight w:val="0"/>
          <w:marTop w:val="43"/>
          <w:marBottom w:val="0"/>
          <w:divBdr>
            <w:top w:val="none" w:sz="0" w:space="0" w:color="auto"/>
            <w:left w:val="none" w:sz="0" w:space="0" w:color="auto"/>
            <w:bottom w:val="none" w:sz="0" w:space="0" w:color="auto"/>
            <w:right w:val="none" w:sz="0" w:space="0" w:color="auto"/>
          </w:divBdr>
        </w:div>
        <w:div w:id="233977040">
          <w:marLeft w:val="1800"/>
          <w:marRight w:val="0"/>
          <w:marTop w:val="43"/>
          <w:marBottom w:val="0"/>
          <w:divBdr>
            <w:top w:val="none" w:sz="0" w:space="0" w:color="auto"/>
            <w:left w:val="none" w:sz="0" w:space="0" w:color="auto"/>
            <w:bottom w:val="none" w:sz="0" w:space="0" w:color="auto"/>
            <w:right w:val="none" w:sz="0" w:space="0" w:color="auto"/>
          </w:divBdr>
        </w:div>
        <w:div w:id="1604798265">
          <w:marLeft w:val="1800"/>
          <w:marRight w:val="0"/>
          <w:marTop w:val="43"/>
          <w:marBottom w:val="0"/>
          <w:divBdr>
            <w:top w:val="none" w:sz="0" w:space="0" w:color="auto"/>
            <w:left w:val="none" w:sz="0" w:space="0" w:color="auto"/>
            <w:bottom w:val="none" w:sz="0" w:space="0" w:color="auto"/>
            <w:right w:val="none" w:sz="0" w:space="0" w:color="auto"/>
          </w:divBdr>
        </w:div>
        <w:div w:id="1056011282">
          <w:marLeft w:val="1800"/>
          <w:marRight w:val="0"/>
          <w:marTop w:val="43"/>
          <w:marBottom w:val="0"/>
          <w:divBdr>
            <w:top w:val="none" w:sz="0" w:space="0" w:color="auto"/>
            <w:left w:val="none" w:sz="0" w:space="0" w:color="auto"/>
            <w:bottom w:val="none" w:sz="0" w:space="0" w:color="auto"/>
            <w:right w:val="none" w:sz="0" w:space="0" w:color="auto"/>
          </w:divBdr>
        </w:div>
        <w:div w:id="569846336">
          <w:marLeft w:val="2520"/>
          <w:marRight w:val="0"/>
          <w:marTop w:val="43"/>
          <w:marBottom w:val="0"/>
          <w:divBdr>
            <w:top w:val="none" w:sz="0" w:space="0" w:color="auto"/>
            <w:left w:val="none" w:sz="0" w:space="0" w:color="auto"/>
            <w:bottom w:val="none" w:sz="0" w:space="0" w:color="auto"/>
            <w:right w:val="none" w:sz="0" w:space="0" w:color="auto"/>
          </w:divBdr>
        </w:div>
        <w:div w:id="424962552">
          <w:marLeft w:val="3240"/>
          <w:marRight w:val="0"/>
          <w:marTop w:val="43"/>
          <w:marBottom w:val="0"/>
          <w:divBdr>
            <w:top w:val="none" w:sz="0" w:space="0" w:color="auto"/>
            <w:left w:val="none" w:sz="0" w:space="0" w:color="auto"/>
            <w:bottom w:val="none" w:sz="0" w:space="0" w:color="auto"/>
            <w:right w:val="none" w:sz="0" w:space="0" w:color="auto"/>
          </w:divBdr>
        </w:div>
        <w:div w:id="1066342702">
          <w:marLeft w:val="3240"/>
          <w:marRight w:val="0"/>
          <w:marTop w:val="43"/>
          <w:marBottom w:val="0"/>
          <w:divBdr>
            <w:top w:val="none" w:sz="0" w:space="0" w:color="auto"/>
            <w:left w:val="none" w:sz="0" w:space="0" w:color="auto"/>
            <w:bottom w:val="none" w:sz="0" w:space="0" w:color="auto"/>
            <w:right w:val="none" w:sz="0" w:space="0" w:color="auto"/>
          </w:divBdr>
        </w:div>
        <w:div w:id="2001688878">
          <w:marLeft w:val="2520"/>
          <w:marRight w:val="0"/>
          <w:marTop w:val="43"/>
          <w:marBottom w:val="0"/>
          <w:divBdr>
            <w:top w:val="none" w:sz="0" w:space="0" w:color="auto"/>
            <w:left w:val="none" w:sz="0" w:space="0" w:color="auto"/>
            <w:bottom w:val="none" w:sz="0" w:space="0" w:color="auto"/>
            <w:right w:val="none" w:sz="0" w:space="0" w:color="auto"/>
          </w:divBdr>
        </w:div>
        <w:div w:id="421799600">
          <w:marLeft w:val="3240"/>
          <w:marRight w:val="0"/>
          <w:marTop w:val="43"/>
          <w:marBottom w:val="0"/>
          <w:divBdr>
            <w:top w:val="none" w:sz="0" w:space="0" w:color="auto"/>
            <w:left w:val="none" w:sz="0" w:space="0" w:color="auto"/>
            <w:bottom w:val="none" w:sz="0" w:space="0" w:color="auto"/>
            <w:right w:val="none" w:sz="0" w:space="0" w:color="auto"/>
          </w:divBdr>
        </w:div>
        <w:div w:id="415442213">
          <w:marLeft w:val="3240"/>
          <w:marRight w:val="0"/>
          <w:marTop w:val="43"/>
          <w:marBottom w:val="0"/>
          <w:divBdr>
            <w:top w:val="none" w:sz="0" w:space="0" w:color="auto"/>
            <w:left w:val="none" w:sz="0" w:space="0" w:color="auto"/>
            <w:bottom w:val="none" w:sz="0" w:space="0" w:color="auto"/>
            <w:right w:val="none" w:sz="0" w:space="0" w:color="auto"/>
          </w:divBdr>
        </w:div>
        <w:div w:id="192154634">
          <w:marLeft w:val="1800"/>
          <w:marRight w:val="0"/>
          <w:marTop w:val="43"/>
          <w:marBottom w:val="0"/>
          <w:divBdr>
            <w:top w:val="none" w:sz="0" w:space="0" w:color="auto"/>
            <w:left w:val="none" w:sz="0" w:space="0" w:color="auto"/>
            <w:bottom w:val="none" w:sz="0" w:space="0" w:color="auto"/>
            <w:right w:val="none" w:sz="0" w:space="0" w:color="auto"/>
          </w:divBdr>
        </w:div>
        <w:div w:id="416633391">
          <w:marLeft w:val="2520"/>
          <w:marRight w:val="0"/>
          <w:marTop w:val="43"/>
          <w:marBottom w:val="0"/>
          <w:divBdr>
            <w:top w:val="none" w:sz="0" w:space="0" w:color="auto"/>
            <w:left w:val="none" w:sz="0" w:space="0" w:color="auto"/>
            <w:bottom w:val="none" w:sz="0" w:space="0" w:color="auto"/>
            <w:right w:val="none" w:sz="0" w:space="0" w:color="auto"/>
          </w:divBdr>
        </w:div>
        <w:div w:id="503669315">
          <w:marLeft w:val="3240"/>
          <w:marRight w:val="0"/>
          <w:marTop w:val="43"/>
          <w:marBottom w:val="0"/>
          <w:divBdr>
            <w:top w:val="none" w:sz="0" w:space="0" w:color="auto"/>
            <w:left w:val="none" w:sz="0" w:space="0" w:color="auto"/>
            <w:bottom w:val="none" w:sz="0" w:space="0" w:color="auto"/>
            <w:right w:val="none" w:sz="0" w:space="0" w:color="auto"/>
          </w:divBdr>
        </w:div>
        <w:div w:id="1439061342">
          <w:marLeft w:val="3240"/>
          <w:marRight w:val="0"/>
          <w:marTop w:val="43"/>
          <w:marBottom w:val="0"/>
          <w:divBdr>
            <w:top w:val="none" w:sz="0" w:space="0" w:color="auto"/>
            <w:left w:val="none" w:sz="0" w:space="0" w:color="auto"/>
            <w:bottom w:val="none" w:sz="0" w:space="0" w:color="auto"/>
            <w:right w:val="none" w:sz="0" w:space="0" w:color="auto"/>
          </w:divBdr>
        </w:div>
        <w:div w:id="1246105942">
          <w:marLeft w:val="2520"/>
          <w:marRight w:val="0"/>
          <w:marTop w:val="43"/>
          <w:marBottom w:val="0"/>
          <w:divBdr>
            <w:top w:val="none" w:sz="0" w:space="0" w:color="auto"/>
            <w:left w:val="none" w:sz="0" w:space="0" w:color="auto"/>
            <w:bottom w:val="none" w:sz="0" w:space="0" w:color="auto"/>
            <w:right w:val="none" w:sz="0" w:space="0" w:color="auto"/>
          </w:divBdr>
        </w:div>
        <w:div w:id="1134983279">
          <w:marLeft w:val="3240"/>
          <w:marRight w:val="0"/>
          <w:marTop w:val="43"/>
          <w:marBottom w:val="0"/>
          <w:divBdr>
            <w:top w:val="none" w:sz="0" w:space="0" w:color="auto"/>
            <w:left w:val="none" w:sz="0" w:space="0" w:color="auto"/>
            <w:bottom w:val="none" w:sz="0" w:space="0" w:color="auto"/>
            <w:right w:val="none" w:sz="0" w:space="0" w:color="auto"/>
          </w:divBdr>
        </w:div>
        <w:div w:id="1374115718">
          <w:marLeft w:val="3240"/>
          <w:marRight w:val="0"/>
          <w:marTop w:val="43"/>
          <w:marBottom w:val="0"/>
          <w:divBdr>
            <w:top w:val="none" w:sz="0" w:space="0" w:color="auto"/>
            <w:left w:val="none" w:sz="0" w:space="0" w:color="auto"/>
            <w:bottom w:val="none" w:sz="0" w:space="0" w:color="auto"/>
            <w:right w:val="none" w:sz="0" w:space="0" w:color="auto"/>
          </w:divBdr>
        </w:div>
      </w:divsChild>
    </w:div>
    <w:div w:id="1480877488">
      <w:bodyDiv w:val="1"/>
      <w:marLeft w:val="0"/>
      <w:marRight w:val="0"/>
      <w:marTop w:val="0"/>
      <w:marBottom w:val="0"/>
      <w:divBdr>
        <w:top w:val="none" w:sz="0" w:space="0" w:color="auto"/>
        <w:left w:val="none" w:sz="0" w:space="0" w:color="auto"/>
        <w:bottom w:val="none" w:sz="0" w:space="0" w:color="auto"/>
        <w:right w:val="none" w:sz="0" w:space="0" w:color="auto"/>
      </w:divBdr>
      <w:divsChild>
        <w:div w:id="1565994883">
          <w:marLeft w:val="0"/>
          <w:marRight w:val="0"/>
          <w:marTop w:val="0"/>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696880918">
      <w:bodyDiv w:val="1"/>
      <w:marLeft w:val="0"/>
      <w:marRight w:val="0"/>
      <w:marTop w:val="0"/>
      <w:marBottom w:val="0"/>
      <w:divBdr>
        <w:top w:val="none" w:sz="0" w:space="0" w:color="auto"/>
        <w:left w:val="none" w:sz="0" w:space="0" w:color="auto"/>
        <w:bottom w:val="none" w:sz="0" w:space="0" w:color="auto"/>
        <w:right w:val="none" w:sz="0" w:space="0" w:color="auto"/>
      </w:divBdr>
      <w:divsChild>
        <w:div w:id="1428040436">
          <w:marLeft w:val="547"/>
          <w:marRight w:val="0"/>
          <w:marTop w:val="67"/>
          <w:marBottom w:val="0"/>
          <w:divBdr>
            <w:top w:val="none" w:sz="0" w:space="0" w:color="auto"/>
            <w:left w:val="none" w:sz="0" w:space="0" w:color="auto"/>
            <w:bottom w:val="none" w:sz="0" w:space="0" w:color="auto"/>
            <w:right w:val="none" w:sz="0" w:space="0" w:color="auto"/>
          </w:divBdr>
        </w:div>
        <w:div w:id="35089590">
          <w:marLeft w:val="1166"/>
          <w:marRight w:val="0"/>
          <w:marTop w:val="67"/>
          <w:marBottom w:val="0"/>
          <w:divBdr>
            <w:top w:val="none" w:sz="0" w:space="0" w:color="auto"/>
            <w:left w:val="none" w:sz="0" w:space="0" w:color="auto"/>
            <w:bottom w:val="none" w:sz="0" w:space="0" w:color="auto"/>
            <w:right w:val="none" w:sz="0" w:space="0" w:color="auto"/>
          </w:divBdr>
        </w:div>
        <w:div w:id="79913788">
          <w:marLeft w:val="1800"/>
          <w:marRight w:val="0"/>
          <w:marTop w:val="67"/>
          <w:marBottom w:val="0"/>
          <w:divBdr>
            <w:top w:val="none" w:sz="0" w:space="0" w:color="auto"/>
            <w:left w:val="none" w:sz="0" w:space="0" w:color="auto"/>
            <w:bottom w:val="none" w:sz="0" w:space="0" w:color="auto"/>
            <w:right w:val="none" w:sz="0" w:space="0" w:color="auto"/>
          </w:divBdr>
        </w:div>
        <w:div w:id="828324367">
          <w:marLeft w:val="2520"/>
          <w:marRight w:val="0"/>
          <w:marTop w:val="67"/>
          <w:marBottom w:val="0"/>
          <w:divBdr>
            <w:top w:val="none" w:sz="0" w:space="0" w:color="auto"/>
            <w:left w:val="none" w:sz="0" w:space="0" w:color="auto"/>
            <w:bottom w:val="none" w:sz="0" w:space="0" w:color="auto"/>
            <w:right w:val="none" w:sz="0" w:space="0" w:color="auto"/>
          </w:divBdr>
        </w:div>
      </w:divsChild>
    </w:div>
    <w:div w:id="1793402055">
      <w:bodyDiv w:val="1"/>
      <w:marLeft w:val="0"/>
      <w:marRight w:val="0"/>
      <w:marTop w:val="0"/>
      <w:marBottom w:val="0"/>
      <w:divBdr>
        <w:top w:val="none" w:sz="0" w:space="0" w:color="auto"/>
        <w:left w:val="none" w:sz="0" w:space="0" w:color="auto"/>
        <w:bottom w:val="none" w:sz="0" w:space="0" w:color="auto"/>
        <w:right w:val="none" w:sz="0" w:space="0" w:color="auto"/>
      </w:divBdr>
      <w:divsChild>
        <w:div w:id="1189946865">
          <w:marLeft w:val="547"/>
          <w:marRight w:val="0"/>
          <w:marTop w:val="58"/>
          <w:marBottom w:val="0"/>
          <w:divBdr>
            <w:top w:val="none" w:sz="0" w:space="0" w:color="auto"/>
            <w:left w:val="none" w:sz="0" w:space="0" w:color="auto"/>
            <w:bottom w:val="none" w:sz="0" w:space="0" w:color="auto"/>
            <w:right w:val="none" w:sz="0" w:space="0" w:color="auto"/>
          </w:divBdr>
        </w:div>
        <w:div w:id="709652673">
          <w:marLeft w:val="1166"/>
          <w:marRight w:val="0"/>
          <w:marTop w:val="58"/>
          <w:marBottom w:val="0"/>
          <w:divBdr>
            <w:top w:val="none" w:sz="0" w:space="0" w:color="auto"/>
            <w:left w:val="none" w:sz="0" w:space="0" w:color="auto"/>
            <w:bottom w:val="none" w:sz="0" w:space="0" w:color="auto"/>
            <w:right w:val="none" w:sz="0" w:space="0" w:color="auto"/>
          </w:divBdr>
        </w:div>
        <w:div w:id="212347395">
          <w:marLeft w:val="1800"/>
          <w:marRight w:val="0"/>
          <w:marTop w:val="58"/>
          <w:marBottom w:val="0"/>
          <w:divBdr>
            <w:top w:val="none" w:sz="0" w:space="0" w:color="auto"/>
            <w:left w:val="none" w:sz="0" w:space="0" w:color="auto"/>
            <w:bottom w:val="none" w:sz="0" w:space="0" w:color="auto"/>
            <w:right w:val="none" w:sz="0" w:space="0" w:color="auto"/>
          </w:divBdr>
        </w:div>
        <w:div w:id="1364525168">
          <w:marLeft w:val="1800"/>
          <w:marRight w:val="0"/>
          <w:marTop w:val="58"/>
          <w:marBottom w:val="0"/>
          <w:divBdr>
            <w:top w:val="none" w:sz="0" w:space="0" w:color="auto"/>
            <w:left w:val="none" w:sz="0" w:space="0" w:color="auto"/>
            <w:bottom w:val="none" w:sz="0" w:space="0" w:color="auto"/>
            <w:right w:val="none" w:sz="0" w:space="0" w:color="auto"/>
          </w:divBdr>
        </w:div>
        <w:div w:id="227107094">
          <w:marLeft w:val="1800"/>
          <w:marRight w:val="0"/>
          <w:marTop w:val="58"/>
          <w:marBottom w:val="0"/>
          <w:divBdr>
            <w:top w:val="none" w:sz="0" w:space="0" w:color="auto"/>
            <w:left w:val="none" w:sz="0" w:space="0" w:color="auto"/>
            <w:bottom w:val="none" w:sz="0" w:space="0" w:color="auto"/>
            <w:right w:val="none" w:sz="0" w:space="0" w:color="auto"/>
          </w:divBdr>
        </w:div>
        <w:div w:id="1890262330">
          <w:marLeft w:val="2520"/>
          <w:marRight w:val="0"/>
          <w:marTop w:val="58"/>
          <w:marBottom w:val="0"/>
          <w:divBdr>
            <w:top w:val="none" w:sz="0" w:space="0" w:color="auto"/>
            <w:left w:val="none" w:sz="0" w:space="0" w:color="auto"/>
            <w:bottom w:val="none" w:sz="0" w:space="0" w:color="auto"/>
            <w:right w:val="none" w:sz="0" w:space="0" w:color="auto"/>
          </w:divBdr>
        </w:div>
        <w:div w:id="2000379089">
          <w:marLeft w:val="2520"/>
          <w:marRight w:val="0"/>
          <w:marTop w:val="58"/>
          <w:marBottom w:val="0"/>
          <w:divBdr>
            <w:top w:val="none" w:sz="0" w:space="0" w:color="auto"/>
            <w:left w:val="none" w:sz="0" w:space="0" w:color="auto"/>
            <w:bottom w:val="none" w:sz="0" w:space="0" w:color="auto"/>
            <w:right w:val="none" w:sz="0" w:space="0" w:color="auto"/>
          </w:divBdr>
        </w:div>
      </w:divsChild>
    </w:div>
    <w:div w:id="1882090910">
      <w:bodyDiv w:val="1"/>
      <w:marLeft w:val="0"/>
      <w:marRight w:val="0"/>
      <w:marTop w:val="0"/>
      <w:marBottom w:val="0"/>
      <w:divBdr>
        <w:top w:val="none" w:sz="0" w:space="0" w:color="auto"/>
        <w:left w:val="none" w:sz="0" w:space="0" w:color="auto"/>
        <w:bottom w:val="none" w:sz="0" w:space="0" w:color="auto"/>
        <w:right w:val="none" w:sz="0" w:space="0" w:color="auto"/>
      </w:divBdr>
    </w:div>
    <w:div w:id="1896550609">
      <w:bodyDiv w:val="1"/>
      <w:marLeft w:val="0"/>
      <w:marRight w:val="0"/>
      <w:marTop w:val="0"/>
      <w:marBottom w:val="0"/>
      <w:divBdr>
        <w:top w:val="none" w:sz="0" w:space="0" w:color="auto"/>
        <w:left w:val="none" w:sz="0" w:space="0" w:color="auto"/>
        <w:bottom w:val="none" w:sz="0" w:space="0" w:color="auto"/>
        <w:right w:val="none" w:sz="0" w:space="0" w:color="auto"/>
      </w:divBdr>
    </w:div>
    <w:div w:id="2042587942">
      <w:bodyDiv w:val="1"/>
      <w:marLeft w:val="0"/>
      <w:marRight w:val="0"/>
      <w:marTop w:val="0"/>
      <w:marBottom w:val="0"/>
      <w:divBdr>
        <w:top w:val="none" w:sz="0" w:space="0" w:color="auto"/>
        <w:left w:val="none" w:sz="0" w:space="0" w:color="auto"/>
        <w:bottom w:val="none" w:sz="0" w:space="0" w:color="auto"/>
        <w:right w:val="none" w:sz="0" w:space="0" w:color="auto"/>
      </w:divBdr>
      <w:divsChild>
        <w:div w:id="1527406896">
          <w:marLeft w:val="547"/>
          <w:marRight w:val="0"/>
          <w:marTop w:val="43"/>
          <w:marBottom w:val="0"/>
          <w:divBdr>
            <w:top w:val="none" w:sz="0" w:space="0" w:color="auto"/>
            <w:left w:val="none" w:sz="0" w:space="0" w:color="auto"/>
            <w:bottom w:val="none" w:sz="0" w:space="0" w:color="auto"/>
            <w:right w:val="none" w:sz="0" w:space="0" w:color="auto"/>
          </w:divBdr>
        </w:div>
        <w:div w:id="1954046963">
          <w:marLeft w:val="1166"/>
          <w:marRight w:val="0"/>
          <w:marTop w:val="43"/>
          <w:marBottom w:val="0"/>
          <w:divBdr>
            <w:top w:val="none" w:sz="0" w:space="0" w:color="auto"/>
            <w:left w:val="none" w:sz="0" w:space="0" w:color="auto"/>
            <w:bottom w:val="none" w:sz="0" w:space="0" w:color="auto"/>
            <w:right w:val="none" w:sz="0" w:space="0" w:color="auto"/>
          </w:divBdr>
        </w:div>
        <w:div w:id="2147042596">
          <w:marLeft w:val="1800"/>
          <w:marRight w:val="0"/>
          <w:marTop w:val="43"/>
          <w:marBottom w:val="0"/>
          <w:divBdr>
            <w:top w:val="none" w:sz="0" w:space="0" w:color="auto"/>
            <w:left w:val="none" w:sz="0" w:space="0" w:color="auto"/>
            <w:bottom w:val="none" w:sz="0" w:space="0" w:color="auto"/>
            <w:right w:val="none" w:sz="0" w:space="0" w:color="auto"/>
          </w:divBdr>
        </w:div>
        <w:div w:id="220405380">
          <w:marLeft w:val="1800"/>
          <w:marRight w:val="0"/>
          <w:marTop w:val="43"/>
          <w:marBottom w:val="0"/>
          <w:divBdr>
            <w:top w:val="none" w:sz="0" w:space="0" w:color="auto"/>
            <w:left w:val="none" w:sz="0" w:space="0" w:color="auto"/>
            <w:bottom w:val="none" w:sz="0" w:space="0" w:color="auto"/>
            <w:right w:val="none" w:sz="0" w:space="0" w:color="auto"/>
          </w:divBdr>
        </w:div>
        <w:div w:id="2055079095">
          <w:marLeft w:val="1800"/>
          <w:marRight w:val="0"/>
          <w:marTop w:val="43"/>
          <w:marBottom w:val="0"/>
          <w:divBdr>
            <w:top w:val="none" w:sz="0" w:space="0" w:color="auto"/>
            <w:left w:val="none" w:sz="0" w:space="0" w:color="auto"/>
            <w:bottom w:val="none" w:sz="0" w:space="0" w:color="auto"/>
            <w:right w:val="none" w:sz="0" w:space="0" w:color="auto"/>
          </w:divBdr>
        </w:div>
        <w:div w:id="1521553459">
          <w:marLeft w:val="2520"/>
          <w:marRight w:val="0"/>
          <w:marTop w:val="43"/>
          <w:marBottom w:val="0"/>
          <w:divBdr>
            <w:top w:val="none" w:sz="0" w:space="0" w:color="auto"/>
            <w:left w:val="none" w:sz="0" w:space="0" w:color="auto"/>
            <w:bottom w:val="none" w:sz="0" w:space="0" w:color="auto"/>
            <w:right w:val="none" w:sz="0" w:space="0" w:color="auto"/>
          </w:divBdr>
        </w:div>
        <w:div w:id="912158930">
          <w:marLeft w:val="3240"/>
          <w:marRight w:val="0"/>
          <w:marTop w:val="43"/>
          <w:marBottom w:val="0"/>
          <w:divBdr>
            <w:top w:val="none" w:sz="0" w:space="0" w:color="auto"/>
            <w:left w:val="none" w:sz="0" w:space="0" w:color="auto"/>
            <w:bottom w:val="none" w:sz="0" w:space="0" w:color="auto"/>
            <w:right w:val="none" w:sz="0" w:space="0" w:color="auto"/>
          </w:divBdr>
        </w:div>
        <w:div w:id="191307832">
          <w:marLeft w:val="3240"/>
          <w:marRight w:val="0"/>
          <w:marTop w:val="43"/>
          <w:marBottom w:val="0"/>
          <w:divBdr>
            <w:top w:val="none" w:sz="0" w:space="0" w:color="auto"/>
            <w:left w:val="none" w:sz="0" w:space="0" w:color="auto"/>
            <w:bottom w:val="none" w:sz="0" w:space="0" w:color="auto"/>
            <w:right w:val="none" w:sz="0" w:space="0" w:color="auto"/>
          </w:divBdr>
        </w:div>
        <w:div w:id="946812844">
          <w:marLeft w:val="2520"/>
          <w:marRight w:val="0"/>
          <w:marTop w:val="43"/>
          <w:marBottom w:val="0"/>
          <w:divBdr>
            <w:top w:val="none" w:sz="0" w:space="0" w:color="auto"/>
            <w:left w:val="none" w:sz="0" w:space="0" w:color="auto"/>
            <w:bottom w:val="none" w:sz="0" w:space="0" w:color="auto"/>
            <w:right w:val="none" w:sz="0" w:space="0" w:color="auto"/>
          </w:divBdr>
        </w:div>
        <w:div w:id="237597316">
          <w:marLeft w:val="3240"/>
          <w:marRight w:val="0"/>
          <w:marTop w:val="43"/>
          <w:marBottom w:val="0"/>
          <w:divBdr>
            <w:top w:val="none" w:sz="0" w:space="0" w:color="auto"/>
            <w:left w:val="none" w:sz="0" w:space="0" w:color="auto"/>
            <w:bottom w:val="none" w:sz="0" w:space="0" w:color="auto"/>
            <w:right w:val="none" w:sz="0" w:space="0" w:color="auto"/>
          </w:divBdr>
        </w:div>
        <w:div w:id="748229757">
          <w:marLeft w:val="3240"/>
          <w:marRight w:val="0"/>
          <w:marTop w:val="43"/>
          <w:marBottom w:val="0"/>
          <w:divBdr>
            <w:top w:val="none" w:sz="0" w:space="0" w:color="auto"/>
            <w:left w:val="none" w:sz="0" w:space="0" w:color="auto"/>
            <w:bottom w:val="none" w:sz="0" w:space="0" w:color="auto"/>
            <w:right w:val="none" w:sz="0" w:space="0" w:color="auto"/>
          </w:divBdr>
        </w:div>
        <w:div w:id="938830753">
          <w:marLeft w:val="1800"/>
          <w:marRight w:val="0"/>
          <w:marTop w:val="43"/>
          <w:marBottom w:val="0"/>
          <w:divBdr>
            <w:top w:val="none" w:sz="0" w:space="0" w:color="auto"/>
            <w:left w:val="none" w:sz="0" w:space="0" w:color="auto"/>
            <w:bottom w:val="none" w:sz="0" w:space="0" w:color="auto"/>
            <w:right w:val="none" w:sz="0" w:space="0" w:color="auto"/>
          </w:divBdr>
        </w:div>
        <w:div w:id="1023362525">
          <w:marLeft w:val="2520"/>
          <w:marRight w:val="0"/>
          <w:marTop w:val="43"/>
          <w:marBottom w:val="0"/>
          <w:divBdr>
            <w:top w:val="none" w:sz="0" w:space="0" w:color="auto"/>
            <w:left w:val="none" w:sz="0" w:space="0" w:color="auto"/>
            <w:bottom w:val="none" w:sz="0" w:space="0" w:color="auto"/>
            <w:right w:val="none" w:sz="0" w:space="0" w:color="auto"/>
          </w:divBdr>
        </w:div>
        <w:div w:id="1339388393">
          <w:marLeft w:val="3240"/>
          <w:marRight w:val="0"/>
          <w:marTop w:val="43"/>
          <w:marBottom w:val="0"/>
          <w:divBdr>
            <w:top w:val="none" w:sz="0" w:space="0" w:color="auto"/>
            <w:left w:val="none" w:sz="0" w:space="0" w:color="auto"/>
            <w:bottom w:val="none" w:sz="0" w:space="0" w:color="auto"/>
            <w:right w:val="none" w:sz="0" w:space="0" w:color="auto"/>
          </w:divBdr>
        </w:div>
        <w:div w:id="1287545331">
          <w:marLeft w:val="3240"/>
          <w:marRight w:val="0"/>
          <w:marTop w:val="43"/>
          <w:marBottom w:val="0"/>
          <w:divBdr>
            <w:top w:val="none" w:sz="0" w:space="0" w:color="auto"/>
            <w:left w:val="none" w:sz="0" w:space="0" w:color="auto"/>
            <w:bottom w:val="none" w:sz="0" w:space="0" w:color="auto"/>
            <w:right w:val="none" w:sz="0" w:space="0" w:color="auto"/>
          </w:divBdr>
        </w:div>
        <w:div w:id="2000770100">
          <w:marLeft w:val="2520"/>
          <w:marRight w:val="0"/>
          <w:marTop w:val="43"/>
          <w:marBottom w:val="0"/>
          <w:divBdr>
            <w:top w:val="none" w:sz="0" w:space="0" w:color="auto"/>
            <w:left w:val="none" w:sz="0" w:space="0" w:color="auto"/>
            <w:bottom w:val="none" w:sz="0" w:space="0" w:color="auto"/>
            <w:right w:val="none" w:sz="0" w:space="0" w:color="auto"/>
          </w:divBdr>
        </w:div>
        <w:div w:id="634024089">
          <w:marLeft w:val="3240"/>
          <w:marRight w:val="0"/>
          <w:marTop w:val="43"/>
          <w:marBottom w:val="0"/>
          <w:divBdr>
            <w:top w:val="none" w:sz="0" w:space="0" w:color="auto"/>
            <w:left w:val="none" w:sz="0" w:space="0" w:color="auto"/>
            <w:bottom w:val="none" w:sz="0" w:space="0" w:color="auto"/>
            <w:right w:val="none" w:sz="0" w:space="0" w:color="auto"/>
          </w:divBdr>
        </w:div>
        <w:div w:id="973368147">
          <w:marLeft w:val="3240"/>
          <w:marRight w:val="0"/>
          <w:marTop w:val="43"/>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5AIRPNAIUNRU-1328258698-3223</_dlc_DocId>
    <_dlc_DocIdUrl xmlns="71c5aaf6-e6ce-465b-b873-5148d2a4c105">
      <Url>https://nokia.sharepoint.com/sites/c5g/5gradio/_layouts/15/DocIdRedir.aspx?ID=5AIRPNAIUNRU-1328258698-3223</Url>
      <Description>5AIRPNAIUNRU-1328258698-3223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3.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4.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6.xml><?xml version="1.0" encoding="utf-8"?>
<ds:datastoreItem xmlns:ds="http://schemas.openxmlformats.org/officeDocument/2006/customXml" ds:itemID="{9B92E94D-70EE-4006-A8BB-AC7CD046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7</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81</cp:revision>
  <dcterms:created xsi:type="dcterms:W3CDTF">2021-01-15T19:12:00Z</dcterms:created>
  <dcterms:modified xsi:type="dcterms:W3CDTF">2021-04-02T19:34:00Z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614a4ab7-7a6c-472c-8201-f1b7958a60d6</vt:lpwstr>
  </property>
</Properties>
</file>